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100"/>
        <w:spacing w:after="0"/>
        <w:tabs>
          <w:tab w:leader="none" w:pos="7400" w:val="left"/>
        </w:tabs>
        <w:rPr>
          <w:sz w:val="20"/>
          <w:szCs w:val="20"/>
          <w:color w:val="auto"/>
        </w:rPr>
      </w:pPr>
      <w:r>
        <w:rPr>
          <w:rFonts w:ascii="Arial" w:cs="Arial" w:eastAsia="Arial" w:hAnsi="Arial"/>
          <w:sz w:val="18"/>
          <w:szCs w:val="18"/>
          <w:b w:val="1"/>
          <w:bCs w:val="1"/>
          <w:color w:val="auto"/>
        </w:rPr>
        <w:t>For the Quarterly Period Ended April 29, 2006</w:t>
      </w:r>
      <w:r>
        <w:rPr>
          <w:sz w:val="20"/>
          <w:szCs w:val="20"/>
          <w:color w:val="auto"/>
        </w:rPr>
        <w:tab/>
      </w:r>
      <w:r>
        <w:rPr>
          <w:rFonts w:ascii="Arial" w:cs="Arial" w:eastAsia="Arial" w:hAnsi="Arial"/>
          <w:sz w:val="15"/>
          <w:szCs w:val="15"/>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spacing w:after="0" w:line="207" w:lineRule="exact"/>
        <w:tabs>
          <w:tab w:leader="none" w:pos="1980" w:val="left"/>
          <w:tab w:leader="none" w:pos="3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20"/>
        <w:spacing w:after="0" w:line="207" w:lineRule="exact"/>
        <w:tabs>
          <w:tab w:leader="none" w:pos="7400" w:val="left"/>
          <w:tab w:leader="none" w:pos="80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 number of shares of common stock outstanding as of May 25, 2006 was 35,325,156.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April 29, 2006</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8,769</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4,168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103,301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120,262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55,195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Other intangible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35,676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272,662</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21,656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54,985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Convertible Notes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94,750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 of current portion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27,477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860"/>
              <w:spacing w:after="0"/>
              <w:rPr>
                <w:sz w:val="20"/>
                <w:szCs w:val="20"/>
                <w:color w:val="auto"/>
              </w:rPr>
            </w:pPr>
            <w:r>
              <w:rPr>
                <w:rFonts w:ascii="Arial" w:cs="Arial" w:eastAsia="Arial" w:hAnsi="Arial"/>
                <w:sz w:val="18"/>
                <w:szCs w:val="18"/>
                <w:color w:val="auto"/>
              </w:rPr>
              <w:t>Total long-term liabilities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123,267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w w:val="98"/>
              </w:rPr>
              <w:t>Preferred stock, $0.01 par value, 1,000,000 shares authorized, none outstanding at April 29, 2006 and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640"/>
              <w:spacing w:after="0"/>
              <w:rPr>
                <w:sz w:val="20"/>
                <w:szCs w:val="20"/>
                <w:color w:val="auto"/>
              </w:rPr>
            </w:pPr>
            <w:r>
              <w:rPr>
                <w:rFonts w:ascii="Arial" w:cs="Arial" w:eastAsia="Arial" w:hAnsi="Arial"/>
                <w:sz w:val="18"/>
                <w:szCs w:val="18"/>
                <w:color w:val="auto"/>
              </w:rPr>
              <w:t>January 28, 2006</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$0.01 par value, 75,000,000 shares authorized, 40,490,329 and 39,635,937 shares issued at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April 29, 2006 and January 28, 2006, respectively</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159,982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(42,494)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Treasury stock at cost, 5,171,930 shares at April 29, 2006 and January 28, 2006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(23,362)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94,410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272,662</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April 29, 2006</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April 30,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102,864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57,860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 Basic</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34,887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6"/>
              </w:rPr>
              <w:t>Three Months Ended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29, 2006</w:t>
            </w:r>
          </w:p>
        </w:tc>
        <w:tc>
          <w:tcPr>
            <w:tcW w:w="3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April 30,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1,387</w:t>
            </w:r>
          </w:p>
        </w:tc>
        <w:tc>
          <w:tcPr>
            <w:tcW w:w="38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(loss) to net cash used for operating activities: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subsidiary</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Stock based compensation expense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(11,814)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intangibles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(1,253)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(12,735)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proceeds from sale-leaseback of corporate headquarters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55,938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Net cash provided for (used for) investing activities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55,965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borrowings (repayments) under credit facility</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(37,387)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(40,029)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2006 (included in the Company’s Annual Report on Form 10-K, which was filed with the Securities and Exchange Commission on March 31, 2006).</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2006 is a 53-week period ending on February 3, 2007, with the fourth quarter containing 14 weeks.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Goodwill and Intangibles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January 28, 2006 to April 29, 2006: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4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April 29,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14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$ 1,334</w:t>
            </w:r>
            <w:r>
              <w:rPr>
                <w:rFonts w:ascii="Arial" w:cs="Arial" w:eastAsia="Arial" w:hAnsi="Arial"/>
                <w:sz w:val="11"/>
                <w:szCs w:val="11"/>
                <w:color w:val="auto"/>
              </w:rPr>
              <w:t>(1)</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c>
          <w:tcPr>
            <w:tcW w:w="4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first quarter of fiscal 2006, certain earn-out provisions from the Company’s Rochester acquisition were met and, accordingly, the Company made a payment of $1.3 million based on the performance of the Rochester division.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Sale-Leaseback of Corporate Offices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January 30, 2006, the Company entered into a sale-leaseback transaction with Spirit Finance Corp. (“Spirit”), a third party real estate trust. Pursuant to the sale-leaseback transaction, the Company sold to Spirit its rights, title and interest in its headquarters and distribution center property for $56.0 million, net of transaction costs. The property consists of a 755,992 gross square foot building located on approximately 27.3 acres in Canton, MA. The transaction funded and closed on February 1, 2006.</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At the closing, the Company entered into a Lease Agreement with SPE, a wholly-owned subsidiary of Spirit (the “Lease Agreement”) whereby the Company agreed to lease the property back for an annual rent of $4.6 million, payable monthly and in advance. The initial period of the Lease Agreement is for 20 years and will expire January 31, 2026 unless an option period is exercised. At that time,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w:t>
      </w:r>
    </w:p>
    <w:p>
      <w:pPr>
        <w:spacing w:after="0" w:line="1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the first quarter of fiscal 2006, the Company realized a gain of approximately $29.3 million on the sale of property, net of approximately $1.0 million of transaction costs. The gain is being deferred and will be amortized over</w:t>
      </w:r>
    </w:p>
    <w:p>
      <w:pPr>
        <w:sectPr>
          <w:pgSz w:w="11900" w:h="16838" w:orient="portrait"/>
          <w:cols w:equalWidth="0" w:num="1">
            <w:col w:w="11420"/>
          </w:cols>
          <w:pgMar w:left="240" w:top="274" w:right="239" w:bottom="1440" w:gutter="0" w:footer="0" w:header="0"/>
        </w:sectPr>
      </w:pPr>
    </w:p>
    <w:bookmarkStart w:id="5" w:name="page6"/>
    <w:bookmarkEnd w:id="5"/>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initial term of the related lease agreement of 20 years in accordance with SFAS No. 98, </w:t>
      </w:r>
      <w:r>
        <w:rPr>
          <w:rFonts w:ascii="Arial" w:cs="Arial" w:eastAsia="Arial" w:hAnsi="Arial"/>
          <w:sz w:val="18"/>
          <w:szCs w:val="18"/>
          <w:i w:val="1"/>
          <w:iCs w:val="1"/>
          <w:color w:val="auto"/>
        </w:rPr>
        <w:t>Accounting for Leases</w:t>
      </w:r>
      <w:r>
        <w:rPr>
          <w:rFonts w:ascii="Arial" w:cs="Arial" w:eastAsia="Arial" w:hAnsi="Arial"/>
          <w:sz w:val="18"/>
          <w:szCs w:val="18"/>
          <w:color w:val="auto"/>
        </w:rPr>
        <w:t>. The annual recognition of the gain of approximately $1.5 million will partially offset the expected annual rent pursuant to the lease of $4.6 million. For the first quarter of fiscal 2006, the Company recognized income of $366,000 related to the amortization of the deferred gain which was included as an offset to selling, general and administrative expenses in the Consolidated Statement of Operations.</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used the net proceeds from the sale of approximately $56.0 million to reduce consolidated outstanding borrowings under its Amended Credit Facility (defined below) and to repay in full its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Sale of LP Innovations, Inc. subsidiary</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April 25,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 note requires LPI to make quarterly payments to the Company commencing on the first anniversary of the note. The note bears interest at 6.0% annually. Although the note is unsecured, if the principal and any accrued interest on the note are unpaid at any point during the term of the note, the Company has the right to offset amounts owed under the note against its payable to LPI for services rendered pursuant to the loss prevention contract described below. The Company recognized an initial gain on the sale of LPI in the amount of $1.5 million which was recognized as other income for the first quarter of fiscal 2006. Due to the uncertainty regarding the collection of the note, the Company has fully reserved the balance of the note on the Consolidated Balance Sheet at April 29, 2006 and is treating the amount as a contingent gain and, accordingly, will recognize income as the note is repaid to the Company. Such amounts recognized as income will be disclosed in future filings and will be included in “other income” on the Consolidated Statement of Operations.</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As part of the sale, the Company entered into a five-year contract with LPI whereby the Company will continue to use LPI for its loss prevention needs. The Company’s current fees to LPI will remain in effect for the first three years of the contract with normal CPI index increases after that.</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entered into an agreement with LPI to provide, for a fee, transitional services to LPI for a period of six months from the date of the sale. These transitional services include enabling LPI to maintain its space at the Company’s corporate headquarters and utilize the facilities, as well as support from the Company’s human resource and information technology staff.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December 15, 2005 and January 31, 2006, the Company amended its credit facility with Bank of America Retail Group, LLC (formerly known as Fleet Retail Group, Inc.) by executing the Second Amendment and the Third Amendment, respectively, to the Fourth Amended and Restated Loan and Security Agreement (the “Amendments”). In summary, the Amendments amended the credit facility (the “Amended Credit Facility”) to allow the Company to principally (i) assume the outstanding mortgage on its corporate headquarters in Canton, Massachusetts, (ii) prepay or retire its convertible notes, subject to maintaining excess availability, on a six-month basis, of at least $30.0 million, (iii) prepay its Term loan, (iv) enter into a sale-leaseback transaction for its corporate headquarters and</w:t>
      </w:r>
    </w:p>
    <w:p>
      <w:pPr>
        <w:spacing w:after="0" w:line="2" w:lineRule="exact"/>
        <w:rPr>
          <w:sz w:val="20"/>
          <w:szCs w:val="20"/>
          <w:color w:val="auto"/>
        </w:rPr>
      </w:pPr>
    </w:p>
    <w:p>
      <w:pPr>
        <w:ind w:right="360" w:firstLine="8"/>
        <w:spacing w:after="0" w:line="261"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its advance rate on borrowings through December 15, 2005 to February 1, 2006, enabling the Company to receive increased availability under the Amended Credit Facility.</w:t>
      </w:r>
    </w:p>
    <w:p>
      <w:pPr>
        <w:spacing w:after="0" w:line="13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Amended Credit Facility continues to principally provide for a total commitment of $90 million with the ability to issue documentary and standby letters of credits of up to $20 million. The maturity date of the Amended Credit Facility is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Company’s ability to borrow under the Amended Credit Facility is determined using an availability formula based on eligible assets, with increased advance rates based on seasonality.</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Company’s obligations under the Amended Credit Facility are secured by a lien on all of its assets. The Amended Credit Facility includes certain covenants and events of default customary for credit facilities of this nature, including</w:t>
      </w:r>
    </w:p>
    <w:p>
      <w:pPr>
        <w:sectPr>
          <w:pgSz w:w="11900" w:h="16838" w:orient="portrait"/>
          <w:cols w:equalWidth="0" w:num="1">
            <w:col w:w="11380"/>
          </w:cols>
          <w:pgMar w:left="240" w:top="280" w:right="279" w:bottom="1440" w:gutter="0" w:footer="0" w:header="0"/>
        </w:sectPr>
      </w:pPr>
    </w:p>
    <w:bookmarkStart w:id="6" w:name="page7"/>
    <w:bookmarkEnd w:id="6"/>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 provisions and limitations on payment of dividends by the Company. The Company is also subject to a financial covenant requiring minimum levels of EBITDA if a minimum excess availability level of $12.5 million is not maintained. The Company was in compliance with all debt covenants under the Amended Credit Facility at April 29, 2006.</w:t>
      </w:r>
    </w:p>
    <w:p>
      <w:pPr>
        <w:spacing w:after="0" w:line="14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Company had no outstanding borrowings under the Amended Credit Facility at April 29, 2006. Outstanding standby letters of credit were $4.4 million and outstanding documentary letters of credit were $1.5 million. Average borrowings outstanding under this facility during the first three months of fiscal 2006 were approximately $1.4 million, resulting in an average unused excess availability of approximately $70.0 million. Unused excess availability at April 29, 2006 was $74.0 million.</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fair value of amounts outstanding under the Amended Credit Facility approximates the carrying value at April 29, 2006. At the Company’s option, any portion of the outstanding borrowings can be converted to LIBOR-based contracts; the remainder bears interest based on prime. At April 29, 2006, the prime-based interest rate was 7.75%. The Company had no outstanding LIBOR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Convertible Senior Subordinated Notes due 2024</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fiscal 2003, the Company sold $100 million principal amount of convertible senior subordinated notes due 2024 (the “Convertible Notes”). The Convertible Notes were sold in a private transaction to qualified institutional buyers (as such term is defined in Rule 144A under the Securities Act of 1933, as amended). The Convertible Notes, which bear interest at a rate of 5% per year, payable semi-annually, are convertible into the Company’s Common Stock at a conversion price of $10.65 per share and constitute general unsecured obligations of the Company, subordinate to all existing and future designated senior indebtedness.</w:t>
      </w:r>
    </w:p>
    <w:p>
      <w:pPr>
        <w:spacing w:after="0" w:line="11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Each Convertible Note holder has the right to require the Company to redeem the Convertible Notes for cash or delivery of shares of our common stock, at the Company’s option, on January 1, 2009, 2014, or 2019. The purchase price payable for each Convertible Note will be equal to 100% of its principal amount plus accrued and unpaid interest and additional interest, if any, to, but excluding, the repurchase date. In addition, on or after January 6, 2007, the Company has the option to redeem the Convertible Notes, for cash or delivery of shares at the option of the Convertible Note holder, in whole or in part, at the redemption price, which is 100% of the principal amount plus accrued and unpaid interest and additional interest, if any, to, but excluding, the redemption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long-term debt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April 29, 2006</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senior subordinated notes due 2007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3,438</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3,438</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(3,438)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5% senior subordinated notes due 2007</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$3.4 million principal amount of its 5% senior subordinated notes due 2007 outstanding at April 29, 2006. These notes were issued in May 2002 through a private placement with the Kellwood Company. The Company makes quarterly principal payments in the amount of $687,500. The final quarterly payment is due June 2007. Accrued interest is payable quarterly.</w:t>
      </w:r>
    </w:p>
    <w:p>
      <w:pPr>
        <w:sectPr>
          <w:pgSz w:w="11900" w:h="16838" w:orient="portrait"/>
          <w:cols w:equalWidth="0" w:num="1">
            <w:col w:w="11380"/>
          </w:cols>
          <w:pgMar w:left="240" w:top="280" w:right="27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loan</w:t>
      </w:r>
    </w:p>
    <w:p>
      <w:pPr>
        <w:spacing w:after="0" w:line="9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connection with the Company’s acquisition of Rochester Big &amp; Tall Clothing in October 2004, the Company had entered into a 3-year term loan for $7.5 million with Bank of America Retail Group, LLC, the proceeds of which were used for the acquisition. The loan required principal payments in the amount of approximately $1.9 million on each of the first two anniversaries of the loan with the remaining balance due at maturity. The term loan accrued interest at the prevailing LIBOR rate plus 5% per annum. During the first quarter of fiscal 2006, the Company prepaid in full the remaining balance of $5.6 million.</w:t>
      </w:r>
    </w:p>
    <w:p>
      <w:pPr>
        <w:spacing w:after="0" w:line="188" w:lineRule="exact"/>
        <w:rPr>
          <w:sz w:val="20"/>
          <w:szCs w:val="20"/>
          <w:color w:val="auto"/>
        </w:rPr>
      </w:pPr>
    </w:p>
    <w:p>
      <w:pPr>
        <w:ind w:left="20" w:right="10060" w:hanging="12"/>
        <w:spacing w:after="0" w:line="391" w:lineRule="auto"/>
        <w:tabs>
          <w:tab w:leader="none" w:pos="191"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u w:val="single" w:color="auto"/>
          <w:color w:val="auto"/>
        </w:rPr>
        <w:t>Earnings Per Share</w:t>
      </w:r>
    </w:p>
    <w:p>
      <w:pPr>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36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88"/>
              </w:rPr>
              <w:t>April 29, 2006</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April 30, 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34,887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w w:val="97"/>
              </w:rPr>
              <w:t>Stock options, excluding the effect of anti-dilutive options and warrants totaling 2,027 shares for the three</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months ended April 30, 2005</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2,231</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37,118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following potential Common Stock equivalents were also excluded from the computation of diluted earnings per share in each period because the exercise price of such options and warrants was greater than the average market price per share of Common Stock for the respective periods. Convertible notes were also excluded because they were anti-dilutive using the ‘if-converted’ method.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20" w:type="dxa"/>
            <w:vAlign w:val="bottom"/>
            <w:gridSpan w:val="3"/>
            <w:vMerge w:val="continue"/>
          </w:tcPr>
          <w:p>
            <w:pPr>
              <w:spacing w:after="0"/>
              <w:rPr>
                <w:sz w:val="12"/>
                <w:szCs w:val="12"/>
                <w:color w:val="auto"/>
              </w:rPr>
            </w:pPr>
          </w:p>
        </w:tc>
        <w:tc>
          <w:tcPr>
            <w:tcW w:w="18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April 29, 2006</w:t>
            </w: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April 30,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8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8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8,897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Range of exercise prices and conversion rates of such options, warrants and convertible notes</w:t>
            </w:r>
          </w:p>
        </w:tc>
        <w:tc>
          <w:tcPr>
            <w:tcW w:w="1040" w:type="dxa"/>
            <w:vAlign w:val="bottom"/>
          </w:tcPr>
          <w:p>
            <w:pPr>
              <w:jc w:val="right"/>
              <w:spacing w:after="0"/>
              <w:rPr>
                <w:sz w:val="20"/>
                <w:szCs w:val="20"/>
                <w:color w:val="auto"/>
              </w:rPr>
            </w:pPr>
            <w:r>
              <w:rPr>
                <w:rFonts w:ascii="Arial" w:cs="Arial" w:eastAsia="Arial" w:hAnsi="Arial"/>
                <w:sz w:val="18"/>
                <w:szCs w:val="18"/>
                <w:color w:val="auto"/>
                <w:w w:val="86"/>
              </w:rPr>
              <w:t>$9.27 - $10.65</w:t>
            </w:r>
          </w:p>
        </w:tc>
        <w:tc>
          <w:tcPr>
            <w:tcW w:w="8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$6.20 - $10.65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above options, warrants and convertible notes which were outstanding and out-of-the-money at April 29, 2006 expire from March 29, 2014 to April 27, 2024.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Based Compensation</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At April 29, 2006, the Company has one share-based compensation plan, the 1992 Stock Incentive Plan, as amended most recently on August 7, 2003 (the “1992 Plan”). Under the terms of the 1992 Plan up to 6,930,000 shares of Common Stock can be issued pursuant to “incentive stock options” (as defined in Section 422 of the Internal Revenue Code of 1986, as amended), options which are not “incentive stock options,” conditioned stock awards, unrestricted stock awards and performance share awards. The 1992 Plan is administered by the Compensation Committee, all of the members of which are non-employee directors who qualify as independent under the listing standards of the Nasdaq National Market. The Compensation Committee makes all determinations with respect to amounts and conditions covering awards under the 1992 Plan. Options have never been granted at a price less than fair value on the date of the grant. Options granted to employees and executives typically vest over three years and options granted to directors vest over two years. Options granted under the 1992 Plan expire ten years from the date of grant. The 1992 Plan, as amended, terminates on the earlier of (i) the date when all shares issuable thereunder have been issued or (ii) April 2, 2007.</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Adoption of SFAS 123R, Share-Based Payment</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Prior to January 30, 2006, the Company’s share-based payments to its employees and directors were accounted for in accordance with Accounting Principles Board Opinion No. 25, “Accounting for Stock Issued to Employees” (“APB 25”) and related interpretations. Under this method, no compensation expense was recognized as long as the exercise price equaled or exceeded the market price of the underlying stock on the date of the grant. The Company elected the disclosure-only alternative permitted under SFAS No. 123, “Accounting for Stock-Based Compensation” (“SFAS 123”), as amended by SFAS No. 148, “Accounting for Stock-Based Compensation — Transition and Disclosure” (“SFAS 148”), for fixed stock-based awards to employees.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January 27, 2006, the Company’s Board of Directors approved the accelerated vesting of 965,000 outstanding and unvested options held by directors, officers and employees under our 1992 Plan. As a result of the acceleration, these options to acquire 965,000 shares of the Company’s common stock, which otherwise would have vested from time to time over the following three years, became immediately exercisable. This action was taken to eliminate, to the extent permitted, the transition expense that the Company otherwise would incur in connection with the adoption of SFAS No. 123R. Under the accounting guidance of APB Opinion No. 25, the accelerated vesting resulted in a charge for stock-based compensation of approximately $30,000, which was recognized in the fourth quarter of fiscal 2005.</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January 29, 2006, the Company adopted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our valuation techniques previously utilized for options in footnote disclosures required under SFAS 123, as amended by SFAS 148, and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 Prior periods have not been restated to incorporate the stock-based compensation charge.</w:t>
      </w:r>
    </w:p>
    <w:p>
      <w:pPr>
        <w:spacing w:after="0" w:line="12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compensation expense recognized in connection with the adoption of SFAS 123R decreased the Company’s income before taxes and net income by $52,000 and $31,000, respectively, with no impact to earnings per share for the first quarter of fiscal 2006. There was no impact on cash flows from operations, investment, or financing in connection with the adoption of SFAS 123R. The total compensation cost related to nonvested awards not yet recognized is approximately $2.1 million which will be expensed over a weighted average remaining life of 35.2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 for Stock Options</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 the first quarter of fiscal 2006, 570,000 stock options were granted. The fair value of each option was estimated on the date of grant using the Black-Scholes option-pricing model with the following assumptions used for grants for the three months ended April 29, 2006 and April 30, 2005:</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April 29, 2006</w:t>
            </w:r>
          </w:p>
        </w:tc>
        <w:tc>
          <w:tcPr>
            <w:tcW w:w="9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April 30, 2005</w:t>
            </w: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45.0%</w:t>
            </w:r>
          </w:p>
        </w:tc>
        <w:tc>
          <w:tcPr>
            <w:tcW w:w="192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65.0%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jc w:val="right"/>
              <w:spacing w:after="0"/>
              <w:rPr>
                <w:sz w:val="20"/>
                <w:szCs w:val="20"/>
                <w:color w:val="auto"/>
              </w:rPr>
            </w:pPr>
            <w:r>
              <w:rPr>
                <w:rFonts w:ascii="Arial" w:cs="Arial" w:eastAsia="Arial" w:hAnsi="Arial"/>
                <w:sz w:val="18"/>
                <w:szCs w:val="18"/>
                <w:color w:val="auto"/>
                <w:w w:val="86"/>
              </w:rPr>
              <w:t>4.50%-4.91%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3.97%-4.15%</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 yrs.</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Dividend rate</w:t>
            </w:r>
          </w:p>
        </w:tc>
        <w:tc>
          <w:tcPr>
            <w:tcW w:w="96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980" w:type="dxa"/>
            <w:vAlign w:val="bottom"/>
          </w:tcPr>
          <w:p>
            <w:pPr>
              <w:ind w:left="36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380"/>
          </w:cols>
          <w:pgMar w:left="240" w:top="280" w:right="279" w:bottom="1440" w:gutter="0" w:footer="0" w:header="0"/>
        </w:sectPr>
      </w:pPr>
    </w:p>
    <w:bookmarkStart w:id="9" w:name="page10"/>
    <w:bookmarkEnd w:id="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Fair Value Disclosures — Prior to SFAS 123R Adoption</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first quarter of fiscal 2005, had compensation costs for the Company’s grants for stock-based compensation been determined consistent with SFAS 123R, the Company’s net loss and loss per share would have been as indicated below:</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93"/>
        </w:trPr>
        <w:tc>
          <w:tcPr>
            <w:tcW w:w="7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380"/>
              <w:spacing w:after="0" w:line="193" w:lineRule="exact"/>
              <w:rPr>
                <w:sz w:val="20"/>
                <w:szCs w:val="20"/>
                <w:color w:val="auto"/>
              </w:rPr>
            </w:pPr>
            <w:r>
              <w:rPr>
                <w:rFonts w:ascii="Arial" w:cs="Arial" w:eastAsia="Arial" w:hAnsi="Arial"/>
                <w:sz w:val="14"/>
                <w:szCs w:val="14"/>
                <w:b w:val="1"/>
                <w:bCs w:val="1"/>
                <w:color w:val="auto"/>
                <w:w w:val="94"/>
              </w:rPr>
              <w:t xml:space="preserve">April 30, 2005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6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 – pro forma</w:t>
            </w:r>
          </w:p>
        </w:tc>
        <w:tc>
          <w:tcPr>
            <w:tcW w:w="16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diluted as reported</w:t>
            </w:r>
          </w:p>
        </w:tc>
        <w:tc>
          <w:tcPr>
            <w:tcW w:w="16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Loss per share – diluted pro-forma</w:t>
            </w:r>
          </w:p>
        </w:tc>
        <w:tc>
          <w:tcPr>
            <w:tcW w:w="16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3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accelerated all options outstanding as of January 27, 2005. Accordingly, the only pro forma adjustment for the first quarter of fiscal 2005 related to options granted since January 27,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Activity-1992 Plan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stock option activity under the 1992 Plan for the quarter ended April 29,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2"/>
              </w:rPr>
              <w:t>Weighted-</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Weighted-</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Number</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 per</w:t>
            </w:r>
          </w:p>
        </w:tc>
        <w:tc>
          <w:tcPr>
            <w:tcW w:w="54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Remaining</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4"/>
                <w:szCs w:val="14"/>
                <w:b w:val="1"/>
                <w:bCs w:val="1"/>
                <w:color w:val="auto"/>
                <w:w w:val="93"/>
              </w:rPr>
              <w:t>of Shares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540" w:type="dxa"/>
            <w:vAlign w:val="bottom"/>
          </w:tcPr>
          <w:p>
            <w:pPr>
              <w:spacing w:after="0"/>
              <w:rPr>
                <w:sz w:val="15"/>
                <w:szCs w:val="15"/>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Contractual Term</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(in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3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4,241,997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Options granted</w:t>
            </w:r>
          </w:p>
        </w:tc>
        <w:tc>
          <w:tcPr>
            <w:tcW w:w="3140" w:type="dxa"/>
            <w:vAlign w:val="bottom"/>
            <w:gridSpan w:val="3"/>
          </w:tcPr>
          <w:p>
            <w:pPr>
              <w:jc w:val="right"/>
              <w:ind w:right="600"/>
              <w:spacing w:after="0"/>
              <w:rPr>
                <w:sz w:val="20"/>
                <w:szCs w:val="20"/>
                <w:color w:val="auto"/>
              </w:rPr>
            </w:pPr>
            <w:r>
              <w:rPr>
                <w:rFonts w:ascii="Arial" w:cs="Arial" w:eastAsia="Arial" w:hAnsi="Arial"/>
                <w:sz w:val="18"/>
                <w:szCs w:val="18"/>
                <w:color w:val="auto"/>
              </w:rPr>
              <w:t>574,604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3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Options exercised</w:t>
            </w:r>
          </w:p>
        </w:tc>
        <w:tc>
          <w:tcPr>
            <w:tcW w:w="18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(332,520)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4.71</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3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4,471,081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 years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$ 14,272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Vested and expected to vest at end of quarter</w:t>
            </w:r>
          </w:p>
        </w:tc>
        <w:tc>
          <w:tcPr>
            <w:tcW w:w="3140" w:type="dxa"/>
            <w:vAlign w:val="bottom"/>
            <w:gridSpan w:val="3"/>
          </w:tcPr>
          <w:p>
            <w:pPr>
              <w:jc w:val="right"/>
              <w:ind w:right="600"/>
              <w:spacing w:after="0"/>
              <w:rPr>
                <w:sz w:val="20"/>
                <w:szCs w:val="20"/>
                <w:color w:val="auto"/>
              </w:rPr>
            </w:pPr>
            <w:r>
              <w:rPr>
                <w:rFonts w:ascii="Arial" w:cs="Arial" w:eastAsia="Arial" w:hAnsi="Arial"/>
                <w:sz w:val="18"/>
                <w:szCs w:val="18"/>
                <w:color w:val="auto"/>
              </w:rPr>
              <w:t>4,469,081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6.29</w:t>
            </w:r>
          </w:p>
        </w:tc>
        <w:tc>
          <w:tcPr>
            <w:tcW w:w="54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7.9 years</w:t>
            </w: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$ 14,267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3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3,886,081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 years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$ 14,044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weighted-average grant-date fair value of options granted were $3.74 and $3.35 per share for the first quarter of fiscal 2006 and 2005, respectively. The total intrinsic value of options exercised during the first quarter of fiscal 2006 and fiscal 2005 were $1.2 million and $61,000,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 granted outside of the Company’s 1992 Plan</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Below is a summary of options granted outside of the Company’s 1992 Plan. These outstanding options represent options which have been granted to consultants of the Company prior to August 2003 and options granted to its executives in excess of the 1992 Plan’s annual maximum grant which was 500,000 as of August 7, 2003.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 per</w:t>
            </w:r>
          </w:p>
        </w:tc>
        <w:tc>
          <w:tcPr>
            <w:tcW w:w="6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60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Contractual Term</w:t>
            </w:r>
          </w:p>
        </w:tc>
        <w:tc>
          <w:tcPr>
            <w:tcW w:w="3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8"/>
              </w:rPr>
              <w:t>Value (in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1,140,000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Options granted</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(27,186)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3.68</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1,112,814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 years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Vested and expected to vest at end of quarter</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1,112,814</w:t>
            </w:r>
          </w:p>
        </w:tc>
        <w:tc>
          <w:tcPr>
            <w:tcW w:w="3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6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5.4 years</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1,112,814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 years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during the first quarter of fiscal 2006 was $163,700. There were no such exercises during the first quarter of fiscal 2005.</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 Income Taxes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fourth quarter of fiscal 2005, the Company determined that it is more likely than not that it will be able to realize the benefits of a portion of its deferred tax assets and a portion of the Company’s valuation allowance was reversed at that time. As such, for the first quarter of fiscal 2006, the Company began recording an income tax provision on its pretax earnings at its effective rate of 39.5%. Approximately $0.3 million of this provision related to deferred income taxes for which the Company recorded a corresponding offset to the valuation allowance. Based on net operating loss carryforwards available to the Company, management expects that cash payments for taxes will continue to be minimal at this time. At April 29, 2006, the Company had total gross deferred tax assets of approximately $43.3 million, with a corresponding valuation allowance of $40.2 million. These tax assets principally relate to federal net operating loss carryforwards that expire from 2018 through 2024. The ability to reduce the Company’s corresponding valuation allowance of $39.9 million in the future is dependent upon the Company’s continued ability to achieve sustained taxable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Jewelcor Management, Inc.</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 of the outstanding Common Stock of the Company (principally held by JMI). He is also the president and chief executive officer, and indirectly, with his wife, the primary shareholder of JMI.</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consulting agreement dated April 29, 2003, and most recently amended by a letter agreement dated May 26, 2006, is for a three-year term and automatically renews on each anniversary of the agreement’s commencement date for additional one-year periods, unless ninety-days notice by either party is otherwise given. The initial three-year term was from April 29, 2003 until April 28, 2006. On each anniversary of the agreement’s commencement date, the term was extended for a one-year period. Accordingly, as of April 26, 2006, the most recent anniversary of the consulting agreement, the term was extended to April 28, 2009. The consulting agreement with JMI includes a significant disincentive for non-performance, which would require JMI to pay to the Company a penalty equal to 150% of any unearned consulting services.</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During the first quarter of fiscal 2006, the Company paid JMI a cash bonus, pursuant to the Executive Incentive Plan for fiscal 2006, for services rendered in fiscal 2005 of $375,000.</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first quarter of fiscal 2006, the Company made a payment, which was approved by the Board of Directors of the Company, to JMI for $370,000 as reimbursement for legal services unrelated to the operations of the Company.</w:t>
      </w:r>
    </w:p>
    <w:p>
      <w:pPr>
        <w:spacing w:after="0" w:line="132"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On May 26, 2006, subsequent to the end of the first quarter of fiscal 2006, the Compensation Committee of the Board of Directors increased JMI’s annual consulting fees from $412,000 to $527,000. JMI will also be entitled to receive a cash bonus for fiscal 2006 ranging from 80% to 150% of a bonus base of $575,000 if the Company achieves a certain range of EBITDA (earnings before interest, taxes and depreciation and amortization) for fiscal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 -Acquisition</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May 2, 2006, subsequent to the end of the first quarter of 2006, the Company purchased from JM Leather, Inc., Jared M., an apparel company specializing in selling custom clothing to professional athletes, almost all of whom are big &amp; tall. The Company sees this acquisition as a future growth opportunity for its Rochester division. Initially, the Company plans to open several Jared M. shops within the Company’s existing Rochester Big &amp; Tall stores and then expand the business to catalog and internet. This acquisition fits into the Company’s long-term strategy to gain market share in the big &amp; tall market.</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Pursuant to the terms of the asset purchase agreement, the Company paid a purchase price of approximately $2.8 million, plus assumed liabilities. In addition, the Company is subject to pay an earn-out provision of up to an additional $1.0 million over the next twelve to twenty-four months if the Jared M. business achieves certain earning</w:t>
      </w:r>
    </w:p>
    <w:p>
      <w:pPr>
        <w:sectPr>
          <w:pgSz w:w="11900" w:h="16838" w:orient="portrait"/>
          <w:cols w:equalWidth="0" w:num="1">
            <w:col w:w="11380"/>
          </w:cols>
          <w:pgMar w:left="240" w:top="274" w:right="27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levels specified in the agreement. In accordance with the terms of the agreement, the Company also issued to Jared Margolis, the founder of Jared M., an option to acquire 100,000 shares of the Company’s common stock at an exercise price of $9.42 per share. The option will vest ratably over four-years with the first one-fourth vesting on May 2, 2007.</w:t>
      </w:r>
    </w:p>
    <w:p>
      <w:pPr>
        <w:sectPr>
          <w:pgSz w:w="11900" w:h="16838" w:orient="portrait"/>
          <w:cols w:equalWidth="0" w:num="1">
            <w:col w:w="11320"/>
          </w:cols>
          <w:pgMar w:left="240" w:top="2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Part I, Item 1A of the Company’s Annual Report on Form 10-K for the year ended January 28, 2006, previously filed with the Securities and Exchange Commission on March 31, 2006, which identifies certain risks and uncertainties that may have an impact on future earnings and the direction of the Company.</w:t>
      </w:r>
    </w:p>
    <w:p>
      <w:pPr>
        <w:spacing w:after="0" w:line="3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and tall men’s apparel with retail operations throughout the United States, Canada and London, England. The Company operates 487 Casual Male XL and Casual Male Big &amp; Tall stores, 13 Casual Male at Sears Canada stores, 23 Rochester Big &amp; Tall stores and a direct to consumer business, which includes a catalog business and two e-commerce sites.</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February 3, 2007 and January 28, 2006 as “fiscal 2006” and “fiscal 2005,”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first quarter of fiscal 2006 has been a continuation of the positive operating results and performance that the Company reported for fiscal 2005. The Company’s strategic objective continues to be in growing its market share of the big &amp; tall men’s market and improving its overall profitability. During the first quarter of fiscal 2006, the Company completed several transactions towards meeting those objectives: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Re-Branding Initiative</w:t>
      </w:r>
    </w:p>
    <w:p>
      <w:pPr>
        <w:spacing w:after="0" w:line="9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During the first quarter of fiscal 2006, the Company continued its initiative of re-branding all of its full-price Casual Male Big &amp; Tall business to “Casual Male XL” as part of its strategy to remove the stigma associated with “big &amp; tall” so as to appeal to a broader group of its target market, a younger demographic and the smaller and taller market segment of the big &amp; tall market. This re-branding included the re-engineering of the look and feel of its Casual Male brand in all communications, including its store fronts and in-store signage, as well as throughout its catalog and website. The Company tested this re-branding during the third quarter of fiscal 2005 in six markets, representing 24 stores, and based on the positive performance of these stores during the fourth quarter of fiscal 2005, the Company continued the roll-out and by the end of May 2006 has completed the conversion of all stores, its website and catalog.</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Sale-Leaseback Transaction</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30, 2006, the Company entered into a sale-leaseback transaction with Spirit Finance Corp. (“Spirit”), a third party real estate trust. Pursuant to the sale-leaseback transaction, the Company sold to Spirit its rights, title and interest in its headquarters and distribution center property for $57.0 million. The property consists of a 755,992 gross square foot building located on approximately 27.3 acres in Canton, MA. At the closing, the Company entered into a Lease Agreement with SPE, a wholly-owned subsidiary of Spirit (the “Lease Agreement”) whereby the Company agreed to lease the property back for an annual rent of $4.6 million, payable monthly and in advance. The initial period of the Lease Agreement is for 20 years and will expire January 31, 2026 unless an option period is exercised.</w:t>
      </w:r>
    </w:p>
    <w:p>
      <w:pPr>
        <w:spacing w:after="0" w:line="14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During the first quarter of fiscal 2006, the Company recognized a gain of approximately $29.3 million on the sale of property, net of approximately $1.0 million of transaction costs. The gain has been deferred and will be amortized over the initial term of the related lease agreement of 20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LPI</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April 25, 2006, the Company sold its loss prevention subsidiary, LP Innovations, Inc. (“LPI”), to a private equity firm for a purchase price of $5.2 million. The Company received $3.0 million of the purchase price in cash at the closing and entered into a note for the remaining purchase price of $2.2 million. The Company recognized an initial gain on the sale of LPI in the amount of $1.5 million which was recorded as other income for the first quarter of fiscal 2006. Due to the uncertainty regarding the collection of the note, the Company has fully reserved the balance of the note on the Consolidated Balance Sheet at April 29, 2006 and is treating the amount as a contingent gain and, accordingly, will recognize income as the note is repaid to the Company. Such amounts recognized as income will be disclosed in future filings and will be included in “other income” on the Consolidated Statement of Operations. See Note 3 of the Notes to the Consolidated Financial Statements, for a complete description of the sale.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Acquisition</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May 2, 2006, subsequent to the end of the first quarter of 2006, the Company acquired Jared M., an apparel company specializing in selling custom clothing to professional athletes, almost all of whom are big &amp; tall, for a purchase price of approximately $2.8 million, plus assumed liabilities. The Company sees this acquisition as a future growth vehicle for its Rochester division. Utilizing the Company’s existing real estate and sourcing capabilities, the Company sees significant growth opportunities from this business. Initially, the Company plans to open several Jared M. shops within the Company’s existing Rochester Big &amp; Tall stores and then expand the business to catalog and internet. This acquisition fits into the Company’s long-term strategy to gain market share in the big &amp; tall market. See Note 9 of the Notes to the Consolidated Financial Statements, for a complete description of the sale.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color w:val="auto"/>
        </w:rPr>
        <w:t>For the first quarter of fiscal 2006, sales, which include its e-commerce and catalog businesses, increased 5.8% to $102.9 million as compared to sales of $97.3 million for the first quarter of fiscal 2005. This increase of approximately $5.6 million was due to increases from all of its businesses. The retail store operations had an increase of 3.2% over the prior year’s first quarter while the Company’s direct business, which includes internet and catalog, increased by 20.8%. For the first quarter of fiscal 2006, the direct business represented approximately 14% of total consolidated sales, up from 12% for the first quarter of fiscal 2005.</w:t>
      </w:r>
    </w:p>
    <w:p>
      <w:pPr>
        <w:spacing w:after="0" w:line="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Comparable store sales, which include stores that have been open for at least one full year, e-commerce and catalog sales increased 5.4% for the first quarter of fiscal 2006 as compared to the same period of the prior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first quarter of fiscal 2005, the Company’s gross margin rate, inclusive of occupancy costs, was 43.8% which was an increase of 2.4 percentage points as compared to a gross margin rate of 41.4% for the first quarter of fiscal 2005. This increase was attributable to improved merchandise margins of approximately 1.8 percentage points over the</w:t>
      </w:r>
    </w:p>
    <w:p>
      <w:pPr>
        <w:sectPr>
          <w:pgSz w:w="11900" w:h="16838" w:orient="portrait"/>
          <w:cols w:equalWidth="0" w:num="1">
            <w:col w:w="11380"/>
          </w:cols>
          <w:pgMar w:left="240" w:top="280" w:right="279" w:bottom="1440" w:gutter="0" w:footer="0" w:header="0"/>
        </w:sectPr>
      </w:pPr>
    </w:p>
    <w:bookmarkStart w:id="14" w:name="page15"/>
    <w:bookmarkEnd w:id="14"/>
    <w:p>
      <w:pPr>
        <w:jc w:val="both"/>
        <w:ind w:right="6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year and improved occupancy rates as a percent of sales of 0.6 percentage points. The improvement in merchandise margin was due to a decrease in promotional markdowns, less clearance of its fashion inventory and improved initial margins related to its direct sourcing initiatives. The improvement in occupancy costs, as a percent to sales, was principally due to the leveraging of the sales for the first quarter of fiscal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(“SG&amp;A”) expenses as a percentage of sales for the first quarter of fiscal 2006 were 38.3% of sales as compared to 38.2% for the first quarter of fiscal 2005. The increase in SG&amp;A expenses of $2.2 million is partially due to approximately $900,000 of occupancy costs associated with the Company’s new lease on its corporate headquarters which was part of the sale-leaseback that occurred on January 30, 2006. The remainder of the increase relates solely to the increased sales volume and as a percentage of sales, excluding the occupancy costs for the corporate office, SG&amp;A expenses as a percent of sales decreased.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Net interest expense was $1.2 million for the first quarter of fiscal 2006 as compared to $2.0 million for the first quarter of fiscal 2005. This decrease in interest expense is due to the repayment of approximately $22.1 million of long term debt in addition to a decrease in average borrowings under it credit facility of approximately $22.4 million for the first quarter of fiscal 2006 as compared to the first quarter of fiscal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more fully above, “other income, net” for the first quarter of fiscal 2006 includes the initial gain on the sale of LPI in the amount of $1.4 million. This gain was offset slightly by approximately $370,000 of expenses associated with the reimbursement of legal costs incurred by JMI. See Note 8 to the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During the fourth quarter of fiscal 2005, the Company determined that it is more likely than not that it will be able to realize the benefits of a portion of its deferred tax assets and a portion of the Company’s valuation allowance was reversed at that time. For the first quarter of fiscal 2006, the Company began recording an income tax provision on its pretax earnings at its effective rate of 39.5%. Approximately $0.3 million of this provision related to deferred income taxes for which the Company recorded a corresponding offset to the valuation allowance. Based on net operating loss carryforwards available to the Company, management expects that cash payments for taxes will continue to be minimal at this time. At April 29, 2006, the Company had total gross deferred tax assets of approximately $43.0 million, with a corresponding valuation allowance of $39.9 million. These tax assets principally relate to federal net operating loss carryforwards that expire from 2018 through 2024. The ability to reduce the Company’s corresponding valuation allowance of $39.9 million in the future is dependent upon the Company’s continued ability to achieve sustained taxable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quarter of fiscal 2006, the Company had net income of $1.4 million, or $0.04 per diluted share, as compared to a net loss of $1.9 million, or $0.05 per diluted share, for the first quarter of fiscal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At April 29, 2006, total inventory equaled $103.3 million compared to $91.5 million at January 28, 2006 and $92.2 million at April 30, 2005. The Company has increased its inventory, primarily in core product, to ensure that it is well-positioned with adequate stock by size in both its Casual Male and Rochester retail stores. The Company’s inventory for its direct businesses has also increased to support the increased volume.</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SEASONALITY</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and debt offerings. The Company’s objective is to maintain a positive cash flow after capital expenditures such that it can support its growth activities with operational cash flows and without the use of incurring any additional debt.</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the first three months of fiscal 2006, cash used by operating activities was $12.7 million as compared to $4.7 million for the corresponding period of the prior year. There was a substantial improvement in operating income for the first quarter of fiscal 2006 as compared to fiscal 2005, although as expected due to seasonal fluctuations, there was a decrease in cash flow from operations which was the result of changes in normal working capital accounts.</w:t>
      </w:r>
    </w:p>
    <w:p>
      <w:pPr>
        <w:spacing w:after="0" w:line="10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with Bank of America Retail Group, Inc., which was most recently amended on January 30, 2006 in connection with the sale-leaseback transaction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America’s prime rate or the London Interbank Offering Rate and vary depending on the Company’s levels of excess availability.</w:t>
      </w:r>
    </w:p>
    <w:p>
      <w:pPr>
        <w:spacing w:after="0" w:line="12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had no outstanding borrowings under the Amended Credit Facility at April 29, 2006. Outstanding standby letters of credit were $4.4 million and outstanding documentary letters of credit were $1.5 million. Average borrowings outstanding under this facility during the first three months of fiscal 2006 were approximately $1.4 million, resulting in an average unused excess availability of approximately $70.0 million. Unused excess availability at April 29, 2006 was $74.0 million.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April 29, 2006 and April 30, 2005,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260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At April 29, 2006</w:t>
            </w:r>
          </w:p>
        </w:tc>
        <w:tc>
          <w:tcPr>
            <w:tcW w:w="68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At April 30, 2005</w:t>
            </w:r>
          </w:p>
        </w:tc>
        <w:tc>
          <w:tcPr>
            <w:tcW w:w="0" w:type="dxa"/>
            <w:vAlign w:val="bottom"/>
          </w:tcPr>
          <w:p>
            <w:pPr>
              <w:spacing w:after="0"/>
              <w:rPr>
                <w:sz w:val="1"/>
                <w:szCs w:val="1"/>
                <w:color w:val="auto"/>
              </w:rPr>
            </w:pPr>
          </w:p>
        </w:tc>
      </w:tr>
      <w:tr>
        <w:trPr>
          <w:trHeight w:val="149"/>
        </w:trPr>
        <w:tc>
          <w:tcPr>
            <w:tcW w:w="5540" w:type="dxa"/>
            <w:vAlign w:val="bottom"/>
            <w:gridSpan w:val="3"/>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12"/>
                <w:szCs w:val="12"/>
                <w:color w:val="auto"/>
              </w:rPr>
            </w:pPr>
          </w:p>
        </w:tc>
        <w:tc>
          <w:tcPr>
            <w:tcW w:w="15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Casual Male XL and Casual Male Big &amp; Tall</w:t>
            </w: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3,421</w:t>
            </w:r>
          </w:p>
        </w:tc>
        <w:tc>
          <w:tcPr>
            <w:tcW w:w="1020" w:type="dxa"/>
            <w:vAlign w:val="bottom"/>
          </w:tcPr>
          <w:p>
            <w:pPr>
              <w:jc w:val="right"/>
              <w:spacing w:after="0"/>
              <w:rPr>
                <w:sz w:val="20"/>
                <w:szCs w:val="20"/>
                <w:color w:val="auto"/>
              </w:rPr>
            </w:pPr>
            <w:r>
              <w:rPr>
                <w:rFonts w:ascii="Arial" w:cs="Arial" w:eastAsia="Arial" w:hAnsi="Arial"/>
                <w:sz w:val="18"/>
                <w:szCs w:val="18"/>
                <w:color w:val="auto"/>
              </w:rPr>
              <w:t>495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7,727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Sears Canada</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1,160</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outlays for capital expenditures for the first three months of fiscal 2006 were $2.5 million as compared to $1.8 million for the first three months of fiscal 2005. Below is a summary of store openings and closings since January 28,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Rochester</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Sears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Casual Male</w:t>
            </w:r>
          </w:p>
        </w:tc>
        <w:tc>
          <w:tcPr>
            <w:tcW w:w="48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Big &amp; Tall</w:t>
            </w:r>
          </w:p>
        </w:tc>
        <w:tc>
          <w:tcPr>
            <w:tcW w:w="5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Canada</w:t>
            </w:r>
          </w:p>
        </w:tc>
        <w:tc>
          <w:tcPr>
            <w:tcW w:w="4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Total stores</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At January 28, 2006</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481</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New outlet stores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Closed stores</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At April 29, 2006</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8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8"/>
                <w:szCs w:val="18"/>
                <w:color w:val="auto"/>
              </w:rPr>
            </w:pPr>
          </w:p>
        </w:tc>
      </w:tr>
      <w:tr>
        <w:trPr>
          <w:trHeight w:val="221"/>
        </w:trPr>
        <w:tc>
          <w:tcPr>
            <w:tcW w:w="7380" w:type="dxa"/>
            <w:vAlign w:val="bottom"/>
            <w:gridSpan w:val="2"/>
          </w:tcPr>
          <w:p>
            <w:pPr>
              <w:spacing w:after="0"/>
              <w:rPr>
                <w:sz w:val="20"/>
                <w:szCs w:val="20"/>
                <w:color w:val="auto"/>
              </w:rPr>
            </w:pPr>
            <w:r>
              <w:rPr>
                <w:rFonts w:ascii="Arial" w:cs="Arial" w:eastAsia="Arial" w:hAnsi="Arial"/>
                <w:sz w:val="18"/>
                <w:szCs w:val="18"/>
                <w:color w:val="auto"/>
              </w:rPr>
              <w:t>Remodels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bl>
    <w:p>
      <w:pPr>
        <w:spacing w:after="0" w:line="15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Company expects that its total capital expenditures for fiscal 2006 will be approximately $20.0 million, of which $8.0 million relates to its re-branding of the Casual Male Big &amp; Tall retail stores to Casual Male XL. The Company expects to incur approximately $6.2 million for store capital related to new stores as well as remodels and relocations, with the remainder of the $20.0 million for system enhancements and other corporate level expenditures. Included in store expansion are funds to remodel an additional 13 of its existing Casual Male Big &amp; Tall retail stores at an estimated $35,000 to $45,000 for each location.</w:t>
      </w:r>
    </w:p>
    <w:p>
      <w:pPr>
        <w:spacing w:after="0" w:line="11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For the remainder of fiscal 2006, the Company intends to open two additional Casual Male stores and close up to 13 of its older Casual Male stores as their respective leases expire. The Company also plans to open 4 new Rochester Big &amp; Tall retail stores.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With the adoption of SFAS 123R at the beginning of the Company’s first quarter of fiscal 2006, “Stock-Based Compensation” was added as a critical accounting policy. There have been no other material changes to the critical accounting policies and estimates disclosed in the Company’s Annual Report on Form 10-K for the year ended January 28, 2006, filed with the SEC on March 31, 2006.</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As of January 29, 2006, the Company adopted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our valuation techniques previously utilized for options in footnote disclosures required under SFAS 123, as amended by SFAS 148, and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Prior periods have not been restated to incorporate the stock-based compensation charge. The compensation expense recognized in connection with the adoption of SFAS 123R decreased the Company’s income before taxes and net income by $52,000 and 31,000, respectively, with no impact to earnings per share for the first quarter of fiscal 2006. There was no impact on cash flows from operations, investment, or financing in connection with the adoption of SFAS 123R.</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utilizes cash from operations and the Amended Credit Facility to fund its working capital needs. The Amended Credit Facility is not used for trading or speculative purposes. In addition, the Company has available letters of credit as sources of financing for its working capital requirements. Borrowings under the Amended Credit Facility, which expires in October 29, 2007, bear interest at variable rates based on Bank of America’s prime rate or the London Interbank Offering Rate (“LIBOR”). At April 29, 2006, the prime interest rate on borrowings was 7.75% and the Company had no outstanding LIBOR contracts. Based upon a sensitivity analysis as of April 29, 2006, assuming average outstanding borrowing during fiscal 2006 of $1.4 million, a 50 basis point increase in the prime based interest rates would have resulted in a potential increase in interest expense of approximately $7,000.</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The Company’s Sears Canada store locations conduct business in Canadian dollars and the Company’s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to U.S. dollars may decline. As of April 29, 2006, sales from the Company’s Sears Canada stores and its London Rochester Big &amp; Tall store were immaterial to consolidated sales. As such, the Company believes that movement in foreign currency exchange rates will not have a material adverse affect on the financial position or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April 29, 2006.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the Company’s Chief Executive Officer and Chief Financial Officer concluded that, as of April 29, 2006,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No change in the Company’s internal control over financial reporting (as defined in Rules 13a-15(f) and 15d-15(f) under the Exchange Act) occurred during the quarter ended April 29, 2006 that has materially affected, or is reasonably likely to materially affect, the Company’s internal control over financial reporting.</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We believe that the resolution of these matters will not have an adverse impact on our results of operations or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the Company’s Annual Report on Form 10-K for the year ended January 28, 2006 filed with the SEC on March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On May 26, 2006, the Company entered into letter agreements with Messrs. Levin and Hernreich, which amended their respective Employment Agreements (most recently amended May 9, 2005). Pursuant to the letter agreements, Messrs. Levin and Hernreich each received an increase in annual salary to $750,000 and $575,000, respectively. In addition, the letter agreements provided that Messrs. Levin and Hernreich shall each be entitled to receive a cash bonus for fiscal 2006 ranging from 80% to 150% of their respective annual salaries if the Company achieves a certain range of EBITDA (earnings before interest, taxes and depreciation and amortization) for fiscal 2006.</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26, 2006, the Company entered into a letter agreement with Jewelcor Management, Inc. (“JMI”), which amended its consulting agreement with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(most recently amended May 9, 2005). Pursuant to the letter agreement, JMI received an increase in annual consulting fees from $412,000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$527,000. JMI will continue to receive $24,000 annually for reimbursement of expenses. In addition, JMI will be entitled to receive a cash bonus for fiscal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2006 ranging from 80% to 150% of a bonus target of $575,000 if the Company achieves a certain range of EBITDA (earnings before interest, taxes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for fiscal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Letter Agreement dated May 26, 2006 between the Company and David A. Levin</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Letter Agreement dated May 26, 2006 between the Company and Dennis R. Hernreich</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Letter Agreement dated May 26, 2006 between the Company and Jewelcor Management, Inc.</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ectPr>
          <w:pgSz w:w="11900" w:h="16838" w:orient="portrait"/>
          <w:cols w:equalWidth="0" w:num="1">
            <w:col w:w="11420"/>
          </w:cols>
          <w:pgMar w:left="240" w:top="274" w:right="239" w:bottom="1440" w:gutter="0" w:footer="0" w:header="0"/>
        </w:sectPr>
      </w:pPr>
    </w:p>
    <w:bookmarkStart w:id="19" w:name="page20"/>
    <w:bookmarkEnd w:id="1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000"/>
          </w:cols>
          <w:pgMar w:left="240" w:top="280" w:right="659" w:bottom="1440" w:gutter="0" w:footer="0" w:header="0"/>
        </w:sectPr>
      </w:pPr>
    </w:p>
    <w:bookmarkStart w:id="20" w:name="page21"/>
    <w:bookmarkEnd w:id="20"/>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30, 2006</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9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26, 2006</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David A. Levin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From:</w:t>
        <w:tab/>
        <w:t>CMRG Compensation Committee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w:t>
      </w:r>
    </w:p>
    <w:p>
      <w:pPr>
        <w:spacing w:after="0" w:line="9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This confirms your bonus for business year 2005. The results achieved yielded a 75% bonus against a target of $600,000 or $450,000. Congratulations on a great performance. At the April 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meeting of the Board, the committee also recommended to the Board, and the Board authorized, that you should receive 200,000 options in recognition of your efforts during the 2005 business year, with an option price equal to the closing price of the Company’s common stock on April 24, 2006.</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to the current year, business year 2006, we are raising your salary to $750,000 effective as of May 1, 2006.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Your targeted base bonus for business year 2006 will be $750,000 and will be performance based. The sole metric will be EBITDA (before extraordinary items).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illustrative table below shows EBITDA and bonus amounts in round numbers. The actual bonus will be calculated from real EBITDA dollar amounts.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illustrates the parameters of the plan:</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8"/>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EBITDA</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Bonus %</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 $</w:t>
            </w: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700" w:type="dxa"/>
            <w:vAlign w:val="bottom"/>
          </w:tcPr>
          <w:p>
            <w:pPr>
              <w:jc w:val="right"/>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70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110</w:t>
            </w:r>
          </w:p>
        </w:tc>
        <w:tc>
          <w:tcPr>
            <w:tcW w:w="700" w:type="dxa"/>
            <w:vAlign w:val="bottom"/>
          </w:tcPr>
          <w:p>
            <w:pPr>
              <w:jc w:val="right"/>
              <w:spacing w:after="0"/>
              <w:rPr>
                <w:sz w:val="20"/>
                <w:szCs w:val="20"/>
                <w:color w:val="auto"/>
              </w:rPr>
            </w:pPr>
            <w:r>
              <w:rPr>
                <w:rFonts w:ascii="Arial" w:cs="Arial" w:eastAsia="Arial" w:hAnsi="Arial"/>
                <w:sz w:val="18"/>
                <w:szCs w:val="18"/>
                <w:color w:val="auto"/>
              </w:rPr>
              <w:t>825,000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120</w:t>
            </w: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130</w:t>
            </w:r>
          </w:p>
        </w:tc>
        <w:tc>
          <w:tcPr>
            <w:tcW w:w="700" w:type="dxa"/>
            <w:vAlign w:val="bottom"/>
          </w:tcPr>
          <w:p>
            <w:pPr>
              <w:jc w:val="right"/>
              <w:spacing w:after="0"/>
              <w:rPr>
                <w:sz w:val="20"/>
                <w:szCs w:val="20"/>
                <w:color w:val="auto"/>
              </w:rPr>
            </w:pPr>
            <w:r>
              <w:rPr>
                <w:rFonts w:ascii="Arial" w:cs="Arial" w:eastAsia="Arial" w:hAnsi="Arial"/>
                <w:sz w:val="18"/>
                <w:szCs w:val="18"/>
                <w:color w:val="auto"/>
              </w:rPr>
              <w:t>975,000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140</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1,087,500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150</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1,125,000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bonus is capped at 150% of your target. That is, any EBITDA in excess of *MM will still earn the maximum bonus of $1,125,000.</w:t>
      </w:r>
    </w:p>
    <w:p>
      <w:pPr>
        <w:sectPr>
          <w:pgSz w:w="11900" w:h="16838" w:orient="portrait"/>
          <w:cols w:equalWidth="0" w:num="1">
            <w:col w:w="11420"/>
          </w:cols>
          <w:pgMar w:left="240" w:top="125" w:right="239" w:bottom="1440" w:gutter="0" w:footer="0" w:header="0"/>
        </w:sectPr>
      </w:pPr>
    </w:p>
    <w:bookmarkStart w:id="22" w:name="page23"/>
    <w:bookmarkEnd w:id="22"/>
    <w:p>
      <w:pPr>
        <w:ind w:right="220" w:firstLine="8"/>
        <w:spacing w:after="0" w:line="256"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supported by the Securities and Exchange Commission’s Frequently Asked Questions dated November 23, 2004 (Question 13), and consistent with the treatment of similar information under Instruction 2 to Item 402(k) of Regulation S-K, the Registrant has excluded information relating to target levels with respect to specific quantitative or qualitative performance – related factors, or factors or criteria involving confidential commercial or business information, the disclosure of which would have an adverse effect on the Registrant].</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purposes of this 2006 Bonus Plan, the 2006 EBITDA shall include only those CMRG operations that existed in 2005. For example, if the Company acquires another business in 2006, EBITDA generated from that business shall be excluded for purposes of this 2006 Bonus Plan.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As has been our custom, to be eligible for the bonus, you must be actively employed at the end of the fiscal year and at the time of the bonus distribution.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Kindest Regards,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Committee: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ESSE</w:t>
            </w:r>
            <w:r>
              <w:rPr>
                <w:rFonts w:ascii="Arial" w:cs="Arial" w:eastAsia="Arial" w:hAnsi="Arial"/>
                <w:sz w:val="18"/>
                <w:szCs w:val="18"/>
                <w:color w:val="auto"/>
              </w:rPr>
              <w:t xml:space="preserve"> H. C</w:t>
            </w:r>
            <w:r>
              <w:rPr>
                <w:rFonts w:ascii="Arial" w:cs="Arial" w:eastAsia="Arial" w:hAnsi="Arial"/>
                <w:sz w:val="14"/>
                <w:szCs w:val="14"/>
                <w:color w:val="auto"/>
              </w:rPr>
              <w:t>HOPER</w:t>
            </w:r>
          </w:p>
        </w:tc>
        <w:tc>
          <w:tcPr>
            <w:tcW w:w="12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EORGE</w:t>
            </w:r>
            <w:r>
              <w:rPr>
                <w:rFonts w:ascii="Arial" w:cs="Arial" w:eastAsia="Arial" w:hAnsi="Arial"/>
                <w:sz w:val="18"/>
                <w:szCs w:val="18"/>
                <w:color w:val="auto"/>
              </w:rPr>
              <w:t xml:space="preserve"> T. P</w:t>
            </w:r>
            <w:r>
              <w:rPr>
                <w:rFonts w:ascii="Arial" w:cs="Arial" w:eastAsia="Arial" w:hAnsi="Arial"/>
                <w:sz w:val="14"/>
                <w:szCs w:val="14"/>
                <w:color w:val="auto"/>
              </w:rPr>
              <w:t>ORTER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Jesse H. Choper</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George T. Porter, Jr.</w:t>
            </w:r>
          </w:p>
        </w:tc>
      </w:tr>
    </w:tbl>
    <w:p>
      <w:pPr>
        <w:sectPr>
          <w:pgSz w:w="11900" w:h="16838" w:orient="portrait"/>
          <w:cols w:equalWidth="0" w:num="1">
            <w:col w:w="11420"/>
          </w:cols>
          <w:pgMar w:left="240"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color w:val="auto"/>
        </w:rPr>
        <w:t>Exhibit 10.2</w:t>
      </w:r>
    </w:p>
    <w:p>
      <w:pPr>
        <w:sectPr>
          <w:pgSz w:w="11900" w:h="16838" w:orient="portrait"/>
          <w:cols w:equalWidth="0" w:num="1">
            <w:col w:w="11420"/>
          </w:cols>
          <w:pgMar w:left="240" w:top="125" w:right="2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26,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Dennis Hernreich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EVP, COO and CFO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CMRG Compensation Committee</w:t>
      </w:r>
    </w:p>
    <w:p>
      <w:pPr>
        <w:spacing w:after="0" w:line="200" w:lineRule="exact"/>
        <w:rPr>
          <w:sz w:val="20"/>
          <w:szCs w:val="20"/>
          <w:color w:val="auto"/>
        </w:rPr>
      </w:pPr>
    </w:p>
    <w:p>
      <w:pPr>
        <w:sectPr>
          <w:pgSz w:w="11900" w:h="16838" w:orient="portrait"/>
          <w:cols w:equalWidth="0" w:num="2">
            <w:col w:w="440" w:space="260"/>
            <w:col w:w="10720"/>
          </w:cols>
          <w:pgMar w:left="240" w:top="125" w:right="239" w:bottom="1440" w:gutter="0" w:footer="0" w:header="0"/>
          <w:type w:val="continuous"/>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Dennis: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confirms your bonus for business year 2005. The results achieved yielded a 75% bonus against a target of $460,000 or $345,000. Congratulations on a great performance. At the April 24-25, 2006 meeting of the Board, the committee also recommended to the Board, and the Board authorized, that you should receive 160,000 options in recognition of your efforts during the business year, with an option exercise price equal to the closing price of the Company’s common stock on April 24, 2006.</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to the current year, business year 2006, we are raising your salary to $575,000 effective as of May 1, 2006.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Your targeted base bonus for business year 2006 will be $575,000 and will be performance based. The sole metric will be EBITDA (before extraordinary items).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illustrative table below shows EBITDA and bonus amounts in round numbers. The actual bonus will be calculated from real EBITDA dollar amounts.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illustrates the parameters of the plan:</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8"/>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EBITDA</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Bonus %</w:t>
            </w:r>
          </w:p>
        </w:tc>
        <w:tc>
          <w:tcPr>
            <w:tcW w:w="2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Bonus $</w:t>
            </w: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833,750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862,500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bonus is capped at 150% of your target. That is, any EBITDA in excess of *MM will still earn the maximum bonus of $862,500.</w:t>
      </w:r>
    </w:p>
    <w:p>
      <w:pPr>
        <w:sectPr>
          <w:pgSz w:w="11900" w:h="16838" w:orient="portrait"/>
          <w:cols w:equalWidth="0" w:num="1">
            <w:col w:w="11420"/>
          </w:cols>
          <w:pgMar w:left="240" w:top="125" w:right="239" w:bottom="1440" w:gutter="0" w:footer="0" w:header="0"/>
          <w:type w:val="continuous"/>
        </w:sectPr>
      </w:pPr>
    </w:p>
    <w:bookmarkStart w:id="24" w:name="page25"/>
    <w:bookmarkEnd w:id="24"/>
    <w:p>
      <w:pPr>
        <w:ind w:right="220" w:firstLine="8"/>
        <w:spacing w:after="0" w:line="256" w:lineRule="auto"/>
        <w:tabs>
          <w:tab w:leader="none" w:pos="13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supported by the Securities and Exchange Commission’s Frequently Asked Questions dated November 23, 2004 (Question 13), and consistent with the treatment of similar information under Instruction 2 to Item 402(k) of Regulation S-K, the Registrant has excluded information relating to target levels with respect to specific quantitative or qualitative performance – related factors, or factors or criteria involving confidential commercial or business information, the disclosure of which would have an adverse effect on the Registrant].</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purposes of this 2006 Bonus Plan, the 2006 EBITDA shall include only those CMRG operations that existed in 2005. For example, if the Company acquires another business in 2006, EBITDA generated from that business shall be excluded for purposes of this 2006 Bonus Plan.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As has been our custom, to be eligible for the bonus, you must be actively employed at the end of the fiscal year and at the time of the bonus distribution.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Kindest Regards,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Committee: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ESSE</w:t>
            </w:r>
            <w:r>
              <w:rPr>
                <w:rFonts w:ascii="Arial" w:cs="Arial" w:eastAsia="Arial" w:hAnsi="Arial"/>
                <w:sz w:val="18"/>
                <w:szCs w:val="18"/>
                <w:color w:val="auto"/>
              </w:rPr>
              <w:t xml:space="preserve"> H. C</w:t>
            </w:r>
            <w:r>
              <w:rPr>
                <w:rFonts w:ascii="Arial" w:cs="Arial" w:eastAsia="Arial" w:hAnsi="Arial"/>
                <w:sz w:val="14"/>
                <w:szCs w:val="14"/>
                <w:color w:val="auto"/>
              </w:rPr>
              <w:t>HOPER</w:t>
            </w:r>
          </w:p>
        </w:tc>
        <w:tc>
          <w:tcPr>
            <w:tcW w:w="12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EORGE</w:t>
            </w:r>
            <w:r>
              <w:rPr>
                <w:rFonts w:ascii="Arial" w:cs="Arial" w:eastAsia="Arial" w:hAnsi="Arial"/>
                <w:sz w:val="18"/>
                <w:szCs w:val="18"/>
                <w:color w:val="auto"/>
              </w:rPr>
              <w:t xml:space="preserve"> T. P</w:t>
            </w:r>
            <w:r>
              <w:rPr>
                <w:rFonts w:ascii="Arial" w:cs="Arial" w:eastAsia="Arial" w:hAnsi="Arial"/>
                <w:sz w:val="14"/>
                <w:szCs w:val="14"/>
                <w:color w:val="auto"/>
              </w:rPr>
              <w:t>ORTER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Jesse H. Choper</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George T. Porter, Jr.</w:t>
            </w:r>
          </w:p>
        </w:tc>
      </w:tr>
    </w:tbl>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10.3</w:t>
      </w:r>
    </w:p>
    <w:p>
      <w:pPr>
        <w:sectPr>
          <w:pgSz w:w="11900" w:h="16838" w:orient="portrait"/>
          <w:cols w:equalWidth="0" w:num="1">
            <w:col w:w="11420"/>
          </w:cols>
          <w:pgMar w:left="240" w:top="125" w:right="2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26, 2006</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Seymour Holtzman, Chairman of the Board of CMRG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CMRG Compensation Committee</w:t>
      </w:r>
    </w:p>
    <w:p>
      <w:pPr>
        <w:spacing w:after="0" w:line="200" w:lineRule="exact"/>
        <w:rPr>
          <w:sz w:val="20"/>
          <w:szCs w:val="20"/>
          <w:color w:val="auto"/>
        </w:rPr>
      </w:pPr>
    </w:p>
    <w:p>
      <w:pPr>
        <w:sectPr>
          <w:pgSz w:w="11900" w:h="16838" w:orient="portrait"/>
          <w:cols w:equalWidth="0" w:num="2">
            <w:col w:w="440" w:space="260"/>
            <w:col w:w="10720"/>
          </w:cols>
          <w:pgMar w:left="240" w:top="125" w:right="239" w:bottom="1440"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Seymour:</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confirms your bonus for business year 2005. The results achieved yielded a 75% bonus against a target of $460,000 or $345,000. Congratulations on a great performance. At the April 24-25, 2006 meeting of the Board, the committee also recommended to the Board, and the Board authorized, that you should receive 160,000 options in recognition of your efforts during the business year, with an option exercise price equal to the closing price of the Company’s common stock on April 24, 2006.</w:t>
      </w:r>
    </w:p>
    <w:p>
      <w:pPr>
        <w:spacing w:after="0" w:line="14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to the current year, business year 2006, we are raising the compensation of your management company, Jewelcor Management, Inc.’s (“JMI”) Consulting Agreement to $527,000 effective as of May 1, 2006. As in previous years, you will be paid an annual salary of $24,000 and JMI will receive an annual expense reimbursement of $24,000. Therefore, the total compensation for the business year 2006, paid to you and JMI is $575,000.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Your targeted base bonus for business year 2006 will be $575,000 and will be performance based. The sole metric will be EBITDA (before extraordinary items).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illustrative table below shows EBITDA and bonus amounts in round numbers. The actual bonus will be calculated from real EBITDA dollar amounts.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illustrates the parameters of the plan:</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8"/>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EBITDA</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Bonus %</w:t>
            </w:r>
          </w:p>
        </w:tc>
        <w:tc>
          <w:tcPr>
            <w:tcW w:w="2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Bonus $</w:t>
            </w: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833,750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862,500</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bonus is capped at 150% of your target. That is, any EBITDA in excess of *MM will still earn the maximum bonus of $862,500.</w:t>
      </w:r>
    </w:p>
    <w:p>
      <w:pPr>
        <w:spacing w:after="0" w:line="171" w:lineRule="exact"/>
        <w:rPr>
          <w:sz w:val="20"/>
          <w:szCs w:val="20"/>
          <w:color w:val="auto"/>
        </w:rPr>
      </w:pPr>
    </w:p>
    <w:p>
      <w:pPr>
        <w:ind w:right="220" w:firstLine="8"/>
        <w:spacing w:after="0" w:line="256" w:lineRule="auto"/>
        <w:tabs>
          <w:tab w:leader="none" w:pos="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supported by the Securities and Exchange Commission’s Frequently Asked Questions dated November 23, 2004 (Question 13), and consistent with the treatment of similar information under Instruction 2 to Item 402(k) of Regulation S-K, the Registrant has excluded information relating to target levels with respect to specific quantitative or qualitative performance – related factors, or factors or criteria involving confidential commercial or business information, the disclosure of which would have an adverse effect on the Registrant].</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purposes of this 2006 Bonus Plan, the 2006 EBITDA shall include only those CMRG operations that existed in 2005. For example, if the Company acquires another business in 2006, EBITDA generated from that business shall be excluded for purposes of this 2006 Bonus Plan.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has been our custom, to be eligible for the bonus grant, you must be actively employed at the end of the fiscal year and at the time of the bonus distribution and the Consulting Agreement between JMI and the Company must be in force at the end of the fiscal year end and at the time the bonus is distributed for JMI to be eligible.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Kindest Regards,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Committee: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ESSE</w:t>
            </w:r>
            <w:r>
              <w:rPr>
                <w:rFonts w:ascii="Arial" w:cs="Arial" w:eastAsia="Arial" w:hAnsi="Arial"/>
                <w:sz w:val="18"/>
                <w:szCs w:val="18"/>
                <w:color w:val="auto"/>
              </w:rPr>
              <w:t xml:space="preserve"> H. C</w:t>
            </w:r>
            <w:r>
              <w:rPr>
                <w:rFonts w:ascii="Arial" w:cs="Arial" w:eastAsia="Arial" w:hAnsi="Arial"/>
                <w:sz w:val="14"/>
                <w:szCs w:val="14"/>
                <w:color w:val="auto"/>
              </w:rPr>
              <w:t>HOPER</w:t>
            </w:r>
          </w:p>
        </w:tc>
        <w:tc>
          <w:tcPr>
            <w:tcW w:w="12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EORGE</w:t>
            </w:r>
            <w:r>
              <w:rPr>
                <w:rFonts w:ascii="Arial" w:cs="Arial" w:eastAsia="Arial" w:hAnsi="Arial"/>
                <w:sz w:val="18"/>
                <w:szCs w:val="18"/>
                <w:color w:val="auto"/>
              </w:rPr>
              <w:t xml:space="preserve"> T. P</w:t>
            </w:r>
            <w:r>
              <w:rPr>
                <w:rFonts w:ascii="Arial" w:cs="Arial" w:eastAsia="Arial" w:hAnsi="Arial"/>
                <w:sz w:val="14"/>
                <w:szCs w:val="14"/>
                <w:color w:val="auto"/>
              </w:rPr>
              <w:t>ORTER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Jesse H. Choper</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George T. Porter, Jr.</w:t>
            </w:r>
          </w:p>
        </w:tc>
      </w:tr>
    </w:tbl>
    <w:p>
      <w:pPr>
        <w:sectPr>
          <w:pgSz w:w="11900" w:h="16838" w:orient="portrait"/>
          <w:cols w:equalWidth="0" w:num="1">
            <w:col w:w="11420"/>
          </w:cols>
          <w:pgMar w:left="240" w:top="2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30,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30,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29, 2006,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30, 2006</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29, 2006,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30, 2006</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Roman"/>
      <w:start w:val="5"/>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2019-12-20T17:12:10Z</dcterms:created>
  <dcterms:modified xsi:type="dcterms:W3CDTF">2019-12-20T17:12:10Z</dcterms:modified>
</cp:coreProperties>
</file>