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5,206,300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5,206,300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5,206,300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148711104</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5,206,300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12.6%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5,206,300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5,206,300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419"/>
        <w:spacing w:after="0" w:line="275" w:lineRule="auto"/>
        <w:rPr>
          <w:sz w:val="20"/>
          <w:szCs w:val="20"/>
          <w:color w:val="auto"/>
        </w:rPr>
      </w:pPr>
      <w:r>
        <w:rPr>
          <w:rFonts w:ascii="Courier New" w:cs="Courier New" w:eastAsia="Courier New" w:hAnsi="Courier New"/>
          <w:sz w:val="16"/>
          <w:szCs w:val="16"/>
          <w:color w:val="auto"/>
        </w:rPr>
        <w:t>The interest of one account, Royce Low Priced Stock Fund an investment company registered under the Investment Company Act of 1940 and managed by Royce &amp; Associates, LLC, amounted to 2,245,900 shares or 5.43%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148711104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2019-12-11T14:36:44Z</dcterms:created>
  <dcterms:modified xsi:type="dcterms:W3CDTF">2019-12-11T14:36:44Z</dcterms:modified>
</cp:coreProperties>
</file>