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 of</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Exchange Act of 1934</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October 30, 2010</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6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6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60" w:type="dxa"/>
            <w:vAlign w:val="bottom"/>
          </w:tcPr>
          <w:p>
            <w:pPr>
              <w:spacing w:after="0"/>
              <w:rPr>
                <w:sz w:val="24"/>
                <w:szCs w:val="24"/>
                <w:color w:val="auto"/>
              </w:rPr>
            </w:pPr>
          </w:p>
        </w:tc>
        <w:tc>
          <w:tcPr>
            <w:tcW w:w="506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0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The number of shares of common stock outstanding as of October 30, 2010 was 47,757,431.</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4"/>
        </w:trPr>
        <w:tc>
          <w:tcPr>
            <w:tcW w:w="1760" w:type="dxa"/>
            <w:vAlign w:val="bottom"/>
            <w:tcBorders>
              <w:bottom w:val="single" w:sz="8" w:color="auto"/>
            </w:tcBorders>
          </w:tcPr>
          <w:p>
            <w:pPr>
              <w:spacing w:after="0"/>
              <w:rPr>
                <w:sz w:val="14"/>
                <w:szCs w:val="14"/>
                <w:color w:val="auto"/>
              </w:rPr>
            </w:pPr>
          </w:p>
        </w:tc>
        <w:tc>
          <w:tcPr>
            <w:tcW w:w="69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740" w:type="dxa"/>
            <w:vAlign w:val="bottom"/>
          </w:tcPr>
          <w:p>
            <w:pPr>
              <w:jc w:val="center"/>
              <w:ind w:left="1872"/>
              <w:spacing w:after="0"/>
              <w:rPr>
                <w:sz w:val="20"/>
                <w:szCs w:val="20"/>
                <w:color w:val="auto"/>
              </w:rPr>
            </w:pPr>
            <w:r>
              <w:rPr>
                <w:rFonts w:ascii="Arial" w:cs="Arial" w:eastAsia="Arial" w:hAnsi="Arial"/>
                <w:sz w:val="18"/>
                <w:szCs w:val="18"/>
                <w:b w:val="1"/>
                <w:bCs w:val="1"/>
                <w:color w:val="auto"/>
                <w:w w:val="99"/>
              </w:rPr>
              <w:t>PART I. FINANCIAL INFORMATION</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74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740" w:type="dxa"/>
            <w:vAlign w:val="bottom"/>
          </w:tcPr>
          <w:p>
            <w:pPr>
              <w:jc w:val="center"/>
              <w:ind w:left="1892"/>
              <w:spacing w:after="0"/>
              <w:rPr>
                <w:sz w:val="20"/>
                <w:szCs w:val="20"/>
                <w:color w:val="auto"/>
              </w:rPr>
            </w:pPr>
            <w:r>
              <w:rPr>
                <w:rFonts w:ascii="Arial" w:cs="Arial" w:eastAsia="Arial" w:hAnsi="Arial"/>
                <w:sz w:val="18"/>
                <w:szCs w:val="18"/>
                <w:b w:val="1"/>
                <w:bCs w:val="1"/>
                <w:color w:val="auto"/>
                <w:w w:val="98"/>
              </w:rPr>
              <w:t>CASUAL MALE RETAIL GROUP, INC.</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740" w:type="dxa"/>
            <w:vAlign w:val="bottom"/>
          </w:tcPr>
          <w:p>
            <w:pPr>
              <w:jc w:val="center"/>
              <w:ind w:left="1892"/>
              <w:spacing w:after="0"/>
              <w:rPr>
                <w:sz w:val="20"/>
                <w:szCs w:val="20"/>
                <w:color w:val="auto"/>
              </w:rPr>
            </w:pPr>
            <w:r>
              <w:rPr>
                <w:rFonts w:ascii="Arial" w:cs="Arial" w:eastAsia="Arial" w:hAnsi="Arial"/>
                <w:sz w:val="18"/>
                <w:szCs w:val="18"/>
                <w:b w:val="1"/>
                <w:bCs w:val="1"/>
                <w:color w:val="auto"/>
                <w:w w:val="96"/>
              </w:rPr>
              <w:t>CONSOLIDATED BALANCE SHEETS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740" w:type="dxa"/>
            <w:vAlign w:val="bottom"/>
          </w:tcPr>
          <w:p>
            <w:pPr>
              <w:jc w:val="center"/>
              <w:ind w:left="1892"/>
              <w:spacing w:after="0"/>
              <w:rPr>
                <w:sz w:val="20"/>
                <w:szCs w:val="20"/>
                <w:color w:val="auto"/>
              </w:rPr>
            </w:pPr>
            <w:r>
              <w:rPr>
                <w:rFonts w:ascii="Arial" w:cs="Arial" w:eastAsia="Arial" w:hAnsi="Arial"/>
                <w:sz w:val="18"/>
                <w:szCs w:val="18"/>
                <w:b w:val="1"/>
                <w:bCs w:val="1"/>
                <w:color w:val="auto"/>
                <w:w w:val="86"/>
              </w:rPr>
              <w:t>(In thousands, except share data)</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7740" w:type="dxa"/>
            <w:vAlign w:val="bottom"/>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October 30, 2010</w:t>
            </w:r>
          </w:p>
        </w:tc>
        <w:tc>
          <w:tcPr>
            <w:tcW w:w="740" w:type="dxa"/>
            <w:vAlign w:val="bottom"/>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January 30, 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0" w:type="dxa"/>
            <w:vAlign w:val="bottom"/>
            <w:gridSpan w:val="2"/>
            <w:vMerge w:val="continue"/>
          </w:tcPr>
          <w:p>
            <w:pPr>
              <w:spacing w:after="0"/>
              <w:rPr>
                <w:sz w:val="18"/>
                <w:szCs w:val="18"/>
                <w:color w:val="auto"/>
              </w:rPr>
            </w:pPr>
          </w:p>
        </w:tc>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9"/>
              </w:rPr>
              <w:t>(unaudited)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Current 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6,043</w:t>
            </w:r>
          </w:p>
        </w:tc>
        <w:tc>
          <w:tcPr>
            <w:tcW w:w="7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93"/>
              </w:rPr>
              <w:t>Inventories</w:t>
            </w:r>
          </w:p>
        </w:tc>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109,591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89,977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7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130,528</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105,153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40,080</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41,888</w:t>
            </w:r>
          </w:p>
        </w:tc>
        <w:tc>
          <w:tcPr>
            <w:tcW w:w="0" w:type="dxa"/>
            <w:vAlign w:val="bottom"/>
          </w:tcPr>
          <w:p>
            <w:pPr>
              <w:spacing w:after="0"/>
              <w:rPr>
                <w:sz w:val="1"/>
                <w:szCs w:val="1"/>
                <w:color w:val="auto"/>
              </w:rPr>
            </w:pPr>
          </w:p>
        </w:tc>
      </w:tr>
      <w:tr>
        <w:trPr>
          <w:trHeight w:val="322"/>
        </w:trPr>
        <w:tc>
          <w:tcPr>
            <w:tcW w:w="8600" w:type="dxa"/>
            <w:vAlign w:val="bottom"/>
            <w:gridSpan w:val="3"/>
          </w:tcPr>
          <w:p>
            <w:pPr>
              <w:spacing w:after="0"/>
              <w:rPr>
                <w:sz w:val="20"/>
                <w:szCs w:val="20"/>
                <w:color w:val="auto"/>
              </w:rPr>
            </w:pPr>
            <w:r>
              <w:rPr>
                <w:rFonts w:ascii="Arial" w:cs="Arial" w:eastAsia="Arial" w:hAnsi="Arial"/>
                <w:sz w:val="18"/>
                <w:szCs w:val="18"/>
                <w:i w:val="1"/>
                <w:iCs w:val="1"/>
                <w:color w:val="auto"/>
              </w:rPr>
              <w:t>Other assets: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32,425</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80"/>
              </w:rPr>
              <w:t>Other assets</w:t>
            </w:r>
          </w:p>
        </w:tc>
        <w:tc>
          <w:tcPr>
            <w:tcW w:w="7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4"/>
              </w:rPr>
              <w:t>Total assets</w:t>
            </w:r>
          </w:p>
        </w:tc>
        <w:tc>
          <w:tcPr>
            <w:tcW w:w="7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204,410</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181,039</w:t>
            </w: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6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3,788</w:t>
            </w:r>
          </w:p>
        </w:tc>
        <w:tc>
          <w:tcPr>
            <w:tcW w:w="7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deferred gain on sale-leaseback</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31,835</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26,612</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10,589</w:t>
            </w:r>
          </w:p>
        </w:tc>
        <w:tc>
          <w:tcPr>
            <w:tcW w:w="7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74,507</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59,583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20,882</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1,346</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7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99,650</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87,816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w w:val="95"/>
              </w:rPr>
              <w:t>Preferred stock, $0.01 par value, 1,000,000 shares authorized, none issued at October 30, 2010 and January 30,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gridSpan w:val="2"/>
          </w:tcPr>
          <w:p>
            <w:pPr>
              <w:spacing w:after="0"/>
              <w:rPr>
                <w:sz w:val="20"/>
                <w:szCs w:val="20"/>
                <w:color w:val="auto"/>
              </w:rPr>
            </w:pPr>
            <w:r>
              <w:rPr>
                <w:rFonts w:ascii="Arial" w:cs="Arial" w:eastAsia="Arial" w:hAnsi="Arial"/>
                <w:sz w:val="18"/>
                <w:szCs w:val="18"/>
                <w:color w:val="auto"/>
              </w:rPr>
              <w:t>2010</w:t>
            </w:r>
          </w:p>
        </w:tc>
        <w:tc>
          <w:tcPr>
            <w:tcW w:w="7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$0.01 par value, 100,000,000 shares authorized, 58,634,870 and 58,046,235 issued at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30, 2010 and January 30, 2010, respectively</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290,012</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288,367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(93,943)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Treasury stock at cost, 10,877,439 shares at October 30, 2010 and January 30, 2010</w:t>
            </w:r>
          </w:p>
        </w:tc>
        <w:tc>
          <w:tcPr>
            <w:tcW w:w="12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(87,977)</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(3,918)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30"/>
        </w:trPr>
        <w:tc>
          <w:tcPr>
            <w:tcW w:w="860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104,760</w:t>
            </w:r>
          </w:p>
        </w:tc>
        <w:tc>
          <w:tcPr>
            <w:tcW w:w="7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204,410</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ind w:left="200"/>
              <w:spacing w:after="0"/>
              <w:rPr>
                <w:sz w:val="20"/>
                <w:szCs w:val="20"/>
                <w:color w:val="auto"/>
              </w:rPr>
            </w:pPr>
            <w:r>
              <w:rPr>
                <w:rFonts w:ascii="Arial" w:cs="Arial" w:eastAsia="Arial" w:hAnsi="Arial"/>
                <w:sz w:val="14"/>
                <w:szCs w:val="14"/>
                <w:b w:val="1"/>
                <w:bCs w:val="1"/>
                <w:color w:val="auto"/>
                <w:w w:val="86"/>
              </w:rPr>
              <w:t>For the three months ended</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6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30, 2010</w:t>
            </w:r>
          </w:p>
        </w:tc>
        <w:tc>
          <w:tcPr>
            <w:tcW w:w="10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October 31, 2009</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October 30, 2010</w:t>
            </w: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October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89,936</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88,689</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282,171</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284,502</w:t>
            </w:r>
          </w:p>
        </w:tc>
        <w:tc>
          <w:tcPr>
            <w:tcW w:w="0" w:type="dxa"/>
            <w:vAlign w:val="bottom"/>
          </w:tcPr>
          <w:p>
            <w:pPr>
              <w:spacing w:after="0"/>
              <w:rPr>
                <w:sz w:val="1"/>
                <w:szCs w:val="1"/>
                <w:color w:val="auto"/>
              </w:rPr>
            </w:pPr>
          </w:p>
        </w:tc>
      </w:tr>
      <w:tr>
        <w:trPr>
          <w:trHeight w:val="323"/>
        </w:trPr>
        <w:tc>
          <w:tcPr>
            <w:tcW w:w="5460" w:type="dxa"/>
            <w:vAlign w:val="bottom"/>
            <w:gridSpan w:val="2"/>
          </w:tcPr>
          <w:p>
            <w:pPr>
              <w:spacing w:after="0"/>
              <w:rPr>
                <w:sz w:val="20"/>
                <w:szCs w:val="20"/>
                <w:color w:val="auto"/>
              </w:rPr>
            </w:pPr>
            <w:r>
              <w:rPr>
                <w:rFonts w:ascii="Arial" w:cs="Arial" w:eastAsia="Arial" w:hAnsi="Arial"/>
                <w:sz w:val="18"/>
                <w:szCs w:val="18"/>
                <w:color w:val="auto"/>
              </w:rPr>
              <w:t>Cost of goods sold, including occupancy</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48,802</w:t>
            </w: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50,826</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152,360</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161,256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4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41,134</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37,863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129,811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123,246</w:t>
            </w:r>
          </w:p>
        </w:tc>
        <w:tc>
          <w:tcPr>
            <w:tcW w:w="0" w:type="dxa"/>
            <w:vAlign w:val="bottom"/>
          </w:tcPr>
          <w:p>
            <w:pPr>
              <w:spacing w:after="0"/>
              <w:rPr>
                <w:sz w:val="1"/>
                <w:szCs w:val="1"/>
                <w:color w:val="auto"/>
              </w:rPr>
            </w:pPr>
          </w:p>
        </w:tc>
      </w:tr>
      <w:tr>
        <w:trPr>
          <w:trHeight w:val="322"/>
        </w:trPr>
        <w:tc>
          <w:tcPr>
            <w:tcW w:w="54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38,802</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35,287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109,864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6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41,961</w:t>
            </w:r>
          </w:p>
        </w:tc>
        <w:tc>
          <w:tcPr>
            <w:tcW w:w="6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39,172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119,711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(827)</w:t>
            </w:r>
          </w:p>
        </w:tc>
        <w:tc>
          <w:tcPr>
            <w:tcW w:w="5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(1,309)</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10,100</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(177)</w:t>
            </w:r>
          </w:p>
        </w:tc>
        <w:tc>
          <w:tcPr>
            <w:tcW w:w="5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4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(681)</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(1,471)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323"/>
        </w:trPr>
        <w:tc>
          <w:tcPr>
            <w:tcW w:w="546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(970)</w:t>
            </w:r>
          </w:p>
        </w:tc>
        <w:tc>
          <w:tcPr>
            <w:tcW w:w="5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4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(1,410)</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10,039</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460" w:type="dxa"/>
            <w:vAlign w:val="bottom"/>
            <w:gridSpan w:val="2"/>
          </w:tcPr>
          <w:p>
            <w:pPr>
              <w:spacing w:after="0"/>
              <w:rPr>
                <w:sz w:val="20"/>
                <w:szCs w:val="20"/>
                <w:color w:val="auto"/>
              </w:rPr>
            </w:pPr>
            <w:r>
              <w:rPr>
                <w:rFonts w:ascii="Arial" w:cs="Arial" w:eastAsia="Arial" w:hAnsi="Arial"/>
                <w:sz w:val="18"/>
                <w:szCs w:val="18"/>
                <w:color w:val="auto"/>
              </w:rPr>
              <w:t>Net income (loss) per share – basic</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6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(0.03)</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0.21</w:t>
            </w:r>
          </w:p>
        </w:tc>
        <w:tc>
          <w:tcPr>
            <w:tcW w:w="340" w:type="dxa"/>
            <w:vAlign w:val="bottom"/>
          </w:tcPr>
          <w:p>
            <w:pPr>
              <w:spacing w:after="0"/>
              <w:rPr>
                <w:sz w:val="24"/>
                <w:szCs w:val="24"/>
                <w:color w:val="auto"/>
              </w:rPr>
            </w:pP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diluted</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323"/>
        </w:trPr>
        <w:tc>
          <w:tcPr>
            <w:tcW w:w="546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basic</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47,041</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44,761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 diluted</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47,548</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44,761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47,435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42,949</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7"/>
              </w:rPr>
              <w:t>Nine Months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4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30, 2010</w:t>
            </w:r>
          </w:p>
        </w:tc>
        <w:tc>
          <w:tcPr>
            <w:tcW w:w="36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October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10,039</w:t>
            </w:r>
          </w:p>
        </w:tc>
        <w:tc>
          <w:tcPr>
            <w:tcW w:w="44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720" w:type="dxa"/>
            <w:vAlign w:val="bottom"/>
          </w:tcPr>
          <w:p>
            <w:pPr>
              <w:jc w:val="center"/>
              <w:ind w:left="253"/>
              <w:spacing w:after="0"/>
              <w:rPr>
                <w:sz w:val="20"/>
                <w:szCs w:val="20"/>
                <w:color w:val="auto"/>
              </w:rPr>
            </w:pPr>
            <w:r>
              <w:rPr>
                <w:rFonts w:ascii="Arial" w:cs="Arial" w:eastAsia="Arial" w:hAnsi="Arial"/>
                <w:sz w:val="18"/>
                <w:szCs w:val="18"/>
                <w:color w:val="auto"/>
                <w:w w:val="84"/>
              </w:rPr>
              <w:t>9,847</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gain from sale-leaseback</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(1,099)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Deferred income taxes, net of valuation allowance</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577</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 expense</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253"/>
              <w:spacing w:after="0"/>
              <w:rPr>
                <w:sz w:val="20"/>
                <w:szCs w:val="20"/>
                <w:color w:val="auto"/>
              </w:rPr>
            </w:pPr>
            <w:r>
              <w:rPr>
                <w:rFonts w:ascii="Arial" w:cs="Arial" w:eastAsia="Arial" w:hAnsi="Arial"/>
                <w:sz w:val="18"/>
                <w:szCs w:val="18"/>
                <w:color w:val="auto"/>
                <w:w w:val="84"/>
              </w:rPr>
              <w:t>1,165</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Issuance of common stock to Board of Directors</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(1,392)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(19,614)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(2,924)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12,082</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(1,267)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(2,446)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center"/>
              <w:ind w:left="253"/>
              <w:spacing w:after="0"/>
              <w:rPr>
                <w:sz w:val="20"/>
                <w:szCs w:val="20"/>
                <w:color w:val="auto"/>
              </w:rPr>
            </w:pPr>
            <w:r>
              <w:rPr>
                <w:rFonts w:ascii="Arial" w:cs="Arial" w:eastAsia="Arial" w:hAnsi="Arial"/>
                <w:sz w:val="18"/>
                <w:szCs w:val="18"/>
                <w:color w:val="auto"/>
                <w:w w:val="84"/>
              </w:rPr>
              <w:t>4,884</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5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(7,272)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Net proceeds from sale of subsidiary, LP Innovations, Inc.</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(6,976)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330"/>
        </w:trPr>
        <w:tc>
          <w:tcPr>
            <w:tcW w:w="85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issuance of common stock through a registered direct offering</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Net (borrowings) repayments under credit facility</w:t>
            </w:r>
          </w:p>
        </w:tc>
        <w:tc>
          <w:tcPr>
            <w:tcW w:w="260" w:type="dxa"/>
            <w:vAlign w:val="bottom"/>
          </w:tcPr>
          <w:p>
            <w:pPr>
              <w:spacing w:after="0"/>
              <w:rPr>
                <w:sz w:val="18"/>
                <w:szCs w:val="18"/>
                <w:color w:val="auto"/>
              </w:rPr>
            </w:pPr>
          </w:p>
        </w:tc>
        <w:tc>
          <w:tcPr>
            <w:tcW w:w="720" w:type="dxa"/>
            <w:vAlign w:val="bottom"/>
          </w:tcPr>
          <w:p>
            <w:pPr>
              <w:jc w:val="center"/>
              <w:ind w:left="253"/>
              <w:spacing w:after="0"/>
              <w:rPr>
                <w:sz w:val="20"/>
                <w:szCs w:val="20"/>
                <w:color w:val="auto"/>
              </w:rPr>
            </w:pPr>
            <w:r>
              <w:rPr>
                <w:rFonts w:ascii="Arial" w:cs="Arial" w:eastAsia="Arial" w:hAnsi="Arial"/>
                <w:sz w:val="18"/>
                <w:szCs w:val="18"/>
                <w:color w:val="auto"/>
                <w:w w:val="84"/>
              </w:rPr>
              <w:t>7,114</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(3,655)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Proceeds from the issuance of common stock under option program</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253"/>
              <w:spacing w:after="0"/>
              <w:rPr>
                <w:sz w:val="20"/>
                <w:szCs w:val="20"/>
                <w:color w:val="auto"/>
              </w:rPr>
            </w:pPr>
            <w:r>
              <w:rPr>
                <w:rFonts w:ascii="Arial" w:cs="Arial" w:eastAsia="Arial" w:hAnsi="Arial"/>
                <w:sz w:val="18"/>
                <w:szCs w:val="18"/>
                <w:color w:val="auto"/>
                <w:w w:val="84"/>
              </w:rPr>
              <w:t>3,833</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329"/>
        </w:trPr>
        <w:tc>
          <w:tcPr>
            <w:tcW w:w="854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center"/>
              <w:ind w:left="253"/>
              <w:spacing w:after="0"/>
              <w:rPr>
                <w:sz w:val="20"/>
                <w:szCs w:val="20"/>
                <w:color w:val="auto"/>
              </w:rPr>
            </w:pPr>
            <w:r>
              <w:rPr>
                <w:rFonts w:ascii="Arial" w:cs="Arial" w:eastAsia="Arial" w:hAnsi="Arial"/>
                <w:sz w:val="18"/>
                <w:szCs w:val="18"/>
                <w:color w:val="auto"/>
                <w:w w:val="84"/>
              </w:rPr>
              <w:t>1,741</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1280"/>
              <w:spacing w:after="0"/>
              <w:rPr>
                <w:sz w:val="20"/>
                <w:szCs w:val="20"/>
                <w:color w:val="auto"/>
              </w:rPr>
            </w:pPr>
            <w:r>
              <w:rPr>
                <w:rFonts w:ascii="Arial" w:cs="Arial" w:eastAsia="Arial" w:hAnsi="Arial"/>
                <w:sz w:val="18"/>
                <w:szCs w:val="18"/>
                <w:color w:val="auto"/>
              </w:rPr>
              <w:t>Beginning of the period</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53"/>
              <w:spacing w:after="0"/>
              <w:rPr>
                <w:sz w:val="20"/>
                <w:szCs w:val="20"/>
                <w:color w:val="auto"/>
              </w:rPr>
            </w:pPr>
            <w:r>
              <w:rPr>
                <w:rFonts w:ascii="Arial" w:cs="Arial" w:eastAsia="Arial" w:hAnsi="Arial"/>
                <w:sz w:val="18"/>
                <w:szCs w:val="18"/>
                <w:color w:val="auto"/>
                <w:w w:val="84"/>
              </w:rPr>
              <w:t>4,302</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End of the period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ind w:left="253"/>
              <w:spacing w:after="0"/>
              <w:rPr>
                <w:sz w:val="20"/>
                <w:szCs w:val="20"/>
                <w:color w:val="auto"/>
              </w:rPr>
            </w:pPr>
            <w:r>
              <w:rPr>
                <w:rFonts w:ascii="Arial" w:cs="Arial" w:eastAsia="Arial" w:hAnsi="Arial"/>
                <w:sz w:val="18"/>
                <w:szCs w:val="18"/>
                <w:color w:val="auto"/>
                <w:w w:val="84"/>
              </w:rPr>
              <w:t>6,043</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October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4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Additional</w:t>
            </w:r>
          </w:p>
        </w:tc>
        <w:tc>
          <w:tcPr>
            <w:tcW w:w="158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86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Paid-in</w:t>
            </w:r>
          </w:p>
        </w:tc>
        <w:tc>
          <w:tcPr>
            <w:tcW w:w="15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Accumulated</w:t>
            </w:r>
          </w:p>
        </w:tc>
        <w:tc>
          <w:tcPr>
            <w:tcW w:w="1040" w:type="dxa"/>
            <w:vAlign w:val="bottom"/>
            <w:gridSpan w:val="3"/>
          </w:tcPr>
          <w:p>
            <w:pPr>
              <w:jc w:val="center"/>
              <w:ind w:right="140"/>
              <w:spacing w:after="0" w:line="148"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Amounts</w:t>
            </w:r>
          </w:p>
        </w:tc>
        <w:tc>
          <w:tcPr>
            <w:tcW w:w="180" w:type="dxa"/>
            <w:vAlign w:val="bottom"/>
          </w:tcPr>
          <w:p>
            <w:pPr>
              <w:spacing w:after="0"/>
              <w:rPr>
                <w:sz w:val="12"/>
                <w:szCs w:val="12"/>
                <w:color w:val="auto"/>
              </w:rPr>
            </w:pPr>
          </w:p>
        </w:tc>
        <w:tc>
          <w:tcPr>
            <w:tcW w:w="8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Capital</w:t>
            </w:r>
          </w:p>
        </w:tc>
        <w:tc>
          <w:tcPr>
            <w:tcW w:w="80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Amounts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Deficit</w:t>
            </w:r>
          </w:p>
        </w:tc>
        <w:tc>
          <w:tcPr>
            <w:tcW w:w="104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6"/>
              </w:rPr>
              <w:t>Income (Loss)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30, 2010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58,046</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288,367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(10,877)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(87,977)</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(103,982)</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93,223</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640" w:type="dxa"/>
            <w:vAlign w:val="bottom"/>
            <w:gridSpan w:val="2"/>
          </w:tcPr>
          <w:p>
            <w:pPr>
              <w:spacing w:after="0"/>
              <w:rPr>
                <w:sz w:val="20"/>
                <w:szCs w:val="20"/>
                <w:color w:val="auto"/>
              </w:rPr>
            </w:pPr>
            <w:r>
              <w:rPr>
                <w:rFonts w:ascii="Arial" w:cs="Arial" w:eastAsia="Arial" w:hAnsi="Arial"/>
                <w:sz w:val="18"/>
                <w:szCs w:val="18"/>
                <w:color w:val="auto"/>
              </w:rPr>
              <w:t>Stock based compensation expense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1,165</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Exercises under option programs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Unrecognized loss associated with pension plan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Foreign currency</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30, 2010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58,635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290,012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(10,877)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(87,977)</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(93,943)</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104,760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ind w:left="240" w:right="7900" w:hanging="232"/>
        <w:spacing w:after="0" w:line="347" w:lineRule="auto"/>
        <w:tabs>
          <w:tab w:leader="none" w:pos="18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30, 2010 included in the Company’s Annual Report on Form 10-K, which was filed with the Securities and Exchange Commission on March 19, 2010.</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2010 is a 52-week period ending on January 29, 2011.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2009 was a 52-week period which ended January 30, 2010.</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Standards Codification</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July 1, 2009, the Financial Accounting Standards Board (“FASB”) released the Accounting Standards Codification (“ASC”). The ASC became the single source of authoritative nongovernmental U.S. GAAP and is effective for all interim and annual periods ending after September 15, 2009. All existing accounting standards documents were superseded and any other literature not included in the ASC is considered non-authoritative. The adoption of the ASC did not have any impact on the Company’s financial condition, results of operations and cash flows, as the ASC did not change existing U.S. GAAP. The adoption of the ASC changes the approach of referencing authoritative literature by topic (each a “Topic”) rather than by type of standard. Accordingly, references to former FASB positions, statements, interpretations, opinions, bulletins or other pronouncements in the Company’s Notes to Consolidated Financial Statements are now presented as references to the corresponding Topic in the ASC.</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three operating segments—B&amp;T Factory Direct, Casual Male XL and Rochester. The Company considers its operating segments to be similar in terms of economic characteristics, production processes and operations, and has therefore aggregated them into a single reporting segment.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Intangibles</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trademarks are considered indefinite-lived intangible assets and must be tested annually for potential impairment. At January 30, 2010, both the Casual Male and Rochester trademarks were tested for potential impairment. Utilizing an income approach with appropriate royalty rates applied, the Company concluded that the Casual Male trademark, with a carrying value of $29.2 million, and the Rochester trademark, with a carrying value of $1.5 million, were not impaired. During the first nine months of fiscal 2010, no event or change in circumstance occurred which would indicate that the fair value of the Company’s trademarks are less than their carrying value.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All share-based payments, including grants of employee stock options, are recognized as an expense in the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11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first nine months of fiscal 2010 and fiscal 2009, the Company recognized total stock-based compensation expense of $1.2 million and $0.4 million, respectively. Approximately $0.5 million of the $1.2 million of stock-based compensation expense for the first nine months of fiscal 2010 relates to the expense associated with the grant of equity awards pursuant to the Company’s Long-Term Incentive Plan.</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total compensation cost related to non-vested awards not yet recognized as of October 30, 2010 is approximately $1.2 million which will be expensed over a weighted average remaining life of 22 months.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Assumptions for Stock Options and Restricted Stock</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first nine months of fiscal 2010, the Company granted 308,550 shares of restricted stock which included 283,550 shares to members of management as a result of the Company’s achievement of certain performance targets in fiscal 2009 pursuant to its Long-Term Incentive Plan. For the first nine months of fiscal 2009, the Company granted 667,500 shares of restricted stock. Each restricted share of common stock was assigned a fair value equal to the closing price of the Company’s common stock on the date of grant.</w:t>
      </w:r>
    </w:p>
    <w:p>
      <w:pPr>
        <w:spacing w:after="0" w:line="143"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During the first nine months of fiscal 2010, stock options to purchase 383,172 shares of common stock were granted. Of this amount, stock options to purchase 20,606 shares of common stock were issued pursuant to the Long-Term Incentive Plan for fiscal 2009. The fair value of each option granted is estimated on the date of grant using the Black-Scholes option-pricing model. The weighted-average grant date fair-value of stock options granted during the first nine months of fiscal 2010 was $1.07 per share. There were no stock options granted during the first nine months of fiscal 2009.</w:t>
      </w:r>
    </w:p>
    <w:p>
      <w:pPr>
        <w:spacing w:after="0" w:line="11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following assumptions were used for grants for the first nine months of fiscal 2010. There were no assumptions for the first nine months of fiscal 2009 because there were no stock option grants.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620" w:type="dxa"/>
            <w:vAlign w:val="bottom"/>
            <w:gridSpan w:val="2"/>
          </w:tcPr>
          <w:p>
            <w:pPr>
              <w:jc w:val="center"/>
              <w:ind w:left="2522"/>
              <w:spacing w:after="0"/>
              <w:rPr>
                <w:sz w:val="20"/>
                <w:szCs w:val="20"/>
                <w:color w:val="auto"/>
              </w:rPr>
            </w:pPr>
            <w:r>
              <w:rPr>
                <w:rFonts w:ascii="Arial" w:cs="Arial" w:eastAsia="Arial" w:hAnsi="Arial"/>
                <w:sz w:val="14"/>
                <w:szCs w:val="14"/>
                <w:b w:val="1"/>
                <w:bCs w:val="1"/>
                <w:color w:val="auto"/>
                <w:w w:val="87"/>
              </w:rPr>
              <w:t>October 30, 2010</w:t>
            </w: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6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55.0%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20" w:type="dxa"/>
            <w:vAlign w:val="bottom"/>
            <w:gridSpan w:val="2"/>
          </w:tcPr>
          <w:p>
            <w:pPr>
              <w:jc w:val="center"/>
              <w:ind w:left="2522"/>
              <w:spacing w:after="0"/>
              <w:rPr>
                <w:sz w:val="20"/>
                <w:szCs w:val="20"/>
                <w:color w:val="auto"/>
              </w:rPr>
            </w:pPr>
            <w:r>
              <w:rPr>
                <w:rFonts w:ascii="Arial" w:cs="Arial" w:eastAsia="Arial" w:hAnsi="Arial"/>
                <w:sz w:val="18"/>
                <w:szCs w:val="18"/>
                <w:color w:val="auto"/>
                <w:w w:val="89"/>
              </w:rPr>
              <w:t>1.14-1.55%</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6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2.1-3.0 years</w:t>
            </w: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Dividend rate</w:t>
            </w:r>
          </w:p>
        </w:tc>
        <w:tc>
          <w:tcPr>
            <w:tcW w:w="26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nine months of fiscal 2010, options for 282,500 shares of common stock were exercised with an intrinsic value of approximately $0.6 million.</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January 2010, the FASB issued Accounting Standards Update (“ASU”) No. 2010-04—Accounting for Various Topics—Technical Corrections to Various SEC Paragraphs. This update represents technical corrections to SEC paragraphs. The adoption of ASU No. 2010-04 did not have a material impact on the Company’s financial statements.</w:t>
      </w:r>
    </w:p>
    <w:p>
      <w:pPr>
        <w:spacing w:after="0" w:line="14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January 2010, the FASB issued ASU No. 2010-06—Fair Value Measurements and Disclosures (Topic 820) —Improving Disclosures about Fair Value Measurements which provides revised guidance requiring additional disclosures about items transferring into and out of Levels 1 and 2 measurements in the fair value hierarchy. The revised guidance also requires additional separate disclosures about purchases, sales, issuances, and settlements relative to Level 3 measurements, and clarifies, among other things, the existing fair value disclosures about the level of disaggregation. This update was effective for interim and annual financial periods beginning after December 15, 2009, except for the disclosures about purchases, sales, issuances, and settlements relative to Level 3 measurements, which are effective for interim and annual financial periods beginning after December 15, 2010. The Company partially adopted this revised guidance on January 30, 2010, as required, and the adoption did not have a material impact on the Company’s Consolidated Financial Statements. The Company also does not expect the adoption of the delayed portion of the revised guidance to have a material impact on the Company’s Financial Statements.</w:t>
      </w:r>
    </w:p>
    <w:p>
      <w:pPr>
        <w:spacing w:after="0" w:line="11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February 2010, the FASB issued ASU No. 2010-08—Technical Corrections to Various Topics. This update’s purpose is to eliminate GAAP inconsistencies, update outdated provisions and provide needed clarifications. The adoption of ASU No. 2010-08 did not have a material impact on the Company’s financial statements.</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February 2010, the FASB issued ASU No. 2010-09—Subsequent Events (Topic 855)—Amendments to Certain Recognition and Disclosure Requirements. This update addresses both the interaction of the requirements of this Topic with the SEC’s reporting requirements and the intended breadth of the reissuance disclosure provision related to subsequent events (paragraph 855-10-50-4). The adoption of ASU No. 2010-09 did not have a material impact on the Company’s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At October 30, 2010, the Company had $10.6 million in outstanding borrowings under its credit facility with Bank of America, N.A. (the “Credit Facility”).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Subsequent to the end of the third quarter, on November 10, 2010, the Credit Facility was amended and restated. See Note 5 – Subsequent Event.</w:t>
      </w:r>
    </w:p>
    <w:p>
      <w:pPr>
        <w:spacing w:after="0" w:line="188"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Outstanding standby letters of credit were $2.3 million and outstanding documentary letters of credit were $1.7 million at October 30, 2010. Average monthly borrowings outstanding under the Credit Facility during the first nine months of fiscal 2010 were approximately $5.2 million, resulting in an average unused excess availability of approximately $62.3 million. Unused excess availability at October 30, 2010 was $69.1 million. The Company’s obligations under the Credit Facility are secured by a lien on all of its assets. The Company is not subject to any financial covenants pursuant to this Credit Facility.</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amounts outstanding under the Credit Facility approximates the carrying value at October 30, 2010. At the Company’s option, any portion of the outstanding borrowings can be converted to LIBOR-based contracts; the remainder bears interest based at prime. At October 30, 2010, the prime-based interest rate was 3.25%. The Company had no LIBOR-based borrowings outstanding at October 30,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Debt with Banc of America Leasing &amp; Capital, LLC</w:t>
      </w:r>
    </w:p>
    <w:p>
      <w:pPr>
        <w:spacing w:after="0" w:line="90"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Pursuant to two Equipment Security Notes with Banc of America Leasing &amp; Capital, LLC for equipment financing, the Company has $3.9 million outstanding at October 30, 2010. The secured notes are due July 20, 2011 and January 16, 2012. Both secured notes accrue interest at a per annum rate of 1.75% plus the rate of interest equal to the 30-day published LIBOR rate. Principal and interest, in arrears, are payable monthly, commencing one month after issuance of such note.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Both notes are secured by a security interest in all of the Company’s rights, title and interest in and to certain equipment. The Company is not subject to any financial covenants pursuant to these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540" w:type="dxa"/>
            <w:vAlign w:val="bottom"/>
            <w:gridSpan w:val="4"/>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2020" w:type="dxa"/>
            <w:vAlign w:val="bottom"/>
            <w:gridSpan w:val="4"/>
          </w:tcPr>
          <w:p>
            <w:pPr>
              <w:ind w:left="1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2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October 30,</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October 31,</w:t>
            </w:r>
          </w:p>
        </w:tc>
        <w:tc>
          <w:tcPr>
            <w:tcW w:w="540" w:type="dxa"/>
            <w:vAlign w:val="bottom"/>
          </w:tcPr>
          <w:p>
            <w:pPr>
              <w:spacing w:after="0"/>
              <w:rPr>
                <w:sz w:val="11"/>
                <w:szCs w:val="11"/>
                <w:color w:val="auto"/>
              </w:rPr>
            </w:pPr>
          </w:p>
        </w:tc>
        <w:tc>
          <w:tcPr>
            <w:tcW w:w="122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5"/>
              </w:rPr>
              <w:t>October 30,</w:t>
            </w: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October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Stock Outstanding</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Basic weighted average common shares outstanding</w:t>
            </w:r>
          </w:p>
        </w:tc>
        <w:tc>
          <w:tcPr>
            <w:tcW w:w="720" w:type="dxa"/>
            <w:vAlign w:val="bottom"/>
          </w:tcPr>
          <w:p>
            <w:pPr>
              <w:jc w:val="right"/>
              <w:spacing w:after="0"/>
              <w:rPr>
                <w:sz w:val="20"/>
                <w:szCs w:val="20"/>
                <w:color w:val="auto"/>
              </w:rPr>
            </w:pPr>
            <w:r>
              <w:rPr>
                <w:rFonts w:ascii="Arial" w:cs="Arial" w:eastAsia="Arial" w:hAnsi="Arial"/>
                <w:sz w:val="18"/>
                <w:szCs w:val="18"/>
                <w:color w:val="auto"/>
              </w:rPr>
              <w:t>47,041</w:t>
            </w:r>
          </w:p>
        </w:tc>
        <w:tc>
          <w:tcPr>
            <w:tcW w:w="54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44,761</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46,895</w:t>
            </w:r>
          </w:p>
        </w:tc>
        <w:tc>
          <w:tcPr>
            <w:tcW w:w="700" w:type="dxa"/>
            <w:vAlign w:val="bottom"/>
          </w:tcPr>
          <w:p>
            <w:pPr>
              <w:jc w:val="right"/>
              <w:spacing w:after="0"/>
              <w:rPr>
                <w:sz w:val="20"/>
                <w:szCs w:val="20"/>
                <w:color w:val="auto"/>
              </w:rPr>
            </w:pPr>
            <w:r>
              <w:rPr>
                <w:rFonts w:ascii="Arial" w:cs="Arial" w:eastAsia="Arial" w:hAnsi="Arial"/>
                <w:sz w:val="18"/>
                <w:szCs w:val="18"/>
                <w:color w:val="auto"/>
              </w:rPr>
              <w:t>42,554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Common Stock Equivalents –Stock options, restricted stock and warrants (1)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ind w:left="460"/>
              <w:spacing w:after="0"/>
              <w:rPr>
                <w:sz w:val="20"/>
                <w:szCs w:val="20"/>
                <w:color w:val="auto"/>
              </w:rPr>
            </w:pPr>
            <w:r>
              <w:rPr>
                <w:rFonts w:ascii="Arial" w:cs="Arial" w:eastAsia="Arial" w:hAnsi="Arial"/>
                <w:sz w:val="18"/>
                <w:szCs w:val="18"/>
                <w:color w:val="auto"/>
              </w:rPr>
              <w:t>Diluted weighted average common shares Outstanding</w:t>
            </w: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gridSpan w:val="3"/>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47,548</w:t>
            </w: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44,761</w:t>
            </w:r>
          </w:p>
        </w:tc>
        <w:tc>
          <w:tcPr>
            <w:tcW w:w="54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47,435</w:t>
            </w:r>
          </w:p>
        </w:tc>
        <w:tc>
          <w:tcPr>
            <w:tcW w:w="700" w:type="dxa"/>
            <w:vAlign w:val="bottom"/>
          </w:tcPr>
          <w:p>
            <w:pPr>
              <w:jc w:val="right"/>
              <w:spacing w:after="0"/>
              <w:rPr>
                <w:sz w:val="20"/>
                <w:szCs w:val="20"/>
                <w:color w:val="auto"/>
              </w:rPr>
            </w:pPr>
            <w:r>
              <w:rPr>
                <w:rFonts w:ascii="Arial" w:cs="Arial" w:eastAsia="Arial" w:hAnsi="Arial"/>
                <w:sz w:val="18"/>
                <w:szCs w:val="18"/>
                <w:color w:val="auto"/>
              </w:rPr>
              <w:t>42,949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Common stock equivalents for the three months ended October 31, 2009 were excluded from the calculation of diluted weighted average common shares outstanding because the effect was anti-dilutive due to the net loss reported in that period.</w:t>
      </w:r>
    </w:p>
    <w:p>
      <w:pPr>
        <w:spacing w:after="0" w:line="132" w:lineRule="exact"/>
        <w:rPr>
          <w:sz w:val="20"/>
          <w:szCs w:val="20"/>
          <w:color w:val="auto"/>
        </w:rPr>
      </w:pPr>
    </w:p>
    <w:p>
      <w:pPr>
        <w:jc w:val="both"/>
        <w:ind w:right="40"/>
        <w:spacing w:after="0" w:line="332" w:lineRule="auto"/>
        <w:rPr>
          <w:sz w:val="20"/>
          <w:szCs w:val="20"/>
          <w:color w:val="auto"/>
        </w:rPr>
      </w:pPr>
      <w:r>
        <w:rPr>
          <w:rFonts w:ascii="Arial" w:cs="Arial" w:eastAsia="Arial" w:hAnsi="Arial"/>
          <w:sz w:val="16"/>
          <w:szCs w:val="16"/>
          <w:color w:val="auto"/>
        </w:rPr>
        <w:t>The following potential common stock equivalents were excluded from the computation of diluted earnings per share in each period because the exercise price of such options and warrants was greater than the average market price per share of common stock for the respective periods.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For the three months ended</w:t>
            </w:r>
          </w:p>
        </w:tc>
        <w:tc>
          <w:tcPr>
            <w:tcW w:w="256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October 30,</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October 31,</w:t>
            </w:r>
          </w:p>
        </w:tc>
        <w:tc>
          <w:tcPr>
            <w:tcW w:w="400" w:type="dxa"/>
            <w:vAlign w:val="bottom"/>
          </w:tcPr>
          <w:p>
            <w:pPr>
              <w:spacing w:after="0"/>
              <w:rPr>
                <w:sz w:val="11"/>
                <w:szCs w:val="11"/>
                <w:color w:val="auto"/>
              </w:rPr>
            </w:pPr>
          </w:p>
        </w:tc>
        <w:tc>
          <w:tcPr>
            <w:tcW w:w="142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October 30,</w:t>
            </w:r>
          </w:p>
        </w:tc>
        <w:tc>
          <w:tcPr>
            <w:tcW w:w="1040" w:type="dxa"/>
            <w:vAlign w:val="bottom"/>
            <w:tcBorders>
              <w:top w:val="single" w:sz="8" w:color="auto"/>
            </w:tcBorders>
          </w:tcPr>
          <w:p>
            <w:pPr>
              <w:jc w:val="right"/>
              <w:ind w:right="100"/>
              <w:spacing w:after="0" w:line="129" w:lineRule="exact"/>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exercise prices)</w:t>
            </w:r>
          </w:p>
        </w:tc>
        <w:tc>
          <w:tcPr>
            <w:tcW w:w="1680" w:type="dxa"/>
            <w:vAlign w:val="bottom"/>
            <w:gridSpan w:val="2"/>
          </w:tcPr>
          <w:p>
            <w:pPr>
              <w:jc w:val="right"/>
              <w:ind w:right="326"/>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24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1040" w:type="dxa"/>
            <w:vAlign w:val="bottom"/>
          </w:tcPr>
          <w:p>
            <w:pPr>
              <w:jc w:val="right"/>
              <w:ind w:right="322"/>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1040" w:type="dxa"/>
            <w:vAlign w:val="bottom"/>
          </w:tcPr>
          <w:p>
            <w:pPr>
              <w:jc w:val="right"/>
              <w:ind w:right="30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3,273</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3,363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Warrants</w:t>
            </w:r>
          </w:p>
        </w:tc>
        <w:tc>
          <w:tcPr>
            <w:tcW w:w="640" w:type="dxa"/>
            <w:vAlign w:val="bottom"/>
          </w:tcPr>
          <w:p>
            <w:pPr>
              <w:spacing w:after="0"/>
              <w:rPr>
                <w:sz w:val="19"/>
                <w:szCs w:val="19"/>
                <w:color w:val="auto"/>
              </w:rPr>
            </w:pP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400"/>
              <w:spacing w:after="0"/>
              <w:rPr>
                <w:sz w:val="20"/>
                <w:szCs w:val="20"/>
                <w:color w:val="auto"/>
              </w:rPr>
            </w:pPr>
            <w:r>
              <w:rPr>
                <w:rFonts w:ascii="Arial" w:cs="Arial" w:eastAsia="Arial" w:hAnsi="Arial"/>
                <w:sz w:val="18"/>
                <w:szCs w:val="18"/>
                <w:color w:val="auto"/>
              </w:rPr>
              <w:t>1,058</w:t>
            </w:r>
          </w:p>
        </w:tc>
        <w:tc>
          <w:tcPr>
            <w:tcW w:w="14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Range of exercise prices of such options and warrants</w:t>
            </w:r>
          </w:p>
        </w:tc>
        <w:tc>
          <w:tcPr>
            <w:tcW w:w="1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$3.88 - $10.26</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$3.15 - $10.26</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$3.88 - $10.26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$2.38 - $10.26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October 30, 2010, expire from May 25, 2011 to May 3, 2020.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At October 30, 2010, the Company had total deferred tax assets of approximately $52.7 million, with a corresponding valuation allowance of $52.7 million and a total deferred tax liability of approximately $1.3 million. The deferred tax assets primarily relate to net operating loss carryforwards that expire through 2029 and to a lesser extent book/tax timing differences.</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Company’s effective tax rate for the first nine months of fiscal 2010 has been reduced from the statutory rate due to the utilization of the Company’s fully reserved net operating loss carryforwards.</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will recognize the benefit from a tax position only if it is more likely than not that the position would be sustained upon audit based solely on the technical merits of the tax position. At October 30, 2010, the Company had no material unrecognized tax benefits.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third quarter of fiscal 2010, the Company recognized a tax benefit of $0.8 million, or $0.02 per diluted share, as a result of the reduction in its liability for uncertain tax positions, due to the expiration of certain statutes of limitation.</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 federal income tax matters for years through fiscal 1998, with remaining fiscal years subject to income tax examination by federal tax authorities.</w:t>
      </w:r>
    </w:p>
    <w:p>
      <w:pPr>
        <w:spacing w:after="0" w:line="8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Company’s policy is to recognize accrued interest and penalties related to unrecognized tax benefits in its income tax provision. The Company has not accrued or paid any material interest or penalties for the third quarter and first nine months of fiscal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Subsequent Event</w:t>
      </w:r>
    </w:p>
    <w:p>
      <w:pPr>
        <w:spacing w:after="0" w:line="9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On November 10, 2010, the Company amended its Credit Facility with Bank of America, N.A. by executing the Sixth Amended and Restated Loan and Security Agreement (the “Amended Credit Facility”). The Amended Credit Facility replaces the existing Credit Facility, as discussed above in Note 2 –Debt.</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Amended Credit Facility provides for a maximum committed borrowing of $75 million, which, pursuant to an accordion feature, may be increased to $125 million upon the request of the Company and the agreement of the lender(s) participating in the increase. The Amended Credit Facility includes a sublimit of $20 million for commercial and standby letter of credits and a sublimit of up to $15 million for Swingline Loans. The Company’s ability to borrow under the Amended Credit Facility is determined using an availability formula based on eligible assets. The maturity date of the Amended Credit Facility is November 10, 2014.</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Borrowings made pursuant to the Amended Credit Facility will bear interest at a rate equal to the base rate (determined as the highest of (a) Bank of America N.A.’s prime rate, (b) the Federal Funds rate plus 0.50% and (c) the one month LIBOR rate) plus a varying percentage, based on the Company’s borrowing base, of 1.00-1.25% for prime-based borrowings and 2.00-2.25% for LIBOR-based borrowings.</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Company’s obligations under the Amended Credit Facility are secured by a lien on all of its assets. The Company is not subject to any financial covenants pursuant to the Amended Credit Facility.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0" w:name="page11"/>
    <w:bookmarkEnd w:id="1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90"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year ended January 30, 2010, filed with the Securities and Exchange Commission on March 19, 2010, and Part II, Item 1A of subsequent Quarterly Reports and this Quarterly Report which identify certain risks and uncertainties that may have an impact on our future earnings and the direction of our Company.</w:t>
      </w:r>
    </w:p>
    <w:p>
      <w:pPr>
        <w:spacing w:after="0" w:line="10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SUMMARY</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Casual Male Retail Group, Inc. together with our subsidiaries is the largest specialty retailer of big &amp; tall men’s apparel with retail operations throughout the United States, Canada and London, England. As of October 30, 2010, we operated 445 Casual Male XL retail and outlet stores, 4 Destination XL (“DXL”) stores and 17 Rochester Clothing stores and a direct-to-consumer business, which includes several catalogs and e-commerce sites.</w:t>
      </w:r>
    </w:p>
    <w:p>
      <w:pPr>
        <w:spacing w:after="0" w:line="10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We refer to our fiscal years which end on January 29, 2011 and January 30, 2010 as “fiscal 2010” and “fiscal 2009,” respectively.</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When discussing sales growth, we refer to the term “comparable sales.” Comparable sales for all periods discussed include our retail stores that have been open for at least one full year together with our e-commerce and catalog sales. Stores that may have been remodeled, expanded or re-located during the period are also included in our determination of comparable sales. Our Destination XL stores are considered relocations and comparable to all the closed stores in each respective market area. Therefore, we have included DXL in comparable sales for the third quarter and first nine months of fiscal 2010. We include our direct businesses as part of our calculation of comparable sales because we are a multi-channel retailer, offering our customers convenient alternatives for their shopping. The method of calculating comparative sales varies across the retail industry and, as a result, our calculation of comparable sales is not necessarily comparable to similarly titled measures reported by other companies.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Summary</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With each quarter of fiscal 2010, we have seen our business strengthen, across all of our brands. We are generating positive comparable sales, with a 3% comparable sales increase in the third quarter of fiscal 2010, our largest since the second quarter of fiscal 2007. Moreover, we are producing strong gross margins. In the third quarter of fiscal 2010, our gross margin rate increased 300 basis points over the prior year’s third quarter and increased 270 basis points for the first nine months of fiscal 2010 over the prior year’s first nine months. These increases are the result of solid merchandise margins as well as realization of cost savings from renegotiated leases. For the first nine months of fiscal 2010, net income has improved to $10.0 million, or $0.21 per diluted share, compared to $2.6 million, or $0.06 per diluted share, for the first nine months of fiscal 2009. As a result of this continuing improvement, we have again raised our earnings guidance for fiscal 2010 to $0.32-$0.34 per diluted share (up from our previous guidance of $0.29 -$0.32 per diluted share). See “Fiscal 2010 Outlook” below.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Throughout the first nine months of fiscal 2010, we have continued to manage our inventory levels prudently. Our aggressive approach to managing our inventory has been a key component to optimizing our merchandise margins, enabling us to avoid excessive promotional and clearance activity. We have also reduced our total indebtedness at October 30, 2010 by 58% as compared to October 31, 2009. As we discuss in more detail below under “Liquidity and Capital Resources,” subsequent to the end of the third quarter, we renewed our credit facility by executing a new amended and restated agreement. Our new facility, which extends to November 10, 2014, will provide us with the necessary additional working capital to continue to pursue our long-term initiatives.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Store Concept—Destination XL™</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target customer group is a very diverse group, and we currently try to cater to them in individual groups through our various channels and brands, such as B&amp;T Factory Direct for our value-oriented customers, Casual Male XL for our moderate-price customer and Rochester Clothing for our high-end customers. Our new concept will merge all of our brands under one roof, making it easier for our customers to find the merchandise they are looking for without having to shop several stores.</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second and third quarters of fiscal 2010, we began testing our new concept, the Destination XL store. Since July 2010, we have opened our first four Destination XL stores located in Schaumburg, Illinois, Memphis, Tennessee, Las Vegas, Nevada and Houston, Texas. Our Destination XL store concept is a supercenter, averaging 11,000 square feet, offering a full assortment from all of our core brands, including Casual Male XL, Rochester Clothing and B&amp;T Factory Direct, as well as expanded assortments of Shoes XL. All of our brands, across all channels, are represented in our new store utilizing a good, better, best pricing structure. Our family-friendly destination store will offer our customers one-stop shopping for all of their apparel needs while providing them with a comfortable and entertaining atmosphere, complete with interactive elements. This new store concept is the first of its kind in the big &amp; tall market.</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economic proposition for the Destination XL concept consists of greater efficiencies in serving the market area resulting in higher operating margins, and potentially greater sales volumes with increased market share in each market by either (a) gaining a larger share of our existing customers’ annual expenditures on apparel, or (b) increasing our market penetration with our customers whose waist size is between 42” and 46”, or both. Accordingly, the expectation is enhanced returns on capital and operating income from each market compared to our existing locations.</w:t>
      </w:r>
    </w:p>
    <w:p>
      <w:pPr>
        <w:spacing w:after="0" w:line="11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performance of the DXL™ stores, although still early, has been consistent with our expectations. Customer reaction to the new store format, which has almost triple the product assortments of an average Casual Male store, has been positive, and our transaction levels have significantly increased similar to those experienced with our hybrid stores. Through the third quarter of fiscal 2010, the four DXL stores have shown double digit improvements in sales over the prior year’s predecessor stores from the respective DXL store market area.</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Based on the performance of these four stores thus far, we anticipate expanding the testing further in fiscal 2011, by opening an additional 8 - 12 new DXL stores, increased from previously discussed 4 - 5 stores. If we continue to have success with the DXL stores in fiscal 2011, the long-range plan currently envisions 75-100 DXL store locations by fiscal 2015.</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If current long-range plans are met, we expect that our total selling square footage chain-wide will not change significantly over the next five years, but our total store count will drop to approximately 350 stores comprised of 250-275 Casual Male XL stores located mostly in smaller cities as a result of closing the smaller Casual Male XL stores to support approximately 75-100 DXL stores, and an approximate 6 Rochester Clothing stores mostly located in large urban areas. In addition, we anticipate that the DXL store concept will contribute in the future to the anticipated earnings growth as a result of the reduced occupancy costs and store operating expenses created from the store consolidation.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first quarter of fiscal 2011, we expect to launch the Destination XL website. The new site will offer our customers the same buying experience which they have in the DXL stores. The site will offer the entire product assortment from all our core brands, including Living XL, and will have enhancements that we expect will make for a more compelling buying experience.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2010 Outlook</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third quarter of fiscal 2010, we started to see an improvement in store traffic and, as a result, positive increases in sales. Based on the improved sales trends during the third quarter of fiscal 2010, we have increased our estimated total sales to a range of $393.0 to $396.0 million (up slightly from our previous guidance of $390.0 - $395.0 million). We still expect that the recovery in consumer spending in our specific market will take an extended period time, but we are pleased with the steady improvements that we are experiencing. We also expect to make continued improvements in gross margins of between 175 and 200 basis points (an increase from our previous guidance of between 110 and 140 basis points). The majority of this increase is the result of our strong merchandise margins that we experienced throughout the first nine months of fiscal 2010. Selling, general and administrative (“SG&amp;A”) costs are expected to increase less than 1% over fiscal 2009 levels (an increase from our previous guidance of a decrease of 2%).</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on the operating results for the first nine months of fiscal 2010 and the Company’s recent trends, we are raising our earnings expectations for fiscal 2010. At the end of the second quarter of fiscal 2010, we stated that we expected earnings to be between $0.29 and $0.32 per diluted share. We have raised that range to $0.32 to $0.34 per diluted share.</w:t>
      </w:r>
    </w:p>
    <w:p>
      <w:pPr>
        <w:spacing w:after="0" w:line="14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From a liquidity perspective, we expect to generate free cash flow of approximately $24.0 million, which represents cash flow from operations of $34.0 million less budgeted capital expenditures of approximately $10.0 million. See “Presentation of Non-GAAP Measure” below for calculation and reconciliation of non-GAAP free cash flow. Our capital expenditure projects for fiscal 2010 are primarily related to our Destination XL store concept and the corresponding enhancement and launching of our cross-channel e-commerce site.</w:t>
      </w:r>
    </w:p>
    <w:p>
      <w:pPr>
        <w:spacing w:after="0" w:line="14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free cash flow we generate in fiscal 2010 is being utilized to reduce amounts outstanding from time to time under our existing credit facility. At the end of fiscal 2010, we expect to have cash balances of between $15.0 and $20.0 million and only approximately $3.0 million in outstanding debt for a term note maturing in 2011. We expect that the availability under our revolver will be over $60 million by the end of the fiscal year. Accordingly, we expect to maintain a level of free cash flow and balance sheet liquidity to support and finance our current long term strategic plans.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Presentation of Non-GAAP Measure</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presentation of non-GAAP free cash flow is not a measure determined by generally accepted accounting principles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calculate free cash flows as cash flow from operating activities, less capital expenditures and discretionary store asset acquisitions. We believe that inclusion of this non-GAAP measure helps investors gain a better understanding of our cash flow performance, especially when comparing such results to previous periods. The following table reconciles our non-GAAP free cash flow measure: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85"/>
              </w:rPr>
              <w:t>For the nine months ended:</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Projected Cash Flow</w:t>
            </w:r>
          </w:p>
        </w:tc>
        <w:tc>
          <w:tcPr>
            <w:tcW w:w="0" w:type="dxa"/>
            <w:vAlign w:val="bottom"/>
          </w:tcPr>
          <w:p>
            <w:pPr>
              <w:spacing w:after="0"/>
              <w:rPr>
                <w:sz w:val="1"/>
                <w:szCs w:val="1"/>
                <w:color w:val="auto"/>
              </w:rPr>
            </w:pPr>
          </w:p>
        </w:tc>
      </w:tr>
      <w:tr>
        <w:trPr>
          <w:trHeight w:val="142"/>
        </w:trPr>
        <w:tc>
          <w:tcPr>
            <w:tcW w:w="3980" w:type="dxa"/>
            <w:vAlign w:val="bottom"/>
          </w:tcPr>
          <w:p>
            <w:pPr>
              <w:ind w:left="2560"/>
              <w:spacing w:after="0" w:line="142" w:lineRule="exact"/>
              <w:rPr>
                <w:sz w:val="20"/>
                <w:szCs w:val="20"/>
                <w:color w:val="auto"/>
              </w:rPr>
            </w:pPr>
            <w:r>
              <w:rPr>
                <w:rFonts w:ascii="Arial" w:cs="Arial" w:eastAsia="Arial" w:hAnsi="Arial"/>
                <w:sz w:val="14"/>
                <w:szCs w:val="14"/>
                <w:b w:val="1"/>
                <w:bCs w:val="1"/>
                <w:color w:val="auto"/>
              </w:rPr>
              <w:t>(in millions)</w:t>
            </w:r>
          </w:p>
        </w:tc>
        <w:tc>
          <w:tcPr>
            <w:tcW w:w="194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8"/>
              </w:rPr>
              <w:t>October 30, 2010</w:t>
            </w:r>
          </w:p>
        </w:tc>
        <w:tc>
          <w:tcPr>
            <w:tcW w:w="6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October 31, 2009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6"/>
              </w:rPr>
              <w:t>Fiscal 2010</w:t>
            </w: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2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(3.4)</w:t>
            </w:r>
          </w:p>
        </w:tc>
        <w:tc>
          <w:tcPr>
            <w:tcW w:w="1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Less: Discretionary store asset acquisitions</w:t>
            </w:r>
          </w:p>
        </w:tc>
        <w:tc>
          <w:tcPr>
            <w:tcW w:w="1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980" w:type="dxa"/>
            <w:vAlign w:val="bottom"/>
          </w:tcPr>
          <w:p>
            <w:pPr>
              <w:spacing w:after="0"/>
              <w:rPr>
                <w:sz w:val="20"/>
                <w:szCs w:val="20"/>
                <w:color w:val="auto"/>
              </w:rPr>
            </w:pPr>
            <w:r>
              <w:rPr>
                <w:rFonts w:ascii="Arial" w:cs="Arial" w:eastAsia="Arial" w:hAnsi="Arial"/>
                <w:sz w:val="18"/>
                <w:szCs w:val="18"/>
                <w:color w:val="auto"/>
              </w:rPr>
              <w:t>Free Cash Flow</w:t>
            </w:r>
          </w:p>
        </w:tc>
        <w:tc>
          <w:tcPr>
            <w:tcW w:w="212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940" w:type="dxa"/>
            <w:vAlign w:val="bottom"/>
            <w:vMerge w:val="restart"/>
          </w:tcPr>
          <w:p>
            <w:pPr>
              <w:jc w:val="right"/>
              <w:ind w:right="952"/>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3" w:name="page14"/>
    <w:bookmarkEnd w:id="13"/>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Sales</w:t>
      </w:r>
    </w:p>
    <w:p>
      <w:pPr>
        <w:spacing w:after="0" w:line="9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For the third quarter of fiscal 2010, total sales increased by 1.4% to $89.9 million when compared to total sales of $88.7 million for the third quarter of fiscal 2009. Comparable sales for the third quarter increased 3.0% when compared to the same period of the prior year. This comparable sales increase consisted of a 2.6% increase in sales from our Casual Male XL business and a 3.9% increase in our Rochester business.</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comparable sales increase for the third quarter of fiscal 2010 is primarily attributable to improvements in our traffic trends. While traffic was still down 2.7% for the third quarter of fiscal 2010 it was a substantial improvement from the -6.3% to -12.7% experienced in the four previous quarters. In addition, we continued to see positive results in our conversion rate (the percentage of store customers who make a purchase) as well as in dollars spent per transaction. Sales across our direct businesses increased by 2.2% while comparable sales from our retail channel increased 3.2% for the third quarter of fiscal 2010 as compared to the prior year’s third quarter.</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first nine months of fiscal 2010, total sales decreased 0.8% to $282.2 million as compared to total sales of $284.5 million for the first nine months of fiscal 2009 but comparable sales for the first nine months of fiscal 2010 increased 0.9% when compared to the first nine months of fiscal 2009. This increase in comparable sales consisted of a 2.1% increase in our Rochester business, while our Casual Male XL business was flat. Our Rochester business was most affected by the economic recession; as a result, we are seeing improvements in our Rochester business as our higher-end customers start returning. Sales from our direct businesses increased by 2.8% while sales from our retail channel increased 0.5% for the first nine months of fiscal 2010 as compared to the first nine months of the prior year.</w:t>
      </w:r>
    </w:p>
    <w:p>
      <w:pPr>
        <w:spacing w:after="0" w:line="14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expect that sales will likely rebound very slowly, especially considering that although the overall economy has shown signs of improvement, unemployment rates, which have a direct impact on consumer spending, remain high.</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Accordingly, although we are seeing signs of improvement, we are planning sales volumes for fiscal 2010 to remain relatively flat to fiscal 2009 at approximately $393.0 to $396.0 million, with an estimated 1% increase in comparable sales.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For the third quarter of fiscal 2010, our gross margin rate, inclusive of occupancy costs, was 45.7% as compared to a gross margin rate of 42.7% for the third quarter of fiscal 2009. The increase of 300 basis points was the result of increased merchandise margins for the third quarter of fiscal 2010 of 190 basis points plus an improvement of 110 basis points in occupancy costs as a result of lower occupancy costs.</w:t>
      </w:r>
    </w:p>
    <w:p>
      <w:pPr>
        <w:spacing w:after="0" w:line="14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first nine months of fiscal 2010, our gross margin rate, inclusive of occupancy costs, was 46.0% as compared to 43.3% for the first nine months of fiscal 2009. The increase of 270 basis points was the result of increased merchandise margins for the first nine months of fiscal 2010 of 190 basis points plus an improvement of 80 basis points in occupancy costs.</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merchandise margin continues to benefit from our improved inventory management and reduced markdown activity. In addition, our merchandise margin for the first nine months of fiscal 2009 was negatively impacted by some residual fourth quarter 2008 clearance merchandise. Occupancy costs for the first nine months of fiscal 2010 also improved despite the slightly lower sales base. On a dollar basis, occupancy costs for the first nine months of fiscal 2010 decreased by $2.6 million as compared to the first nine months of fiscal 2009 as a result of our on-going rent reduction efforts with various landlords.</w:t>
      </w:r>
    </w:p>
    <w:p>
      <w:pPr>
        <w:spacing w:after="0" w:line="11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During fiscal 2009, we were successful in re-negotiating existing lease terms with many of our landlords, enabling us to reduce future occupancy costs by approximately $9.0 million, which will be recognized over the remaining lease terms of those respective leases. As a result, we expect to leverage occupancy costs by approximately 60 to 80 basis points in fiscal 2010. In addition, we expect to continue with our aggressive management of inventory levels during fiscal 2010 to ensure a healthy inventory position and, accordingly, strong merchandise margins, with improvements of 115 to 120 basis points. Accordingly, for fiscal 2010, we are expecting that gross margin will improve by approximately 175 to 200 basis points, which represents an increase of 60 to 65 basis points from our guidance in the second quarter of fiscal 2010.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Selling, General and Administrative Expenses</w:t>
      </w:r>
    </w:p>
    <w:p>
      <w:pPr>
        <w:spacing w:after="0" w:line="9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SG&amp;A expenses for the third quarter of fiscal 2010 were 43.1% of sales as compared to 39.8% for the third quarter of fiscal 2009. On a dollar basis, SG&amp;A expenses increased 10% for the third quarter of fiscal 2010 as compared to the third quarter of fiscal 2009.</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SG&amp;A increase of approximately $3.5 million in the third quarter of fiscal 2010 was due to: (i) additional SG&amp;A costs, primarily advertising and store payroll, associated with our newly opened DXL stores and (ii) bonus accruals of approximately $1.9 million for both our annual incentive plan and senior management long-term incentive plan. In the prior year, we did not accrue for these bonus plans until the fourth quarter of fiscal 2009 when the achievement of the bonus plans became probable.</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For the first nine months of fiscal 2010, SG&amp;A expenses were 38.9% of sales as compared to 37.9% of sales for the first nine months of fiscal 2009. On a dollar basis, SG&amp;A expenses increased 1.8% for the first nine months of fiscal 2010 as compared to the first nine months of fiscal 2009.</w:t>
      </w:r>
    </w:p>
    <w:p>
      <w:pPr>
        <w:spacing w:after="0" w:line="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Similar to fiscal 2009, we plan to limit our SG&amp;A growth rates, except for certain programs to support our growth activities, unanticipated cost increases by our suppliers and unanticipated costs that are necessary to support our overall activities. We continue to benefit from our cost reduction efforts in 2009. These savings will help to partially offset the increased marketing and other expenditures to support our Destination XL concept. For fiscal 2010, we expect our SG&amp;A costs to slightly increase, less than 1%, from fiscal 2009. This is an increase from our previous guidance of a 2% decrease over the prior year, which we provided in the second quarter of fiscal 2010. This increase relates to incremental expenses associated with slightly higher sales, and expected higher payouts under our incentive plans from higher than expected earnings performance.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interest expense was $0.2 million for the third quarter of fiscal 2010 as compared to $0.3 million for the third quarter of fiscal 2009. For the first nine months of fiscal 2010, net interest expense was $0.5 million as compared to $0.9 million for the first nine months of fiscal 2009. The reduction in interest costs for the first nine months of fiscal 2010 as compared to the prior year was due to an overall reduction of 58% in total debt as of the end of the third quarter of fiscal 2010 as compared to the end of the third quarter of fiscal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October 30, 2010, our total deferred tax assets were approximately $52.7 million, with a corresponding valuation allowance of $52.7 million and a deferred tax liability of approximately $1.3 million. The deferred tax assets principally relate to federal net operating loss (“NOL”) carryforwards that expire through 2029. During the third quarter of fiscal 2010, we recognized a tax benefit of $0.8 million, or $0.02 per diluted share, as a result of a reduction in our liability for uncertain tax positions, due to the expiration of certain statutes of limitation.</w:t>
      </w:r>
    </w:p>
    <w:p>
      <w:pPr>
        <w:spacing w:after="0" w:line="143"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The effect of the weakened economy on our retail business, especially in fiscal 2008, had a significant impact upon our revenue and profitability. Further, the conditions of the economy also negatively impacted our market value as a result of the deterioration of the capital markets and resulted in substantial impairments in fiscal 2008. Accordingly, due to our cumulative operating losses as well as our uncertainty regarding the economy and our ability to generate future taxable income to realize all of our deferred tax assets, in the fourth quarter of fiscal 2008, we established a valuation allowance against our deferred tax assets.</w:t>
      </w:r>
    </w:p>
    <w:p>
      <w:pPr>
        <w:spacing w:after="0" w:line="9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effective tax rate for the third quarter and first nine months of fiscal 2010 has been principally reduced from the statutory rate due to the utilization of fully reserved NOL carryforwards and the release of a tax contingency liability.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Income</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third quarter of fiscal 2010, we had net income of $0.3 million, or $0.01 per diluted share, as compared to a net loss of $(1.4) million, or $(0.03) per diluted share, for the third quarter of fiscal 2009. For the first nine months of fiscal 2010, net income was $10.0 million, or $0.21 per diluted share, as compared to net income of $2.6 million, or $0.06 per diluted share, for the first nine months of fiscal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October 30, 2010, total inventory was $109.6 million compared to $90.0 million at January 30, 2010 and $108.2 million at October 31, 2009.</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continue to make a concerted effort to manage our inventory levels and, as a result, our merchandise margins continue to improve. We have successfully reduced our inventory levels over the past two fiscal years without sacrificing our broad selection of core basic merchandise and current fashion items. Because of the upcoming “Holiday” selling season, our inventory levels are typically higher when compared to year-end balances.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primary cash needs are for working capital (essentially inventory requirements) and capital expenditures. As discussed below, our capital expenditure program for fiscal 2010 is $10.0 million, which is greater than fiscal 2009 primarily due to the launch of our Destination XL stores as well as the upgrading of our e-commerce sites to a multi-brand format. We believe that our existing cash generated from operations together with our availability under our credit facility will be sufficient within current forecasts for us to meet our foreseeable liquidity requirements.</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the first nine months of fiscal 2010, free cash flow, which we define as cash flow from operating activities, less capital expenditures and discretionary store acquisitions, if any, decreased by $6.2 million to $(2.4) million from $3.8 million for the first nine months of fiscal 2009. See “Presentation of Non-GAAP Measures” above regarding non-GAAP free cash flow. The primary reason for the decrease in free cash flow of $6.2 million was the expected increase in capital expenditures associated with our new DXL concept.</w:t>
      </w:r>
    </w:p>
    <w:p>
      <w:pPr>
        <w:spacing w:after="0" w:line="14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addition to cash flow from operations, our other primary source of working capital is our Credit Facility. At October 30, 2010, our borrowing base under our Credit Facility was $83.7 million of which $69.1 million represented unused excess availability. Our outstanding borrowings at October 30, 2010 were $10.6 million. Borrowings under the Credit Facility bear interest at variable rates based on Bank of America’s prime rate or the London Interbank Offering Rate (“LIBOR”) and vary depending on our levels of excess availability.</w:t>
      </w:r>
    </w:p>
    <w:p>
      <w:pPr>
        <w:spacing w:after="0" w:line="14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Outstanding standby letters of credit were $2.3 million and outstanding documentary letters of credit were $1.7 million. Average monthly borrowings outstanding under this facility during the first nine months of fiscal 2010 were approximately $5.2 million, resulting in an average unused excess availability of approximately $62.3 million.</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October 30, 2010, we have reduced our total debt, including our long-term debt, by $20.0 million, or 58%, to $14.5 million from $34.5 million at October 31, 2009.</w:t>
      </w:r>
    </w:p>
    <w:p>
      <w:pPr>
        <w:spacing w:after="0" w:line="132" w:lineRule="exact"/>
        <w:rPr>
          <w:sz w:val="20"/>
          <w:szCs w:val="20"/>
          <w:color w:val="auto"/>
        </w:rPr>
      </w:pPr>
    </w:p>
    <w:p>
      <w:pPr>
        <w:jc w:val="both"/>
        <w:ind w:right="100"/>
        <w:spacing w:after="0" w:line="332" w:lineRule="auto"/>
        <w:rPr>
          <w:sz w:val="20"/>
          <w:szCs w:val="20"/>
          <w:color w:val="auto"/>
        </w:rPr>
      </w:pPr>
      <w:r>
        <w:rPr>
          <w:rFonts w:ascii="Arial" w:cs="Arial" w:eastAsia="Arial" w:hAnsi="Arial"/>
          <w:sz w:val="16"/>
          <w:szCs w:val="16"/>
          <w:color w:val="auto"/>
        </w:rPr>
        <w:t>Subsequent to the end of the third quarter, on November 10, 2010, we amended our Credit Facility with Bank of America, N.A. by executing the Sixth Amended and Restated Loan and Security Agreement (the “Amended Credit Facility”). The Amended Credit Facility replaces the existing Credit Facility discussed above.</w:t>
      </w:r>
    </w:p>
    <w:p>
      <w:pPr>
        <w:spacing w:after="0" w:line="8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Amended Credit Facility provides for a maximum committed borrowing of $75 million, which, pursuant to an accordion feature, may be increased to $125 million upon our request and the agreement of the lender(s) participating in the increase. The Amended Credit Facility includes a sublimit of $20 million for commercial and standby letter of credits and a sublimit of up to $15 million for Swingline Loans. Similar to the existing Credit Facility, our ability to borrow under the Amended Credit Facility is determined using an availability formula based on eligible assets. We downsized the credit facility capacity based on our expected borrowing needs in future periods, which are expected to be limited to seasonal cash requirements.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cash flow under the Amended Credit Facility is largely unrestricted as it relates to payments for transactions such as repurchases of stock, debt prepayments, dividends and certain asset acquisitions, so long as we maintain an availability of 20% or more. The maturity date of the Amended Credit Facility is November 10, 2014. Our Amended Credit Facility is described in more detail in Note 5 to the Notes to the Consolidated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 and related square footage at October 30, 2010 and October 31, 2009, respectively:</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5"/>
              </w:rPr>
              <w:t>Store Concept</w:t>
            </w:r>
          </w:p>
        </w:tc>
        <w:tc>
          <w:tcPr>
            <w:tcW w:w="2000" w:type="dxa"/>
            <w:vAlign w:val="bottom"/>
            <w:vMerge w:val="restart"/>
          </w:tcPr>
          <w:p>
            <w:pPr>
              <w:spacing w:after="0"/>
              <w:rPr>
                <w:sz w:val="14"/>
                <w:szCs w:val="14"/>
                <w:color w:val="auto"/>
              </w:rPr>
            </w:pPr>
          </w:p>
        </w:tc>
        <w:tc>
          <w:tcPr>
            <w:tcW w:w="3520" w:type="dxa"/>
            <w:vAlign w:val="bottom"/>
            <w:gridSpan w:val="4"/>
          </w:tcPr>
          <w:p>
            <w:pPr>
              <w:jc w:val="right"/>
              <w:ind w:right="1580"/>
              <w:spacing w:after="0"/>
              <w:rPr>
                <w:sz w:val="20"/>
                <w:szCs w:val="20"/>
                <w:color w:val="auto"/>
              </w:rPr>
            </w:pPr>
            <w:r>
              <w:rPr>
                <w:rFonts w:ascii="Arial" w:cs="Arial" w:eastAsia="Arial" w:hAnsi="Arial"/>
                <w:sz w:val="14"/>
                <w:szCs w:val="14"/>
                <w:b w:val="1"/>
                <w:bCs w:val="1"/>
                <w:color w:val="auto"/>
              </w:rPr>
              <w:t>At October 30, 2010</w:t>
            </w:r>
          </w:p>
        </w:tc>
        <w:tc>
          <w:tcPr>
            <w:tcW w:w="2820" w:type="dxa"/>
            <w:vAlign w:val="bottom"/>
            <w:gridSpan w:val="4"/>
          </w:tcPr>
          <w:p>
            <w:pPr>
              <w:ind w:left="780"/>
              <w:spacing w:after="0"/>
              <w:rPr>
                <w:sz w:val="20"/>
                <w:szCs w:val="20"/>
                <w:color w:val="auto"/>
              </w:rPr>
            </w:pPr>
            <w:r>
              <w:rPr>
                <w:rFonts w:ascii="Arial" w:cs="Arial" w:eastAsia="Arial" w:hAnsi="Arial"/>
                <w:sz w:val="14"/>
                <w:szCs w:val="14"/>
                <w:b w:val="1"/>
                <w:bCs w:val="1"/>
                <w:color w:val="auto"/>
              </w:rPr>
              <w:t>At October 31, 2009</w:t>
            </w: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0" w:type="dxa"/>
            <w:vAlign w:val="bottom"/>
            <w:vMerge w:val="continue"/>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Number of Stores</w:t>
            </w:r>
          </w:p>
        </w:tc>
        <w:tc>
          <w:tcPr>
            <w:tcW w:w="8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Square Footage</w:t>
            </w:r>
          </w:p>
        </w:tc>
        <w:tc>
          <w:tcPr>
            <w:tcW w:w="8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Number of Stores</w:t>
            </w:r>
          </w:p>
        </w:tc>
        <w:tc>
          <w:tcPr>
            <w:tcW w:w="8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Square Footage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(square footage in thousands)</w:t>
            </w:r>
          </w:p>
        </w:tc>
        <w:tc>
          <w:tcPr>
            <w:tcW w:w="2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Casual Male XL</w:t>
            </w:r>
          </w:p>
        </w:tc>
        <w:tc>
          <w:tcPr>
            <w:tcW w:w="18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445</w:t>
            </w: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1,587</w:t>
            </w:r>
          </w:p>
        </w:tc>
        <w:tc>
          <w:tcPr>
            <w:tcW w:w="18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465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Destination XL</w:t>
            </w: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4</w:t>
            </w: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46</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Rochester Clothing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142</w:t>
            </w:r>
          </w:p>
        </w:tc>
        <w:tc>
          <w:tcPr>
            <w:tcW w:w="18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Arial" w:cs="Arial" w:eastAsia="Arial" w:hAnsi="Arial"/>
                <w:sz w:val="18"/>
                <w:szCs w:val="18"/>
                <w:color w:val="auto"/>
              </w:rPr>
              <w:t>Total Stores</w:t>
            </w:r>
          </w:p>
        </w:tc>
        <w:tc>
          <w:tcPr>
            <w:tcW w:w="10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gridSpan w:val="3"/>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w:t>
            </w:r>
          </w:p>
        </w:tc>
        <w:tc>
          <w:tcPr>
            <w:tcW w:w="800" w:type="dxa"/>
            <w:vAlign w:val="bottom"/>
          </w:tcPr>
          <w:p>
            <w:pPr>
              <w:spacing w:after="0"/>
              <w:rPr>
                <w:sz w:val="19"/>
                <w:szCs w:val="19"/>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1,775</w:t>
            </w: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485</w:t>
            </w:r>
          </w:p>
        </w:tc>
        <w:tc>
          <w:tcPr>
            <w:tcW w:w="90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Total cash outlays for capital expenditures for the first nine months of fiscal 2010 and fiscal 2009 were $7.3 million and $3.4 million, respectively.</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fiscal 2010, our capital expenditures are expected to be approximately $10.0 million. The budget includes approximately $3.4 million related to the opening of our 4 new Destination XL concept stores and approximately $5.0 million for continued information technology projects, including the launch of our enhanced cross-channel e-commerce site, with the remainder for general store and infrastructure projects.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and closings since January 30, 2010:</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6"/>
              </w:rPr>
              <w:t>Casual Male</w:t>
            </w:r>
          </w:p>
        </w:tc>
        <w:tc>
          <w:tcPr>
            <w:tcW w:w="6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3"/>
              </w:rPr>
              <w:t>Destination</w:t>
            </w:r>
          </w:p>
        </w:tc>
        <w:tc>
          <w:tcPr>
            <w:tcW w:w="6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1"/>
              </w:rPr>
              <w:t>Rochester</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20" w:type="dxa"/>
            <w:vAlign w:val="bottom"/>
          </w:tcPr>
          <w:p>
            <w:pPr>
              <w:ind w:left="280"/>
              <w:spacing w:after="0"/>
              <w:rPr>
                <w:sz w:val="20"/>
                <w:szCs w:val="20"/>
                <w:color w:val="auto"/>
              </w:rPr>
            </w:pPr>
            <w:r>
              <w:rPr>
                <w:rFonts w:ascii="Arial" w:cs="Arial" w:eastAsia="Arial" w:hAnsi="Arial"/>
                <w:sz w:val="14"/>
                <w:szCs w:val="14"/>
                <w:b w:val="1"/>
                <w:bCs w:val="1"/>
                <w:color w:val="auto"/>
              </w:rPr>
              <w:t>XL</w:t>
            </w:r>
          </w:p>
        </w:tc>
        <w:tc>
          <w:tcPr>
            <w:tcW w:w="680" w:type="dxa"/>
            <w:vAlign w:val="bottom"/>
          </w:tcPr>
          <w:p>
            <w:pPr>
              <w:spacing w:after="0"/>
              <w:rPr>
                <w:sz w:val="14"/>
                <w:szCs w:val="14"/>
                <w:color w:val="auto"/>
              </w:rPr>
            </w:pPr>
          </w:p>
        </w:tc>
        <w:tc>
          <w:tcPr>
            <w:tcW w:w="660" w:type="dxa"/>
            <w:vAlign w:val="bottom"/>
          </w:tcPr>
          <w:p>
            <w:pPr>
              <w:jc w:val="right"/>
              <w:ind w:right="160"/>
              <w:spacing w:after="0"/>
              <w:rPr>
                <w:sz w:val="20"/>
                <w:szCs w:val="20"/>
                <w:color w:val="auto"/>
              </w:rPr>
            </w:pPr>
            <w:r>
              <w:rPr>
                <w:rFonts w:ascii="Arial" w:cs="Arial" w:eastAsia="Arial" w:hAnsi="Arial"/>
                <w:sz w:val="14"/>
                <w:szCs w:val="14"/>
                <w:b w:val="1"/>
                <w:bCs w:val="1"/>
                <w:color w:val="auto"/>
              </w:rPr>
              <w:t>XL</w:t>
            </w:r>
          </w:p>
        </w:tc>
        <w:tc>
          <w:tcPr>
            <w:tcW w:w="6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1"/>
              </w:rPr>
              <w:t>Clothing</w:t>
            </w:r>
          </w:p>
        </w:tc>
        <w:tc>
          <w:tcPr>
            <w:tcW w:w="7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3"/>
              </w:rPr>
              <w:t>Total stores</w:t>
            </w: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At January 30, 2010</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460</w:t>
            </w: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New outlet stores</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retail stores</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Closed stores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At October 30, 2010</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445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9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January 30, 2010 filed with the SEC on March 19, 2010.</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280" w:right="339" w:bottom="1440" w:gutter="0" w:footer="0" w:header="0"/>
        </w:sectPr>
      </w:pPr>
    </w:p>
    <w:bookmarkStart w:id="17" w:name="page18"/>
    <w:bookmarkEnd w:id="17"/>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Rates</w:t>
      </w:r>
    </w:p>
    <w:p>
      <w:pPr>
        <w:spacing w:after="0" w:line="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bear interest at variable rates based on Bank of America’s prime rate or LIBOR. At October 30, 2010, the interest rate for any prime based borrowings was 3.25%. At</w:t>
      </w:r>
    </w:p>
    <w:p>
      <w:pPr>
        <w:spacing w:after="0" w:line="1"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October 30, 2010, the Company had no LIBOR-based borrowings outstanding. Based upon a sensitivity analysis as of October 30, 2010, assuming average outstanding borrowing during the first nine months of fiscal 2010 of $5.2 million, a 50 basis point increase in interest rates would have resulted in a potential increase in interest expense of approximately $26,000 on an annualized basis.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Our international e-commerce sites conduct business in Euros and British pounds. If the value of the Canadian dollar, British pound or Euro against the U.S. dollar weakens, the revenues and earnings of these operations will be reduced when they are translated or remeasured to U.S. dollars. Also, the value of these assets to U.S. dollars may decline. As of October 30, 2010, sales from our Sears Canada operations, our London Rochester Clothing store and our international e-commerce sites were immaterial to consolidated sales. As such, we believe that movement in foreign currency exchange rates will not have a material adverse effect on our financial position or results of operations.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October 30, 2010.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October 30, 2010, our disclosure controls and procedures were effective.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October 30, 2010 that has materially affected, or is reasonably likely to materially effect,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We believe that the resolution of these matters will not have an adverse impact on our operations or financial position.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January 30, 2010 filed with the SEC on March 19, 2010.</w:t>
      </w:r>
    </w:p>
    <w:p>
      <w:pPr>
        <w:sectPr>
          <w:pgSz w:w="11900" w:h="16838" w:orient="portrait"/>
          <w:cols w:equalWidth="0" w:num="1">
            <w:col w:w="11240"/>
          </w:cols>
          <w:pgMar w:left="240" w:top="274" w:right="41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Unregistered Sales of Equity Securities and Use of Proceeds.</w:t>
      </w:r>
    </w:p>
    <w:p>
      <w:pPr>
        <w:spacing w:after="0" w:line="130" w:lineRule="exact"/>
        <w:rPr>
          <w:sz w:val="20"/>
          <w:szCs w:val="20"/>
          <w:color w:val="auto"/>
        </w:rPr>
      </w:pPr>
    </w:p>
    <w:p>
      <w:pPr>
        <w:sectPr>
          <w:pgSz w:w="11900" w:h="16838" w:orient="portrait"/>
          <w:cols w:equalWidth="0" w:num="2">
            <w:col w:w="540" w:space="500"/>
            <w:col w:w="10200"/>
          </w:cols>
          <w:pgMar w:left="240" w:top="274" w:right="419" w:bottom="1440" w:gutter="0" w:footer="0" w:header="0"/>
          <w:type w:val="continuous"/>
        </w:sect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240"/>
          </w:cols>
          <w:pgMar w:left="240" w:top="274" w:right="419"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Defaults Upon Senior Securities.</w:t>
      </w:r>
    </w:p>
    <w:p>
      <w:pPr>
        <w:spacing w:after="0" w:line="130" w:lineRule="exact"/>
        <w:rPr>
          <w:sz w:val="20"/>
          <w:szCs w:val="20"/>
          <w:color w:val="auto"/>
        </w:rPr>
      </w:pPr>
    </w:p>
    <w:p>
      <w:pPr>
        <w:sectPr>
          <w:pgSz w:w="11900" w:h="16838" w:orient="portrait"/>
          <w:cols w:equalWidth="0" w:num="2">
            <w:col w:w="540" w:space="500"/>
            <w:col w:w="10200"/>
          </w:cols>
          <w:pgMar w:left="240" w:top="274" w:right="419" w:bottom="1440" w:gutter="0" w:footer="0" w:header="0"/>
          <w:type w:val="continuous"/>
        </w:sect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240"/>
          </w:cols>
          <w:pgMar w:left="240" w:top="274" w:right="419"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19" w:lineRule="exact"/>
        <w:rPr>
          <w:sz w:val="20"/>
          <w:szCs w:val="20"/>
          <w:color w:val="auto"/>
        </w:rPr>
      </w:pPr>
    </w:p>
    <w:p>
      <w:pPr>
        <w:sectPr>
          <w:pgSz w:w="11900" w:h="16838" w:orient="portrait"/>
          <w:cols w:equalWidth="0" w:num="2">
            <w:col w:w="540" w:space="500"/>
            <w:col w:w="10200"/>
          </w:cols>
          <w:pgMar w:left="240" w:top="274" w:right="419" w:bottom="1440" w:gutter="0" w:footer="0" w:header="0"/>
          <w:type w:val="continuous"/>
        </w:sect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240"/>
          </w:cols>
          <w:pgMar w:left="240" w:top="274" w:right="419"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Exhibits.</w:t>
      </w:r>
    </w:p>
    <w:p>
      <w:pPr>
        <w:spacing w:after="0" w:line="130" w:lineRule="exact"/>
        <w:rPr>
          <w:sz w:val="20"/>
          <w:szCs w:val="20"/>
          <w:color w:val="auto"/>
        </w:rPr>
      </w:pPr>
    </w:p>
    <w:p>
      <w:pPr>
        <w:sectPr>
          <w:pgSz w:w="11900" w:h="16838" w:orient="portrait"/>
          <w:cols w:equalWidth="0" w:num="2">
            <w:col w:w="540" w:space="500"/>
            <w:col w:w="10200"/>
          </w:cols>
          <w:pgMar w:left="240" w:top="274" w:right="419" w:bottom="1440" w:gutter="0" w:footer="0" w:header="0"/>
          <w:type w:val="continuous"/>
        </w:sect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Second Amended and Restated Casual Male Retail Group, Inc. Annual Incentive Plan.</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274" w:right="419" w:bottom="1440" w:gutter="0" w:footer="0" w:header="0"/>
          <w:type w:val="continuous"/>
        </w:sectPr>
      </w:pPr>
    </w:p>
    <w:bookmarkStart w:id="19" w:name="page20"/>
    <w:bookmarkEnd w:id="19"/>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5560" w:val="left"/>
          <w:tab w:leader="none" w:pos="7420" w:val="left"/>
          <w:tab w:leader="none" w:pos="7780" w:val="left"/>
        </w:tabs>
        <w:rPr>
          <w:sz w:val="20"/>
          <w:szCs w:val="20"/>
          <w:color w:val="auto"/>
        </w:rPr>
      </w:pPr>
      <w:r>
        <w:rPr>
          <w:rFonts w:ascii="Arial" w:cs="Arial" w:eastAsia="Arial" w:hAnsi="Arial"/>
          <w:sz w:val="18"/>
          <w:szCs w:val="18"/>
          <w:color w:val="auto"/>
        </w:rPr>
        <w:t>Date: November 19,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H. S</w:t>
      </w:r>
      <w:r>
        <w:rPr>
          <w:rFonts w:ascii="Arial" w:cs="Arial" w:eastAsia="Arial" w:hAnsi="Arial"/>
          <w:sz w:val="13"/>
          <w:szCs w:val="13"/>
          <w:color w:val="auto"/>
        </w:rPr>
        <w:t>TRATTON</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Peter H. Stratton, Jr.</w:t>
      </w:r>
    </w:p>
    <w:p>
      <w:pPr>
        <w:jc w:val="center"/>
        <w:ind w:left="5960"/>
        <w:spacing w:after="0" w:line="221" w:lineRule="auto"/>
        <w:rPr>
          <w:sz w:val="20"/>
          <w:szCs w:val="20"/>
          <w:color w:val="auto"/>
        </w:rPr>
      </w:pPr>
      <w:r>
        <w:rPr>
          <w:rFonts w:ascii="Arial" w:cs="Arial" w:eastAsia="Arial" w:hAnsi="Arial"/>
          <w:sz w:val="14"/>
          <w:szCs w:val="14"/>
          <w:b w:val="1"/>
          <w:bCs w:val="1"/>
          <w:color w:val="auto"/>
        </w:rPr>
        <w:t>Senior Vice President of Finance, Corporate Controller</w:t>
      </w:r>
    </w:p>
    <w:p>
      <w:pPr>
        <w:jc w:val="center"/>
        <w:ind w:left="5960"/>
        <w:spacing w:after="0"/>
        <w:rPr>
          <w:sz w:val="20"/>
          <w:szCs w:val="20"/>
          <w:color w:val="auto"/>
        </w:rPr>
      </w:pPr>
      <w:r>
        <w:rPr>
          <w:rFonts w:ascii="Arial" w:cs="Arial" w:eastAsia="Arial" w:hAnsi="Arial"/>
          <w:sz w:val="14"/>
          <w:szCs w:val="14"/>
          <w:b w:val="1"/>
          <w:bCs w:val="1"/>
          <w:color w:val="auto"/>
        </w:rPr>
        <w:t>and Chief Accounting Officer</w:t>
      </w:r>
    </w:p>
    <w:p>
      <w:pPr>
        <w:spacing w:after="0" w:line="12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240" w:top="274" w:right="65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CASUAL MALE RETAIL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ANNUAL INCENTIVE PLAN</w:t>
      </w:r>
    </w:p>
    <w:p>
      <w:pPr>
        <w:spacing w:after="0" w:line="205"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AND OBJECTIVES</w:t>
      </w:r>
    </w:p>
    <w:p>
      <w:pPr>
        <w:spacing w:after="0" w:line="90" w:lineRule="exact"/>
        <w:rPr>
          <w:sz w:val="20"/>
          <w:szCs w:val="20"/>
          <w:color w:val="auto"/>
        </w:rPr>
      </w:pPr>
    </w:p>
    <w:p>
      <w:pPr>
        <w:ind w:right="40" w:firstLine="913"/>
        <w:spacing w:after="0" w:line="314" w:lineRule="auto"/>
        <w:rPr>
          <w:sz w:val="20"/>
          <w:szCs w:val="20"/>
          <w:color w:val="auto"/>
        </w:rPr>
      </w:pPr>
      <w:r>
        <w:rPr>
          <w:rFonts w:ascii="Arial" w:cs="Arial" w:eastAsia="Arial" w:hAnsi="Arial"/>
          <w:sz w:val="15"/>
          <w:szCs w:val="15"/>
          <w:color w:val="auto"/>
        </w:rPr>
        <w:t>Casual Male Retail Group, Inc. (“Company”) has developed this Second Amended and Restated Annual Incentive Plan (the “Incentive Plan”) to provide opportunities for eligible associates of the Company and its subsidiaries to earn meaningful rewards for excellent annual performance. The Incentive Plan aims to align the interests of the Incentive Plan participants with those of our shareholders. Bonus awards are cash payments based on actual results measured against pre-established Company financial performance (“Bonus Awards”). Bonus Awards are intended to provide a reward to eligible Incentive Plan participants and supplement the base salary program. A fiscal year is referred to as a “Plan Year”. Bonus Awards made hereunder are being made pursuant to, and shall be subject to the terms and conditions specified in, the Company’s 2006 Incentive Compensation Plan as amended and restated (the “2006 Compensation Plan”).</w:t>
      </w:r>
    </w:p>
    <w:p>
      <w:pPr>
        <w:spacing w:after="0" w:line="22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ELIGIBILITY</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GENERAL ELIGIBILITY REQUIREMENTS</w:t>
      </w:r>
    </w:p>
    <w:p>
      <w:pPr>
        <w:spacing w:after="0" w:line="90" w:lineRule="exact"/>
        <w:rPr>
          <w:sz w:val="20"/>
          <w:szCs w:val="20"/>
          <w:color w:val="auto"/>
        </w:rPr>
      </w:pPr>
    </w:p>
    <w:p>
      <w:pPr>
        <w:jc w:val="both"/>
        <w:ind w:right="140" w:firstLine="913"/>
        <w:spacing w:after="0" w:line="298" w:lineRule="auto"/>
        <w:rPr>
          <w:sz w:val="20"/>
          <w:szCs w:val="20"/>
          <w:color w:val="auto"/>
        </w:rPr>
      </w:pPr>
      <w:r>
        <w:rPr>
          <w:rFonts w:ascii="Arial" w:cs="Arial" w:eastAsia="Arial" w:hAnsi="Arial"/>
          <w:sz w:val="16"/>
          <w:szCs w:val="16"/>
          <w:color w:val="auto"/>
        </w:rPr>
        <w:t>Each Company employee who is a staff director (as that term is used by Company) or higher, will be eligible to participate in the Incentive Plan (a “Participant”). Unless specifically determined otherwise by the Compensation Committee, a Participant whose employment terminates prior to the end of a Plan Year or payment of the Bonus Award, other than as a result of permanent disability, death or retirement (upon reaching Full Retirement age as defined by Social Security), will not be eligible to receive a Bonus Award under the Incentive Plan for that Plan Year.</w:t>
      </w:r>
    </w:p>
    <w:p>
      <w:pPr>
        <w:spacing w:after="0" w:line="234" w:lineRule="exact"/>
        <w:rPr>
          <w:sz w:val="20"/>
          <w:szCs w:val="20"/>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TRANSFERS TO OTHER BUSINESS UNITS</w:t>
      </w:r>
    </w:p>
    <w:p>
      <w:pPr>
        <w:spacing w:after="0" w:line="90" w:lineRule="exact"/>
        <w:rPr>
          <w:sz w:val="20"/>
          <w:szCs w:val="20"/>
          <w:color w:val="auto"/>
        </w:rPr>
      </w:pPr>
    </w:p>
    <w:p>
      <w:pPr>
        <w:ind w:right="320" w:firstLine="913"/>
        <w:spacing w:after="0" w:line="256" w:lineRule="auto"/>
        <w:rPr>
          <w:sz w:val="20"/>
          <w:szCs w:val="20"/>
          <w:color w:val="auto"/>
        </w:rPr>
      </w:pPr>
      <w:r>
        <w:rPr>
          <w:rFonts w:ascii="Arial" w:cs="Arial" w:eastAsia="Arial" w:hAnsi="Arial"/>
          <w:sz w:val="18"/>
          <w:szCs w:val="18"/>
          <w:color w:val="auto"/>
        </w:rPr>
        <w:t>A Participant who transfers out of the Incentive Plan into a position in another business unit is eligible for a partial Bonus Award based on the number of days the associate was a Participant. The associate’s eligibility for a bonus for the new position, if any, will be determined in accordance with any applicable bonus plan for that position. In general, when an associate transfers to a new position, any Bonus Awards are prorated based on the number of days employed in the Incentive Plan.</w:t>
      </w:r>
    </w:p>
    <w:p>
      <w:pPr>
        <w:spacing w:after="0" w:line="265"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POSITION</w:t>
      </w:r>
    </w:p>
    <w:p>
      <w:pPr>
        <w:spacing w:after="0" w:line="90"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A Participant who changes from one management position to another, through a promotion, transfer, or demotion is eligible for a prorated Bonus Award for each position based on the number of days the Participant held each position during the Plan Year.</w:t>
      </w:r>
    </w:p>
    <w:p>
      <w:pPr>
        <w:sectPr>
          <w:pgSz w:w="11900" w:h="16838" w:orient="portrait"/>
          <w:cols w:equalWidth="0" w:num="1">
            <w:col w:w="11420"/>
          </w:cols>
          <w:pgMar w:left="240" w:top="125" w:right="239" w:bottom="1440" w:gutter="0" w:footer="0" w:header="0"/>
        </w:sectPr>
      </w:pPr>
    </w:p>
    <w:bookmarkStart w:id="21" w:name="page22"/>
    <w:bookmarkEnd w:id="21"/>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be eligible for a Bonus Award, a Participant must be actively employed as of the last day of the Plan Year and at the time the Bonus Award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distributed.</w:t>
      </w:r>
    </w:p>
    <w:p>
      <w:pPr>
        <w:spacing w:after="0" w:line="286" w:lineRule="exact"/>
        <w:rPr>
          <w:sz w:val="20"/>
          <w:szCs w:val="20"/>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APPLICABLE REGULATIONS</w:t>
      </w:r>
    </w:p>
    <w:p>
      <w:pPr>
        <w:spacing w:after="0" w:line="90"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In order to be eligible to receive a Bonus Award under this Incentive Plan, a Participant must comply with all applicable state and federal regulations and Company policies.</w:t>
      </w:r>
    </w:p>
    <w:p>
      <w:pPr>
        <w:spacing w:after="0" w:line="254" w:lineRule="exact"/>
        <w:rPr>
          <w:sz w:val="20"/>
          <w:szCs w:val="20"/>
          <w:color w:val="auto"/>
        </w:rPr>
      </w:pPr>
    </w:p>
    <w:p>
      <w:pPr>
        <w:ind w:left="1480" w:hanging="567"/>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LEAVES OF ABSENCE</w:t>
      </w:r>
    </w:p>
    <w:p>
      <w:pPr>
        <w:spacing w:after="0" w:line="90"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A Participant who is on a Company-approved leave of absence in excess of 90 days (per Plan Year) is not eligible for a Bonus Award for the portion of his/her leave over 90 days unless otherwise approved by the Compensation Committee.</w:t>
      </w:r>
    </w:p>
    <w:p>
      <w:pPr>
        <w:spacing w:after="0" w:line="254" w:lineRule="exact"/>
        <w:rPr>
          <w:sz w:val="20"/>
          <w:szCs w:val="20"/>
          <w:color w:val="auto"/>
        </w:rPr>
      </w:pPr>
    </w:p>
    <w:p>
      <w:pPr>
        <w:ind w:left="1480" w:hanging="567"/>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RETIREMENT, DEATH OR DISABILITY</w:t>
      </w:r>
    </w:p>
    <w:p>
      <w:pPr>
        <w:spacing w:after="0" w:line="90"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If a Participant retires (upon reaching Full Retirement age as defined by Social Security) or leaves employment due to death or permanent disability before the end of the Plan Year, he/she will receive a pro-rated Bonus Award. The pro-rated Bonus Award will be based on the number of days of active employment in the Plan Year, provided there is an earned payout for that Plan Year and all other eligibility requirements are met.</w:t>
      </w:r>
    </w:p>
    <w:p>
      <w:pPr>
        <w:spacing w:after="0" w:line="228"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INCENTIVE PLAN</w:t>
      </w:r>
    </w:p>
    <w:p>
      <w:pPr>
        <w:spacing w:after="0" w:line="9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Within 90 days after the beginning of each Plan Year, the Compensation Committee will establish specific performance criteria for the payment of Bonus Awards for that Plan Year. At the time that the performance criteria is set, the Compensation Committee may determine that special matters shall be considered or excluded consistent with Section 8 of the 2006 Compensation Plan. The performance criteria for Participants for each Plan Year may be based on one or more of the following measures which include but are not limited to: EBITDA, sales, earnings per share, return on net assets, return on equity, operating margin dollars, operating margin percent, gross margin dollars, gross margin percent and/or customer service levels and/or a combination of the above. With respect to customer service, customer service target levels may be based on scores on blind test (“mystery”) shopping, customer comment card statistics, customer relations statistics (e.g., number of customer complaints), delivery response levels, and/or other customer service metrics.</w:t>
      </w:r>
    </w:p>
    <w:p>
      <w:pPr>
        <w:spacing w:after="0" w:line="118" w:lineRule="exact"/>
        <w:rPr>
          <w:sz w:val="20"/>
          <w:szCs w:val="20"/>
          <w:color w:val="auto"/>
        </w:rPr>
      </w:pPr>
    </w:p>
    <w:p>
      <w:pPr>
        <w:ind w:right="320" w:firstLine="913"/>
        <w:spacing w:after="0" w:line="294" w:lineRule="auto"/>
        <w:rPr>
          <w:sz w:val="20"/>
          <w:szCs w:val="20"/>
          <w:color w:val="auto"/>
        </w:rPr>
      </w:pPr>
      <w:r>
        <w:rPr>
          <w:rFonts w:ascii="Arial" w:cs="Arial" w:eastAsia="Arial" w:hAnsi="Arial"/>
          <w:sz w:val="16"/>
          <w:szCs w:val="16"/>
          <w:color w:val="auto"/>
        </w:rPr>
        <w:t>For each Plan Year, the Bonus Award will be based upon the performance criteria selected by the Compensation Committee for that Plan Year. A specified percentage of the Bonus Award will be paid, dependent upon the performance of the Company as measured against the performance criteria. The Compensation Committee may establish a threshold goal (which if not achieved will result in no Award being payable), target and maximum goals for each Participant. The goals, performance criteria, and targets used may vary from one Participant to another in the sole discretion of the Compensation Committee. Bonus Awards are limited to 150% of a Participant’s Target Award (as defined below).</w:t>
      </w:r>
    </w:p>
    <w:p>
      <w:pPr>
        <w:sectPr>
          <w:pgSz w:w="11900" w:h="16838" w:orient="portrait"/>
          <w:cols w:equalWidth="0" w:num="1">
            <w:col w:w="11420"/>
          </w:cols>
          <w:pgMar w:left="240" w:top="280" w:right="239" w:bottom="1440" w:gutter="0" w:footer="0" w:header="0"/>
        </w:sectPr>
      </w:pPr>
    </w:p>
    <w:bookmarkStart w:id="22" w:name="page23"/>
    <w:bookmarkEnd w:id="22"/>
    <w:p>
      <w:pPr>
        <w:ind w:left="460"/>
        <w:spacing w:after="0"/>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IV.</w:t>
        <w:tab/>
        <w:t>PAYMENT CALCULATIONS</w:t>
      </w:r>
    </w:p>
    <w:p>
      <w:pPr>
        <w:spacing w:after="0" w:line="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Each Participant will have a target bonus award (a “Target Award”) for each Plan Year. Target Awards will be expressed as a percentage of the actual base earnings (which is the blend of salary plus any salary adjustments made during the course of the fiscal year) paid to the Participant during that Plan Year, which earnings shall be determined without regard to any salary increases determined by the Compensation Committee after the date on which the Compensation Committee determines the target for each Participant. Company’s new hires or those becoming eligible to participate in the Incentive Plan for a portion of the fiscal year will receive a pro-rata Bonus Award based upon the period of time they are eligible. The percentages for the Target Award will be approved by the Compensation Committee based upon the Participant’s job level and responsibilities and may vary for different officers and/or business units.</w:t>
      </w:r>
    </w:p>
    <w:p>
      <w:pPr>
        <w:spacing w:after="0" w:line="120"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At the end of the Plan Year, the Compensation Committee shall determine the amount, if any, to be paid to each Participant based on the extent that the performance criteria was achieved and shall authorize Company to pay the Participant the amount so determined.</w:t>
      </w:r>
    </w:p>
    <w:p>
      <w:pPr>
        <w:spacing w:after="0" w:line="85"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Any Bonus Awards checks will be distributed within 90 days following the fiscal year close, and in the case of any Bonus Awards made to any Covered Employee, as defined in the 2006 Compensation Plan, only after the Compensation Committee has certified, in the manner described in Section 8(e) of the 2006 Compensation Plan, that the performance criteria have been satisfied.</w:t>
      </w:r>
    </w:p>
    <w:p>
      <w:pPr>
        <w:spacing w:after="0" w:line="26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 ADMINISTRATION</w:t>
      </w:r>
    </w:p>
    <w:p>
      <w:pPr>
        <w:spacing w:after="0" w:line="90" w:lineRule="exact"/>
        <w:rPr>
          <w:sz w:val="20"/>
          <w:szCs w:val="20"/>
          <w:color w:val="auto"/>
        </w:rPr>
      </w:pPr>
    </w:p>
    <w:p>
      <w:pPr>
        <w:ind w:left="1480" w:hanging="567"/>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ADMINISTRATION</w:t>
      </w:r>
    </w:p>
    <w:p>
      <w:pPr>
        <w:spacing w:after="0" w:line="90" w:lineRule="exact"/>
        <w:rPr>
          <w:sz w:val="20"/>
          <w:szCs w:val="20"/>
          <w:color w:val="auto"/>
        </w:rPr>
      </w:pPr>
    </w:p>
    <w:p>
      <w:pPr>
        <w:jc w:val="both"/>
        <w:ind w:right="100" w:firstLine="913"/>
        <w:spacing w:after="0" w:line="335" w:lineRule="auto"/>
        <w:rPr>
          <w:sz w:val="20"/>
          <w:szCs w:val="20"/>
          <w:color w:val="auto"/>
        </w:rPr>
      </w:pPr>
      <w:r>
        <w:rPr>
          <w:rFonts w:ascii="Arial" w:cs="Arial" w:eastAsia="Arial" w:hAnsi="Arial"/>
          <w:sz w:val="15"/>
          <w:szCs w:val="15"/>
          <w:color w:val="auto"/>
        </w:rPr>
        <w:t>The Incentive Plan will be administered by the Compensation Committee. The Compensation Committee will have broad authority for determining target bonuses and selecting performance criteria, as described above; for adopting rules and regulations relating to the Incentive Plan; and for making decisions and interpretations regarding the provisions of the Incentive Plan, the satisfaction of performance criteria and the payment of bonuses under the Incentive Plan.</w:t>
      </w:r>
    </w:p>
    <w:p>
      <w:pPr>
        <w:spacing w:after="0" w:line="210" w:lineRule="exact"/>
        <w:rPr>
          <w:sz w:val="20"/>
          <w:szCs w:val="20"/>
          <w:color w:val="auto"/>
        </w:rPr>
      </w:pPr>
    </w:p>
    <w:p>
      <w:pPr>
        <w:ind w:left="1480" w:hanging="56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EMPLOYMENT AT WILL</w:t>
      </w:r>
    </w:p>
    <w:p>
      <w:pPr>
        <w:spacing w:after="0" w:line="90"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This Incentive Plan does not create an express or implied contract of employment between Company and a Participant. Both Company and the Participants retain the right to terminate the employment relationship at any time and for any reason.</w:t>
      </w:r>
    </w:p>
    <w:p>
      <w:pPr>
        <w:sectPr>
          <w:pgSz w:w="11900" w:h="16838" w:orient="portrait"/>
          <w:cols w:equalWidth="0" w:num="1">
            <w:col w:w="11380"/>
          </w:cols>
          <w:pgMar w:left="240" w:top="280" w:right="279" w:bottom="1440" w:gutter="0" w:footer="0" w:header="0"/>
        </w:sectPr>
      </w:pPr>
    </w:p>
    <w:bookmarkStart w:id="23" w:name="page24"/>
    <w:bookmarkEnd w:id="23"/>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BONUS PROVISIONS (AMENDMENTS AND TERMINATION)</w:t>
      </w:r>
    </w:p>
    <w:p>
      <w:pPr>
        <w:spacing w:after="0" w:line="90" w:lineRule="exact"/>
        <w:rPr>
          <w:sz w:val="20"/>
          <w:szCs w:val="20"/>
          <w:color w:val="auto"/>
        </w:rPr>
      </w:pPr>
    </w:p>
    <w:p>
      <w:pPr>
        <w:jc w:val="both"/>
        <w:ind w:right="300" w:firstLine="913"/>
        <w:spacing w:after="0" w:line="259" w:lineRule="auto"/>
        <w:rPr>
          <w:sz w:val="20"/>
          <w:szCs w:val="20"/>
          <w:color w:val="auto"/>
        </w:rPr>
      </w:pPr>
      <w:r>
        <w:rPr>
          <w:rFonts w:ascii="Arial" w:cs="Arial" w:eastAsia="Arial" w:hAnsi="Arial"/>
          <w:sz w:val="18"/>
          <w:szCs w:val="18"/>
          <w:color w:val="auto"/>
        </w:rPr>
        <w:t>Bonus Awards are not earned or vested until actual payments are made; Company reserves the right at any time prior to actual payment of Bonus Awards to amend, terminate and/or discontinue the Incentive Plan in whole or in part whenever the Board of Directors or the Compensation Committee of the Company determines that it is necessary or appropriate.</w:t>
      </w:r>
    </w:p>
    <w:p>
      <w:pPr>
        <w:spacing w:after="0" w:line="140" w:lineRule="exact"/>
        <w:rPr>
          <w:sz w:val="20"/>
          <w:szCs w:val="20"/>
          <w:color w:val="auto"/>
        </w:rPr>
      </w:pPr>
    </w:p>
    <w:p>
      <w:pPr>
        <w:jc w:val="both"/>
        <w:ind w:right="20" w:firstLine="913"/>
        <w:spacing w:after="0" w:line="370" w:lineRule="auto"/>
        <w:rPr>
          <w:sz w:val="20"/>
          <w:szCs w:val="20"/>
          <w:color w:val="auto"/>
        </w:rPr>
      </w:pPr>
      <w:r>
        <w:rPr>
          <w:rFonts w:ascii="Arial" w:cs="Arial" w:eastAsia="Arial" w:hAnsi="Arial"/>
          <w:sz w:val="15"/>
          <w:szCs w:val="15"/>
          <w:color w:val="auto"/>
        </w:rPr>
        <w:t>The Incentive Plan may be amended or terminated by either the Board of Directors or the Compensation Committee, provided that no amendment or termination of the Incentive Plan after the end of a Plan Year may adversely affect the rights of Participants with respect to their Bonus Awards for that Plan Year.</w:t>
      </w:r>
    </w:p>
    <w:p>
      <w:pPr>
        <w:spacing w:after="0" w:line="184" w:lineRule="exact"/>
        <w:rPr>
          <w:sz w:val="20"/>
          <w:szCs w:val="20"/>
          <w:color w:val="auto"/>
        </w:rPr>
      </w:pPr>
    </w:p>
    <w:p>
      <w:pPr>
        <w:ind w:left="1480" w:hanging="567"/>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RIGHTS ARE NON-ASSIGNABLE</w:t>
      </w:r>
    </w:p>
    <w:p>
      <w:pPr>
        <w:spacing w:after="0" w:line="9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Neither the Participant nor any beneficiary nor any other person shall have any right to assign the right to receive payments hereunder, in whole or in part, which payments are non-assignable and non-transferable, whether voluntarily or involuntarily.</w:t>
      </w:r>
    </w:p>
    <w:p>
      <w:pPr>
        <w:spacing w:after="0" w:line="254" w:lineRule="exact"/>
        <w:rPr>
          <w:sz w:val="20"/>
          <w:szCs w:val="20"/>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WITHHOLDING</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required deductions will be withheld from the Bonus Awards prior to distribution. This includes federal, state or local taxes.</w:t>
      </w:r>
    </w:p>
    <w:p>
      <w:pPr>
        <w:spacing w:after="0" w:line="293" w:lineRule="exact"/>
        <w:rPr>
          <w:sz w:val="20"/>
          <w:szCs w:val="20"/>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EMPLOYMENT AGREEMENTS</w:t>
      </w:r>
    </w:p>
    <w:p>
      <w:pPr>
        <w:spacing w:after="0" w:line="9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If a Participant has an employment agreement which references an annual incentive plan bonus, this Incentive Plan describes how such bonus will be determined and paid. To the extent there is any conflict between the language of an employment agreement and this Plan, the language in the Incentive Plan and the 2006 Compensation Plan shall govern.</w:t>
      </w:r>
    </w:p>
    <w:p>
      <w:pPr>
        <w:spacing w:after="0" w:line="262" w:lineRule="exact"/>
        <w:rPr>
          <w:sz w:val="20"/>
          <w:szCs w:val="20"/>
          <w:color w:val="auto"/>
        </w:rPr>
      </w:pPr>
    </w:p>
    <w:p>
      <w:pPr>
        <w:ind w:left="1480" w:hanging="567"/>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162(m) COMPLIANCE</w:t>
      </w:r>
    </w:p>
    <w:p>
      <w:pPr>
        <w:spacing w:after="0" w:line="9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Unless otherwise specified by the Compensation Committee, Bonus Awards made to any person who is a Covered Employee, as defined in the 2006 Compensation Plan, are intended to qualify as “performance-based compensation” that is exempt from the deduction limitations imposed by Section 162(m) of the Internal Revenue Code. Accordingly, unless otherwise specified by the Compensation Committee, the provisions set forth in Section 8 of the 2006 Compensation Plan shall apply with respect to those Bonus Awards and in the event of any conflict between those provisions and the provisions of this Incentive Plan, the provisions of Section 8 shall apply.</w:t>
      </w:r>
    </w:p>
    <w:p>
      <w:pPr>
        <w:sectPr>
          <w:pgSz w:w="11900" w:h="16838" w:orient="portrait"/>
          <w:cols w:equalWidth="0" w:num="1">
            <w:col w:w="11400"/>
          </w:cols>
          <w:pgMar w:left="240" w:top="280" w:right="2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October 30, 2010,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November 19, 2010</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October 30, 2010,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November 19, 2010</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upperLetter"/>
      <w:start w:val="9"/>
    </w:lvl>
  </w:abstractNum>
  <w:abstractNum w:abstractNumId="3">
    <w:nsid w:val="109CF92E"/>
    <w:multiLevelType w:val="hybridMultilevel"/>
    <w:lvl w:ilvl="0">
      <w:lvlJc w:val="left"/>
      <w:lvlText w:val="%1."/>
      <w:numFmt w:val="upperLetter"/>
      <w:start w:val="35"/>
    </w:lvl>
    <w:lvl w:ilvl="1">
      <w:lvlJc w:val="left"/>
      <w:lvlText w:val="%2"/>
      <w:numFmt w:val="upperLetter"/>
      <w:start w:val="1"/>
    </w:lvl>
  </w:abstractNum>
  <w:abstractNum w:abstractNumId="4">
    <w:nsid w:val="DED7263"/>
    <w:multiLevelType w:val="hybridMultilevel"/>
    <w:lvl w:ilvl="0">
      <w:lvlJc w:val="left"/>
      <w:lvlText w:val="%1."/>
      <w:numFmt w:val="upperLetter"/>
      <w:start w:val="2"/>
    </w:lvl>
  </w:abstractNum>
  <w:abstractNum w:abstractNumId="5">
    <w:nsid w:val="7FDCC233"/>
    <w:multiLevelType w:val="hybridMultilevel"/>
    <w:lvl w:ilvl="0">
      <w:lvlJc w:val="left"/>
      <w:lvlText w:val="%1."/>
      <w:numFmt w:val="upperLetter"/>
      <w:start w:val="3"/>
    </w:lvl>
  </w:abstractNum>
  <w:abstractNum w:abstractNumId="6">
    <w:nsid w:val="1BEFD79F"/>
    <w:multiLevelType w:val="hybridMultilevel"/>
    <w:lvl w:ilvl="0">
      <w:lvlJc w:val="left"/>
      <w:lvlText w:val="%1."/>
      <w:numFmt w:val="upperLetter"/>
      <w:start w:val="4"/>
    </w:lvl>
  </w:abstractNum>
  <w:abstractNum w:abstractNumId="7">
    <w:nsid w:val="41A7C4C9"/>
    <w:multiLevelType w:val="hybridMultilevel"/>
    <w:lvl w:ilvl="0">
      <w:lvlJc w:val="left"/>
      <w:lvlText w:val="%1."/>
      <w:numFmt w:val="upperLetter"/>
      <w:start w:val="5"/>
    </w:lvl>
  </w:abstractNum>
  <w:abstractNum w:abstractNumId="8">
    <w:nsid w:val="6B68079A"/>
    <w:multiLevelType w:val="hybridMultilevel"/>
    <w:lvl w:ilvl="0">
      <w:lvlJc w:val="left"/>
      <w:lvlText w:val="%1."/>
      <w:numFmt w:val="upperLetter"/>
      <w:start w:val="6"/>
    </w:lvl>
  </w:abstractNum>
  <w:abstractNum w:abstractNumId="9">
    <w:nsid w:val="4E6AFB66"/>
    <w:multiLevelType w:val="hybridMultilevel"/>
    <w:lvl w:ilvl="0">
      <w:lvlJc w:val="left"/>
      <w:lvlText w:val="%1."/>
      <w:numFmt w:val="upperLetter"/>
      <w:start w:val="7"/>
    </w:lvl>
  </w:abstractNum>
  <w:abstractNum w:abstractNumId="10">
    <w:nsid w:val="25E45D32"/>
    <w:multiLevelType w:val="hybridMultilevel"/>
    <w:lvl w:ilvl="0">
      <w:lvlJc w:val="left"/>
      <w:lvlText w:val="%1."/>
      <w:numFmt w:val="upperLetter"/>
      <w:start w:val="61"/>
    </w:lvl>
  </w:abstractNum>
  <w:abstractNum w:abstractNumId="11">
    <w:nsid w:val="519B500D"/>
    <w:multiLevelType w:val="hybridMultilevel"/>
    <w:lvl w:ilvl="0">
      <w:lvlJc w:val="left"/>
      <w:lvlText w:val="%1."/>
      <w:numFmt w:val="upperLetter"/>
      <w:start w:val="22"/>
    </w:lvl>
  </w:abstractNum>
  <w:abstractNum w:abstractNumId="12">
    <w:nsid w:val="431BD7B7"/>
    <w:multiLevelType w:val="hybridMultilevel"/>
    <w:lvl w:ilvl="0">
      <w:lvlJc w:val="left"/>
      <w:lvlText w:val="%1."/>
      <w:numFmt w:val="upperLetter"/>
      <w:start w:val="1"/>
    </w:lvl>
  </w:abstractNum>
  <w:abstractNum w:abstractNumId="13">
    <w:nsid w:val="3F2DBA31"/>
    <w:multiLevelType w:val="hybridMultilevel"/>
    <w:lvl w:ilvl="0">
      <w:lvlJc w:val="left"/>
      <w:lvlText w:val="%1."/>
      <w:numFmt w:val="upperLetter"/>
      <w:start w:val="2"/>
    </w:lvl>
  </w:abstractNum>
  <w:abstractNum w:abstractNumId="14">
    <w:nsid w:val="7C83E458"/>
    <w:multiLevelType w:val="hybridMultilevel"/>
    <w:lvl w:ilvl="0">
      <w:lvlJc w:val="left"/>
      <w:lvlText w:val="%1."/>
      <w:numFmt w:val="upperLetter"/>
      <w:start w:val="3"/>
    </w:lvl>
  </w:abstractNum>
  <w:abstractNum w:abstractNumId="15">
    <w:nsid w:val="257130A3"/>
    <w:multiLevelType w:val="hybridMultilevel"/>
    <w:lvl w:ilvl="0">
      <w:lvlJc w:val="left"/>
      <w:lvlText w:val="%1."/>
      <w:numFmt w:val="upperLetter"/>
      <w:start w:val="4"/>
    </w:lvl>
  </w:abstractNum>
  <w:abstractNum w:abstractNumId="16">
    <w:nsid w:val="62BBD95A"/>
    <w:multiLevelType w:val="hybridMultilevel"/>
    <w:lvl w:ilvl="0">
      <w:lvlJc w:val="left"/>
      <w:lvlText w:val="%1."/>
      <w:numFmt w:val="upperLetter"/>
      <w:start w:val="5"/>
    </w:lvl>
  </w:abstractNum>
  <w:abstractNum w:abstractNumId="17">
    <w:nsid w:val="436C6125"/>
    <w:multiLevelType w:val="hybridMultilevel"/>
    <w:lvl w:ilvl="0">
      <w:lvlJc w:val="left"/>
      <w:lvlText w:val="%1."/>
      <w:numFmt w:val="upperLetter"/>
      <w:start w:val="6"/>
    </w:lvl>
  </w:abstractNum>
  <w:abstractNum w:abstractNumId="18">
    <w:nsid w:val="628C895D"/>
    <w:multiLevelType w:val="hybridMultilevel"/>
    <w:lvl w:ilvl="0">
      <w:lvlJc w:val="left"/>
      <w:lvlText w:val="%1."/>
      <w:numFmt w:val="upperLetter"/>
      <w:start w:val="7"/>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2019-12-10T07:17:57Z</dcterms:created>
  <dcterms:modified xsi:type="dcterms:W3CDTF">2019-12-10T07:17:57Z</dcterms:modified>
</cp:coreProperties>
</file>