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10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158750</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6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178435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November 21,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180340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9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DESTINATION XL GROUP, INC.</w:t>
      </w:r>
    </w:p>
    <w:p>
      <w:pPr>
        <w:spacing w:after="0" w:line="4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154940</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800" w:type="dxa"/>
        <w:tblCellMar>
          <w:top w:w="0" w:type="dxa"/>
          <w:left w:w="0" w:type="dxa"/>
          <w:bottom w:w="0" w:type="dxa"/>
          <w:right w:w="0" w:type="dxa"/>
        </w:tblCellMar>
      </w:tblPr>
      <w:tr>
        <w:trPr>
          <w:trHeight w:val="258"/>
        </w:trPr>
        <w:tc>
          <w:tcPr>
            <w:tcW w:w="3220" w:type="dxa"/>
            <w:vAlign w:val="bottom"/>
          </w:tcPr>
          <w:p>
            <w:pPr>
              <w:jc w:val="center"/>
              <w:ind w:right="838"/>
              <w:spacing w:after="0"/>
              <w:rPr>
                <w:sz w:val="20"/>
                <w:szCs w:val="20"/>
                <w:color w:val="auto"/>
              </w:rPr>
            </w:pPr>
            <w:r>
              <w:rPr>
                <w:rFonts w:ascii="Arial" w:cs="Arial" w:eastAsia="Arial" w:hAnsi="Arial"/>
                <w:sz w:val="22"/>
                <w:szCs w:val="22"/>
                <w:b w:val="1"/>
                <w:bCs w:val="1"/>
                <w:color w:val="auto"/>
                <w:w w:val="88"/>
              </w:rPr>
              <w:t>Delaware</w:t>
            </w:r>
          </w:p>
        </w:tc>
        <w:tc>
          <w:tcPr>
            <w:tcW w:w="3700" w:type="dxa"/>
            <w:vAlign w:val="bottom"/>
          </w:tcPr>
          <w:p>
            <w:pPr>
              <w:jc w:val="right"/>
              <w:ind w:right="1512"/>
              <w:spacing w:after="0"/>
              <w:rPr>
                <w:sz w:val="20"/>
                <w:szCs w:val="20"/>
                <w:color w:val="auto"/>
              </w:rPr>
            </w:pPr>
            <w:r>
              <w:rPr>
                <w:rFonts w:ascii="Arial" w:cs="Arial" w:eastAsia="Arial" w:hAnsi="Arial"/>
                <w:sz w:val="22"/>
                <w:szCs w:val="22"/>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20" w:type="dxa"/>
            <w:vAlign w:val="bottom"/>
          </w:tcPr>
          <w:p>
            <w:pPr>
              <w:jc w:val="center"/>
              <w:ind w:right="85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00" w:type="dxa"/>
            <w:vAlign w:val="bottom"/>
          </w:tcPr>
          <w:p>
            <w:pPr>
              <w:spacing w:after="0"/>
              <w:rPr>
                <w:sz w:val="12"/>
                <w:szCs w:val="12"/>
                <w:color w:val="auto"/>
              </w:rPr>
            </w:pPr>
          </w:p>
        </w:tc>
        <w:tc>
          <w:tcPr>
            <w:tcW w:w="2280" w:type="dxa"/>
            <w:vAlign w:val="bottom"/>
          </w:tcPr>
          <w:p>
            <w:pPr>
              <w:jc w:val="center"/>
              <w:ind w:left="115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20" w:type="dxa"/>
            <w:vAlign w:val="bottom"/>
          </w:tcPr>
          <w:p>
            <w:pPr>
              <w:jc w:val="center"/>
              <w:ind w:right="858"/>
              <w:spacing w:after="0"/>
              <w:rPr>
                <w:sz w:val="20"/>
                <w:szCs w:val="20"/>
                <w:color w:val="auto"/>
              </w:rPr>
            </w:pPr>
            <w:r>
              <w:rPr>
                <w:rFonts w:ascii="Arial" w:cs="Arial" w:eastAsia="Arial" w:hAnsi="Arial"/>
                <w:sz w:val="14"/>
                <w:szCs w:val="14"/>
                <w:b w:val="1"/>
                <w:bCs w:val="1"/>
                <w:color w:val="auto"/>
                <w:w w:val="89"/>
              </w:rPr>
              <w:t>of Incorporation)</w:t>
            </w:r>
          </w:p>
        </w:tc>
        <w:tc>
          <w:tcPr>
            <w:tcW w:w="370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01"/>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555 Turnpike Street,</w:t>
            </w:r>
          </w:p>
        </w:tc>
        <w:tc>
          <w:tcPr>
            <w:tcW w:w="3700" w:type="dxa"/>
            <w:vAlign w:val="bottom"/>
          </w:tcPr>
          <w:p>
            <w:pPr>
              <w:spacing w:after="0"/>
              <w:rPr>
                <w:sz w:val="24"/>
                <w:szCs w:val="24"/>
                <w:color w:val="auto"/>
              </w:rPr>
            </w:pPr>
          </w:p>
        </w:tc>
        <w:tc>
          <w:tcPr>
            <w:tcW w:w="228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20" w:type="dxa"/>
            <w:vAlign w:val="bottom"/>
          </w:tcPr>
          <w:p>
            <w:pPr>
              <w:jc w:val="center"/>
              <w:ind w:right="838"/>
              <w:spacing w:after="0"/>
              <w:rPr>
                <w:sz w:val="20"/>
                <w:szCs w:val="20"/>
                <w:color w:val="auto"/>
              </w:rPr>
            </w:pPr>
            <w:r>
              <w:rPr>
                <w:rFonts w:ascii="Arial" w:cs="Arial" w:eastAsia="Arial" w:hAnsi="Arial"/>
                <w:sz w:val="18"/>
                <w:szCs w:val="18"/>
                <w:b w:val="1"/>
                <w:bCs w:val="1"/>
                <w:color w:val="auto"/>
                <w:w w:val="88"/>
              </w:rPr>
              <w:t>Canton, Massachusetts</w:t>
            </w:r>
          </w:p>
        </w:tc>
        <w:tc>
          <w:tcPr>
            <w:tcW w:w="370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20" w:type="dxa"/>
            <w:vAlign w:val="bottom"/>
          </w:tcPr>
          <w:p>
            <w:pPr>
              <w:jc w:val="center"/>
              <w:ind w:right="83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00" w:type="dxa"/>
            <w:vAlign w:val="bottom"/>
          </w:tcPr>
          <w:p>
            <w:pPr>
              <w:spacing w:after="0"/>
              <w:rPr>
                <w:sz w:val="15"/>
                <w:szCs w:val="15"/>
                <w:color w:val="auto"/>
              </w:rPr>
            </w:pPr>
          </w:p>
        </w:tc>
        <w:tc>
          <w:tcPr>
            <w:tcW w:w="2280" w:type="dxa"/>
            <w:vAlign w:val="bottom"/>
          </w:tcPr>
          <w:p>
            <w:pPr>
              <w:jc w:val="center"/>
              <w:ind w:left="113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172085</wp:posOffset>
            </wp:positionV>
            <wp:extent cx="7289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343535</wp:posOffset>
            </wp:positionV>
            <wp:extent cx="7289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53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307"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On November 21, 2014, Destination XL Group, Inc. (the “Company”) issued a press release announcing the Company’s operating results for the third quarter of fiscal 2014. A copy of this press release is attached hereto as Exhibit 99.1.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180" w:type="dxa"/>
            <w:vAlign w:val="bottom"/>
            <w:gridSpan w:val="2"/>
          </w:tcPr>
          <w:p>
            <w:pPr>
              <w:ind w:left="860"/>
              <w:spacing w:after="0"/>
              <w:rPr>
                <w:sz w:val="20"/>
                <w:szCs w:val="20"/>
                <w:color w:val="auto"/>
              </w:rPr>
            </w:pPr>
            <w:r>
              <w:rPr>
                <w:rFonts w:ascii="Arial" w:cs="Arial" w:eastAsia="Arial" w:hAnsi="Arial"/>
                <w:sz w:val="22"/>
                <w:szCs w:val="22"/>
                <w:color w:val="auto"/>
              </w:rPr>
              <w:t>(d) Exhibits</w:t>
            </w:r>
          </w:p>
        </w:tc>
        <w:tc>
          <w:tcPr>
            <w:tcW w:w="7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42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7420" w:type="dxa"/>
            <w:vAlign w:val="bottom"/>
          </w:tcPr>
          <w:p>
            <w:pPr>
              <w:spacing w:after="0"/>
              <w:rPr>
                <w:sz w:val="24"/>
                <w:szCs w:val="24"/>
                <w:color w:val="auto"/>
              </w:rPr>
            </w:pPr>
          </w:p>
        </w:tc>
      </w:tr>
      <w:tr>
        <w:trPr>
          <w:trHeight w:val="728"/>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160" w:type="dxa"/>
            <w:vAlign w:val="bottom"/>
          </w:tcPr>
          <w:p>
            <w:pPr>
              <w:spacing w:after="0"/>
              <w:rPr>
                <w:sz w:val="24"/>
                <w:szCs w:val="24"/>
                <w:color w:val="auto"/>
              </w:rPr>
            </w:pPr>
          </w:p>
        </w:tc>
        <w:tc>
          <w:tcPr>
            <w:tcW w:w="9120" w:type="dxa"/>
            <w:vAlign w:val="bottom"/>
            <w:gridSpan w:val="3"/>
          </w:tcPr>
          <w:p>
            <w:pPr>
              <w:ind w:left="300"/>
              <w:spacing w:after="0"/>
              <w:rPr>
                <w:sz w:val="20"/>
                <w:szCs w:val="20"/>
                <w:color w:val="auto"/>
              </w:rPr>
            </w:pPr>
            <w:r>
              <w:rPr>
                <w:rFonts w:ascii="Arial" w:cs="Arial" w:eastAsia="Arial" w:hAnsi="Arial"/>
                <w:sz w:val="22"/>
                <w:szCs w:val="22"/>
                <w:color w:val="auto"/>
                <w:w w:val="88"/>
              </w:rPr>
              <w:t>Press release issued by Destination XL Group, Inc. on November 21, 2014 regarding operating results</w:t>
            </w:r>
          </w:p>
        </w:tc>
      </w:tr>
      <w:tr>
        <w:trPr>
          <w:trHeight w:val="275"/>
        </w:trPr>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120" w:type="dxa"/>
            <w:vAlign w:val="bottom"/>
            <w:gridSpan w:val="3"/>
          </w:tcPr>
          <w:p>
            <w:pPr>
              <w:ind w:left="300"/>
              <w:spacing w:after="0"/>
              <w:rPr>
                <w:sz w:val="20"/>
                <w:szCs w:val="20"/>
                <w:color w:val="auto"/>
              </w:rPr>
            </w:pPr>
            <w:r>
              <w:rPr>
                <w:rFonts w:ascii="Arial" w:cs="Arial" w:eastAsia="Arial" w:hAnsi="Arial"/>
                <w:sz w:val="22"/>
                <w:szCs w:val="22"/>
                <w:color w:val="auto"/>
              </w:rPr>
              <w:t>for the third quarter of fiscal 2014.</w:t>
            </w:r>
          </w:p>
        </w:tc>
      </w:tr>
    </w:tbl>
    <w:p>
      <w:pPr>
        <w:sectPr>
          <w:pgSz w:w="11900" w:h="16838" w:orient="portrait"/>
          <w:cols w:equalWidth="0" w:num="1">
            <w:col w:w="11300"/>
          </w:cols>
          <w:pgMar w:left="240" w:top="868" w:right="3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40" w:val="left"/>
          <w:tab w:leader="none" w:pos="5920" w:val="left"/>
          <w:tab w:leader="none" w:pos="81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November 21, 2014</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7620</wp:posOffset>
            </wp:positionV>
            <wp:extent cx="2975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jc w:val="center"/>
        <w:ind w:left="6680"/>
        <w:spacing w:after="0"/>
        <w:rPr>
          <w:sz w:val="20"/>
          <w:szCs w:val="20"/>
          <w:color w:val="auto"/>
        </w:rPr>
      </w:pPr>
      <w:r>
        <w:rPr>
          <w:rFonts w:ascii="Arial" w:cs="Arial" w:eastAsia="Arial" w:hAnsi="Arial"/>
          <w:sz w:val="14"/>
          <w:szCs w:val="14"/>
          <w:b w:val="1"/>
          <w:bCs w:val="1"/>
          <w:color w:val="auto"/>
        </w:rPr>
        <w:t>Robert S. Molloy</w:t>
      </w:r>
    </w:p>
    <w:p>
      <w:pPr>
        <w:jc w:val="center"/>
        <w:ind w:left="6680"/>
        <w:spacing w:after="0"/>
        <w:rPr>
          <w:sz w:val="20"/>
          <w:szCs w:val="20"/>
          <w:color w:val="auto"/>
        </w:rPr>
      </w:pPr>
      <w:r>
        <w:rPr>
          <w:rFonts w:ascii="Arial" w:cs="Arial" w:eastAsia="Arial" w:hAnsi="Arial"/>
          <w:sz w:val="14"/>
          <w:szCs w:val="14"/>
          <w:b w:val="1"/>
          <w:bCs w:val="1"/>
          <w:color w:val="auto"/>
        </w:rPr>
        <w:t>Senior Vice President, General Counsel and Secretary</w:t>
      </w:r>
    </w:p>
    <w:p>
      <w:pPr>
        <w:sectPr>
          <w:pgSz w:w="11900" w:h="16838" w:orient="portrait"/>
          <w:cols w:equalWidth="0" w:num="1">
            <w:col w:w="11160"/>
          </w:cols>
          <w:pgMar w:left="240" w:top="111" w:right="4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269365" cy="694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69365" cy="6946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Jeff Unger</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(561) 482-9715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Destination XL Group, Inc. Reports Third-Quarter Fiscal 2014 Financial Results</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Reports 12.8% DXL Comparable Sales Increase Over Strong Prior-Year Quarter;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Reiterates Full Year 2014 EPS Guidance</w:t>
      </w:r>
    </w:p>
    <w:p>
      <w:pPr>
        <w:spacing w:after="0" w:line="208"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 xml:space="preserve">CANTON, Mass., November 21, 2014 – </w:t>
      </w:r>
      <w:r>
        <w:rPr>
          <w:rFonts w:ascii="Arial" w:cs="Arial" w:eastAsia="Arial" w:hAnsi="Arial"/>
          <w:sz w:val="20"/>
          <w:szCs w:val="20"/>
          <w:u w:val="single" w:color="auto"/>
          <w:color w:val="auto"/>
        </w:rPr>
        <w:t>Destination XL Group, Inc.</w:t>
      </w:r>
      <w:r>
        <w:rPr>
          <w:rFonts w:ascii="Arial" w:cs="Arial" w:eastAsia="Arial" w:hAnsi="Arial"/>
          <w:sz w:val="20"/>
          <w:szCs w:val="20"/>
          <w:color w:val="auto"/>
        </w:rPr>
        <w:t xml:space="preserve"> (NASDAQ: DXLG), the largest multi-channel specialty retailer of big and tall men's apparel, today reported operating results for the third quarter of fiscal 2014.</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Fiscal 2014 Highlights</w:t>
      </w:r>
    </w:p>
    <w:p>
      <w:pPr>
        <w:spacing w:after="0" w:line="21" w:lineRule="exact"/>
        <w:rPr>
          <w:sz w:val="20"/>
          <w:szCs w:val="20"/>
          <w:color w:val="auto"/>
        </w:rPr>
      </w:pPr>
    </w:p>
    <w:p>
      <w:pPr>
        <w:ind w:left="880" w:hanging="433"/>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Total comparable sales increased 5.5%.</w:t>
      </w:r>
    </w:p>
    <w:p>
      <w:pPr>
        <w:ind w:left="880" w:hanging="433"/>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73 DXL stores, opened at least 13 months, had a 12.8% comparable sales increase.</w:t>
      </w:r>
    </w:p>
    <w:p>
      <w:pPr>
        <w:ind w:left="880" w:hanging="433"/>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Sales per square foot in DXL stores is $160, up 9% over third quarter 2013.</w:t>
      </w:r>
    </w:p>
    <w:p>
      <w:pPr>
        <w:ind w:left="880" w:hanging="433"/>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EBITDA of $0.3 million versus prior year $(1.8) million.</w:t>
      </w:r>
    </w:p>
    <w:p>
      <w:pPr>
        <w:ind w:left="880" w:hanging="433"/>
        <w:spacing w:after="0"/>
        <w:tabs>
          <w:tab w:leader="none" w:pos="88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Company reaffirms EPS guidance for fiscal 2014.</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Management Comments</w:t>
      </w:r>
    </w:p>
    <w:p>
      <w:pPr>
        <w:spacing w:after="0" w:line="222" w:lineRule="exact"/>
        <w:rPr>
          <w:sz w:val="20"/>
          <w:szCs w:val="20"/>
          <w:color w:val="auto"/>
        </w:rPr>
      </w:pPr>
    </w:p>
    <w:p>
      <w:pPr>
        <w:jc w:val="both"/>
        <w:ind w:right="40"/>
        <w:spacing w:after="0" w:line="246" w:lineRule="auto"/>
        <w:rPr>
          <w:sz w:val="20"/>
          <w:szCs w:val="20"/>
          <w:color w:val="auto"/>
        </w:rPr>
      </w:pPr>
      <w:r>
        <w:rPr>
          <w:rFonts w:ascii="Arial" w:cs="Arial" w:eastAsia="Arial" w:hAnsi="Arial"/>
          <w:sz w:val="20"/>
          <w:szCs w:val="20"/>
          <w:color w:val="auto"/>
        </w:rPr>
        <w:t>“Destination XL delivered strong third-quarter results, driven by our sixth consecutive quarter of double-digit comparable sales increases at our DXL stores,” said President and CEO David Levin. “This growth is particularly impressive, given that it compares with an 11.3% comparable sales increase from the third quarter a year ago. As we continue to roll out the DXL concept, awareness of our brand continues to rise and DXL store traffic is increasing.</w:t>
      </w:r>
    </w:p>
    <w:p>
      <w:pPr>
        <w:spacing w:after="0" w:line="165"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“We have closed over 200 Casual Male XL stores since we began the conversion to DXL in the summer of 2010 and it has taken time to rebuild our customer data base. Our marketing efforts are now paying dividends. The growth in our customer base is coming from a combination of new customers, especially the end-of-rack customer, and from the 17% improvement we are seeing in converting our Casual Male XL customer to shop our DXL stores. This customer growth is having a positive effect on our sales per square foot, which is expected to reach $165 at the end of fiscal 2014, as compared to $147 last year.</w:t>
      </w:r>
    </w:p>
    <w:p>
      <w:pPr>
        <w:spacing w:after="0" w:line="154"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“Sales for the third quarter benefited from our new technology that enables nearly 300 stores to fulfill online orders that cannot be fulfilled in our distribution center. The omni-channel experience continues to evolve and we believe this paradigm shift will have a profound long-term benefit for the Company and our customers.</w:t>
      </w:r>
    </w:p>
    <w:p>
      <w:pPr>
        <w:spacing w:after="0" w:line="146"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“We are encouraged by our strong third-quarter financial results and positive key DXL performance metrics as we continue to execute on our strategy. This year’s comprehensive marketing campaign will run through the peak holiday selling period to mid-December versus mid-November last year. We remain focused on driving top-line growth and growing our DXL store base to 230 to 250 stores in fiscal 2017,” concluded Levin.</w:t>
      </w:r>
    </w:p>
    <w:p>
      <w:pPr>
        <w:sectPr>
          <w:pgSz w:w="11900" w:h="16838" w:orient="portrait"/>
          <w:cols w:equalWidth="0" w:num="1">
            <w:col w:w="11420"/>
          </w:cols>
          <w:pgMar w:left="240" w:top="1440"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Third-Quarter Fiscal 2014 Results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Sales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For the third quarter of fiscal 2014, total sales increased to $93.6 million compared with $88.7 million in the third quarter of fiscal 2013. The increase of $4.9 million in total sales was primarily due to an increase in comparable sales of $4.1 million and an increase in non-comparable store sales of $4.6 million, partially offset by $3.2 million in closed Casual Male XL and Rochester Clothing stores and a $0.6 million decrease in other sales, including Sears Canada.</w:t>
      </w:r>
    </w:p>
    <w:p>
      <w:pPr>
        <w:spacing w:after="0" w:line="165" w:lineRule="exact"/>
        <w:rPr>
          <w:sz w:val="20"/>
          <w:szCs w:val="20"/>
          <w:color w:val="auto"/>
        </w:rPr>
      </w:pPr>
    </w:p>
    <w:p>
      <w:pPr>
        <w:ind w:right="540"/>
        <w:spacing w:after="0" w:line="316" w:lineRule="auto"/>
        <w:rPr>
          <w:sz w:val="20"/>
          <w:szCs w:val="20"/>
          <w:color w:val="auto"/>
        </w:rPr>
      </w:pPr>
      <w:r>
        <w:rPr>
          <w:rFonts w:ascii="Arial" w:cs="Arial" w:eastAsia="Arial" w:hAnsi="Arial"/>
          <w:sz w:val="18"/>
          <w:szCs w:val="18"/>
          <w:color w:val="auto"/>
        </w:rPr>
        <w:t>With the Company’s transition to a more integrated, omni-channel approach, beginning in the third quarter of fiscal 2014, sales from the Company’s direct business will continue to be included in total comparable sales and will no longer be reported on a stand-alone basis.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Gross Margin</w:t>
      </w:r>
    </w:p>
    <w:p>
      <w:pPr>
        <w:spacing w:after="0" w:line="175"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For the third quarter of fiscal 2014, gross margin, inclusive of occupancy costs, was 43.3% compared with gross margin of 44.2% for the third quarter of fiscal 2013. The decline of 90 basis points was the result of a decrease in merchandise margins associated with the increased promotional activity to drive Casual Male XL customers to the DXL stores. Occupancy costs as a percentage of sales were flat to the prior year.</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Selling, General &amp; Administrative</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SG&amp;A expenses for the third quarter of fiscal 2014 were 42.9% of sales, compared with 46.2% in the third quarter of fiscal 2013. On a dollar basis, SG&amp;A expense decreased $0.8 million compared with the prior-year quarter. This decrease is primarily due to lower marketing costs in the third quarter of fiscal 2014 as a result of the Fall marketing campaign starting three weeks later than in fiscal 2013, partially offset by an increase in payroll-related costs.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DXL Transition Costs</w:t>
      </w:r>
    </w:p>
    <w:p>
      <w:pPr>
        <w:spacing w:after="0" w:line="189"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The results for the third quarter of fiscal 2014 include DXL transition costs of approximately $2.5 million, or $0.05 per diluted share. The $0.05 per diluted share does not include any income tax benefit because the Company has a full valuation allowance against its deferred tax assets. These transition costs include $1.1 million of pre-opening occupancy costs and lease exit costs, $1.2 million of SG&amp;A expenses related to pre-opening payroll, training and store operations and $0.2 million related to trademark amortization. Results for the third quarter of fiscal 2013 included DXL transition costs of approximately $2.8 million, or $0.03 per diluted share, tax-effected.</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EBITDA (a Non-GAAP measure)</w:t>
      </w:r>
    </w:p>
    <w:p>
      <w:pPr>
        <w:spacing w:after="0" w:line="175" w:lineRule="exact"/>
        <w:rPr>
          <w:sz w:val="20"/>
          <w:szCs w:val="20"/>
          <w:color w:val="auto"/>
        </w:rPr>
      </w:pPr>
    </w:p>
    <w:p>
      <w:pPr>
        <w:jc w:val="both"/>
        <w:ind w:right="140"/>
        <w:spacing w:after="0" w:line="250" w:lineRule="auto"/>
        <w:rPr>
          <w:sz w:val="20"/>
          <w:szCs w:val="20"/>
          <w:color w:val="auto"/>
        </w:rPr>
      </w:pPr>
      <w:r>
        <w:rPr>
          <w:rFonts w:ascii="Arial" w:cs="Arial" w:eastAsia="Arial" w:hAnsi="Arial"/>
          <w:sz w:val="20"/>
          <w:szCs w:val="20"/>
          <w:color w:val="auto"/>
        </w:rPr>
        <w:t>Earnings before interest, taxes, depreciation and amortization (EBITDA) for the third quarter of fiscal 2014 was $0.3 million compared with $(1.8) million for the third quarter of fiscal 2013. This improvement is primarily driven by an increase in sales as compared to the prior year third quarter.</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340"/>
          </w:cols>
          <w:pgMar w:left="240" w:top="765" w:right="31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color w:val="auto"/>
        </w:rPr>
        <w:t>Net Loss</w:t>
      </w:r>
    </w:p>
    <w:p>
      <w:pPr>
        <w:spacing w:after="0" w:line="175"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The net loss for the third quarter of fiscal 2014 was $(6.3) million, or $(0.13) per diluted share, compared with $(4.1) million, or $(0.08) per diluted share, for the third quarter of fiscal 2013. On a non-GAAP basis, assuming a normalized tax rate of 40%, the adjusted net loss for the quarter was $(3.7) million, or $(0.08) per diluted share.</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Cash Flow</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Cash flow used for operations was $(15.4) million for the first nine months of fiscal 2014 compared with $(5.5) million for the first nine months of fiscal 2013. Free cash flow decreased by $2.5 million to $(46.2) million from $(43.7) million for the first nine months of fiscal 2013, due to the operating loss and timing of certain working capital accounts, specifically accounts payable and inventory, offset slightly by a decrease in capital expenditures related to DXL store openings.</w:t>
      </w:r>
    </w:p>
    <w:p>
      <w:pPr>
        <w:spacing w:after="0" w:line="151" w:lineRule="exact"/>
        <w:rPr>
          <w:sz w:val="20"/>
          <w:szCs w:val="20"/>
          <w:color w:val="auto"/>
        </w:rPr>
      </w:pPr>
    </w:p>
    <w:p>
      <w:pPr>
        <w:ind w:right="480"/>
        <w:spacing w:after="0" w:line="316" w:lineRule="auto"/>
        <w:rPr>
          <w:sz w:val="20"/>
          <w:szCs w:val="20"/>
          <w:color w:val="auto"/>
        </w:rPr>
      </w:pPr>
      <w:r>
        <w:rPr>
          <w:rFonts w:ascii="Arial" w:cs="Arial" w:eastAsia="Arial" w:hAnsi="Arial"/>
          <w:sz w:val="18"/>
          <w:szCs w:val="18"/>
          <w:color w:val="auto"/>
        </w:rPr>
        <w:t>EBITDA, adjusted net loss, adjusted loss per diluted share and free cash flow are non-GAAP financial measures. Please see “Non-GAAP Measures” below and a reconciliation of these non-GAAP measures to the comparable GAAP measures that follows the table below.</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Balance Sheet &amp; Liquidity</w:t>
      </w:r>
    </w:p>
    <w:p>
      <w:pPr>
        <w:spacing w:after="0" w:line="175"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At November 1, 2014, the Company had cash and cash equivalents of $6.1 million, total outstanding debt of $73.9 million, and $75.1 million of excess availability under its credit facility. In the third quarter, the Company amended its Credit Facility, increasing its borrowing limit by $25.0 million and also entered into a five-year term loan for $15.0 million, the proceeds of which were used to pay down the Credit</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8"/>
          <w:szCs w:val="18"/>
          <w:color w:val="auto"/>
        </w:rPr>
        <w:t>Facility. While the Company’s expected debt levels have not changed from the second quarter of fiscal 2014 guidance, these debt arrangements have provided the Company with additional excess availability at favorable rates and secured financing through October 2019.</w:t>
      </w:r>
    </w:p>
    <w:p>
      <w:pPr>
        <w:spacing w:after="0" w:line="105" w:lineRule="exact"/>
        <w:rPr>
          <w:sz w:val="20"/>
          <w:szCs w:val="20"/>
          <w:color w:val="auto"/>
        </w:rPr>
      </w:pPr>
    </w:p>
    <w:p>
      <w:pPr>
        <w:jc w:val="both"/>
        <w:ind w:right="120"/>
        <w:spacing w:after="0" w:line="246" w:lineRule="auto"/>
        <w:rPr>
          <w:sz w:val="20"/>
          <w:szCs w:val="20"/>
          <w:color w:val="auto"/>
        </w:rPr>
      </w:pPr>
      <w:r>
        <w:rPr>
          <w:rFonts w:ascii="Arial" w:cs="Arial" w:eastAsia="Arial" w:hAnsi="Arial"/>
          <w:sz w:val="20"/>
          <w:szCs w:val="20"/>
          <w:color w:val="auto"/>
        </w:rPr>
        <w:t>Inventory was $126.4 million at November 1, 2014 compared with $105.6 million at the end of fiscal 2013 and $119.6 million at November 2, 2013. The $6.8 million increase over the third quarter last year is primarily due to timing of inventory receipts and the higher mix of branded product due to having more DXL stores open. While inventory has increased as compared to last year, units have decreased by approximately 2%.</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55" w:right="239" w:bottom="1440" w:gutter="0" w:footer="0" w:header="0"/>
        </w:sectPr>
      </w:pPr>
    </w:p>
    <w:bookmarkStart w:id="6" w:name="page7"/>
    <w:bookmarkEnd w:id="6"/>
    <w:p>
      <w:pPr>
        <w:ind w:left="100"/>
        <w:spacing w:after="0"/>
        <w:rPr>
          <w:sz w:val="20"/>
          <w:szCs w:val="20"/>
          <w:color w:val="auto"/>
        </w:rPr>
      </w:pPr>
      <w:r>
        <w:rPr>
          <w:rFonts w:ascii="Arial" w:cs="Arial" w:eastAsia="Arial" w:hAnsi="Arial"/>
          <w:sz w:val="20"/>
          <w:szCs w:val="20"/>
          <w:b w:val="1"/>
          <w:bCs w:val="1"/>
          <w:u w:val="single" w:color="auto"/>
          <w:color w:val="auto"/>
        </w:rPr>
        <w:t>Retail Store Information</w:t>
      </w:r>
    </w:p>
    <w:p>
      <w:pPr>
        <w:spacing w:after="0" w:line="22"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following is a summary of the store count, with respective square footage by store concept: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gridSpan w:val="3"/>
          </w:tcPr>
          <w:p>
            <w:pPr>
              <w:ind w:left="820"/>
              <w:spacing w:after="0"/>
              <w:rPr>
                <w:sz w:val="20"/>
                <w:szCs w:val="20"/>
                <w:color w:val="auto"/>
              </w:rPr>
            </w:pPr>
            <w:r>
              <w:rPr>
                <w:rFonts w:ascii="Arial" w:cs="Arial" w:eastAsia="Arial" w:hAnsi="Arial"/>
                <w:sz w:val="20"/>
                <w:szCs w:val="20"/>
                <w:color w:val="auto"/>
                <w:w w:val="91"/>
              </w:rPr>
              <w:t>Year End 2012</w:t>
            </w: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60" w:type="dxa"/>
            <w:vAlign w:val="bottom"/>
            <w:gridSpan w:val="3"/>
          </w:tcPr>
          <w:p>
            <w:pPr>
              <w:jc w:val="right"/>
              <w:ind w:right="780"/>
              <w:spacing w:after="0"/>
              <w:rPr>
                <w:sz w:val="20"/>
                <w:szCs w:val="20"/>
                <w:color w:val="auto"/>
              </w:rPr>
            </w:pPr>
            <w:r>
              <w:rPr>
                <w:rFonts w:ascii="Arial" w:cs="Arial" w:eastAsia="Arial" w:hAnsi="Arial"/>
                <w:sz w:val="20"/>
                <w:szCs w:val="20"/>
                <w:color w:val="auto"/>
                <w:w w:val="86"/>
              </w:rPr>
              <w:t>Year End 2013</w:t>
            </w:r>
          </w:p>
        </w:tc>
        <w:tc>
          <w:tcPr>
            <w:tcW w:w="2700" w:type="dxa"/>
            <w:vAlign w:val="bottom"/>
            <w:gridSpan w:val="4"/>
          </w:tcPr>
          <w:p>
            <w:pPr>
              <w:jc w:val="right"/>
              <w:ind w:right="640"/>
              <w:spacing w:after="0"/>
              <w:rPr>
                <w:sz w:val="20"/>
                <w:szCs w:val="20"/>
                <w:color w:val="auto"/>
              </w:rPr>
            </w:pPr>
            <w:r>
              <w:rPr>
                <w:rFonts w:ascii="Arial" w:cs="Arial" w:eastAsia="Arial" w:hAnsi="Arial"/>
                <w:sz w:val="20"/>
                <w:szCs w:val="20"/>
                <w:color w:val="auto"/>
              </w:rPr>
              <w:t>At November 1, 2014</w:t>
            </w:r>
          </w:p>
        </w:tc>
        <w:tc>
          <w:tcPr>
            <w:tcW w:w="2200" w:type="dxa"/>
            <w:vAlign w:val="bottom"/>
            <w:gridSpan w:val="4"/>
          </w:tcPr>
          <w:p>
            <w:pPr>
              <w:ind w:left="460"/>
              <w:spacing w:after="0"/>
              <w:rPr>
                <w:sz w:val="20"/>
                <w:szCs w:val="20"/>
                <w:color w:val="auto"/>
              </w:rPr>
            </w:pPr>
            <w:r>
              <w:rPr>
                <w:rFonts w:ascii="Arial" w:cs="Arial" w:eastAsia="Arial" w:hAnsi="Arial"/>
                <w:sz w:val="20"/>
                <w:szCs w:val="20"/>
                <w:color w:val="auto"/>
              </w:rPr>
              <w:t>Year End 2014E</w:t>
            </w: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20" w:type="dxa"/>
            <w:vAlign w:val="bottom"/>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20" w:type="dxa"/>
            <w:vAlign w:val="bottom"/>
            <w:shd w:val="clear" w:color="auto" w:fill="4F81BD"/>
          </w:tcPr>
          <w:p>
            <w:pPr>
              <w:spacing w:after="0"/>
              <w:rPr>
                <w:sz w:val="19"/>
                <w:szCs w:val="19"/>
                <w:color w:val="auto"/>
              </w:rPr>
            </w:pPr>
          </w:p>
        </w:tc>
        <w:tc>
          <w:tcPr>
            <w:tcW w:w="1160" w:type="dxa"/>
            <w:vAlign w:val="bottom"/>
            <w:shd w:val="clear" w:color="auto" w:fill="4F81BD"/>
          </w:tcPr>
          <w:p>
            <w:pPr>
              <w:spacing w:after="0"/>
              <w:rPr>
                <w:sz w:val="19"/>
                <w:szCs w:val="19"/>
                <w:color w:val="auto"/>
              </w:rPr>
            </w:pPr>
          </w:p>
        </w:tc>
        <w:tc>
          <w:tcPr>
            <w:tcW w:w="80" w:type="dxa"/>
            <w:vAlign w:val="bottom"/>
            <w:tcBorders>
              <w:left w:val="single" w:sz="8" w:color="4F81BD"/>
            </w:tcBorders>
            <w:shd w:val="clear" w:color="auto" w:fill="4F81BD"/>
          </w:tcPr>
          <w:p>
            <w:pPr>
              <w:spacing w:after="0"/>
              <w:rPr>
                <w:sz w:val="19"/>
                <w:szCs w:val="19"/>
                <w:color w:val="auto"/>
              </w:rPr>
            </w:pPr>
          </w:p>
        </w:tc>
        <w:tc>
          <w:tcPr>
            <w:tcW w:w="1180" w:type="dxa"/>
            <w:vAlign w:val="bottom"/>
            <w:shd w:val="clear" w:color="auto" w:fill="4F81BD"/>
          </w:tcPr>
          <w:p>
            <w:pPr>
              <w:jc w:val="right"/>
              <w:ind w:right="121"/>
              <w:spacing w:after="0" w:line="220" w:lineRule="exact"/>
              <w:rPr>
                <w:sz w:val="20"/>
                <w:szCs w:val="20"/>
                <w:color w:val="auto"/>
              </w:rPr>
            </w:pPr>
            <w:r>
              <w:rPr>
                <w:rFonts w:ascii="Arial" w:cs="Arial" w:eastAsia="Arial" w:hAnsi="Arial"/>
                <w:sz w:val="20"/>
                <w:szCs w:val="20"/>
                <w:b w:val="1"/>
                <w:bCs w:val="1"/>
                <w:color w:val="FFFFFF"/>
                <w:w w:val="90"/>
              </w:rPr>
              <w:t># of Stores</w:t>
            </w:r>
          </w:p>
        </w:tc>
        <w:tc>
          <w:tcPr>
            <w:tcW w:w="1500" w:type="dxa"/>
            <w:vAlign w:val="bottom"/>
            <w:gridSpan w:val="2"/>
            <w:shd w:val="clear" w:color="auto" w:fill="4F81BD"/>
          </w:tcPr>
          <w:p>
            <w:pPr>
              <w:jc w:val="right"/>
              <w:ind w:right="181"/>
              <w:spacing w:after="0" w:line="220" w:lineRule="exact"/>
              <w:rPr>
                <w:sz w:val="20"/>
                <w:szCs w:val="20"/>
                <w:color w:val="auto"/>
              </w:rPr>
            </w:pPr>
            <w:r>
              <w:rPr>
                <w:rFonts w:ascii="Arial" w:cs="Arial" w:eastAsia="Arial" w:hAnsi="Arial"/>
                <w:sz w:val="20"/>
                <w:szCs w:val="20"/>
                <w:b w:val="1"/>
                <w:bCs w:val="1"/>
                <w:color w:val="FFFFFF"/>
                <w:w w:val="96"/>
              </w:rPr>
              <w:t>Sq Ft. (000’s)</w:t>
            </w:r>
          </w:p>
        </w:tc>
        <w:tc>
          <w:tcPr>
            <w:tcW w:w="1100" w:type="dxa"/>
            <w:vAlign w:val="bottom"/>
            <w:gridSpan w:val="2"/>
            <w:shd w:val="clear" w:color="auto" w:fill="4F81BD"/>
          </w:tcPr>
          <w:p>
            <w:pPr>
              <w:jc w:val="right"/>
              <w:ind w:right="160"/>
              <w:spacing w:after="0" w:line="220" w:lineRule="exact"/>
              <w:rPr>
                <w:sz w:val="20"/>
                <w:szCs w:val="20"/>
                <w:color w:val="auto"/>
              </w:rPr>
            </w:pPr>
            <w:r>
              <w:rPr>
                <w:rFonts w:ascii="Arial" w:cs="Arial" w:eastAsia="Arial" w:hAnsi="Arial"/>
                <w:sz w:val="20"/>
                <w:szCs w:val="20"/>
                <w:b w:val="1"/>
                <w:bCs w:val="1"/>
                <w:color w:val="FFFFFF"/>
                <w:w w:val="88"/>
              </w:rPr>
              <w:t># of Stores</w:t>
            </w:r>
          </w:p>
        </w:tc>
        <w:tc>
          <w:tcPr>
            <w:tcW w:w="1380" w:type="dxa"/>
            <w:vAlign w:val="bottom"/>
            <w:gridSpan w:val="2"/>
            <w:shd w:val="clear" w:color="auto" w:fill="4F81BD"/>
          </w:tcPr>
          <w:p>
            <w:pPr>
              <w:jc w:val="right"/>
              <w:ind w:right="240"/>
              <w:spacing w:after="0" w:line="220" w:lineRule="exact"/>
              <w:rPr>
                <w:sz w:val="20"/>
                <w:szCs w:val="20"/>
                <w:color w:val="auto"/>
              </w:rPr>
            </w:pPr>
            <w:r>
              <w:rPr>
                <w:rFonts w:ascii="Arial" w:cs="Arial" w:eastAsia="Arial" w:hAnsi="Arial"/>
                <w:sz w:val="20"/>
                <w:szCs w:val="20"/>
                <w:b w:val="1"/>
                <w:bCs w:val="1"/>
                <w:color w:val="FFFFFF"/>
                <w:w w:val="89"/>
              </w:rPr>
              <w:t>Sq Ft. (000’s)</w:t>
            </w:r>
          </w:p>
        </w:tc>
        <w:tc>
          <w:tcPr>
            <w:tcW w:w="1320" w:type="dxa"/>
            <w:vAlign w:val="bottom"/>
            <w:gridSpan w:val="2"/>
            <w:shd w:val="clear" w:color="auto" w:fill="4F81BD"/>
          </w:tcPr>
          <w:p>
            <w:pPr>
              <w:jc w:val="right"/>
              <w:ind w:right="760"/>
              <w:spacing w:after="0" w:line="220" w:lineRule="exact"/>
              <w:rPr>
                <w:sz w:val="20"/>
                <w:szCs w:val="20"/>
                <w:color w:val="auto"/>
              </w:rPr>
            </w:pPr>
            <w:r>
              <w:rPr>
                <w:rFonts w:ascii="Arial" w:cs="Arial" w:eastAsia="Arial" w:hAnsi="Arial"/>
                <w:sz w:val="20"/>
                <w:szCs w:val="20"/>
                <w:b w:val="1"/>
                <w:bCs w:val="1"/>
                <w:color w:val="FFFFFF"/>
              </w:rPr>
              <w:t># of</w:t>
            </w:r>
          </w:p>
        </w:tc>
        <w:tc>
          <w:tcPr>
            <w:tcW w:w="860" w:type="dxa"/>
            <w:vAlign w:val="bottom"/>
            <w:gridSpan w:val="2"/>
            <w:shd w:val="clear" w:color="auto" w:fill="4F81BD"/>
          </w:tcPr>
          <w:p>
            <w:pPr>
              <w:ind w:left="260"/>
              <w:spacing w:after="0" w:line="220" w:lineRule="exact"/>
              <w:rPr>
                <w:sz w:val="20"/>
                <w:szCs w:val="20"/>
                <w:color w:val="auto"/>
              </w:rPr>
            </w:pPr>
            <w:r>
              <w:rPr>
                <w:rFonts w:ascii="Arial" w:cs="Arial" w:eastAsia="Arial" w:hAnsi="Arial"/>
                <w:sz w:val="20"/>
                <w:szCs w:val="20"/>
                <w:b w:val="1"/>
                <w:bCs w:val="1"/>
                <w:color w:val="FFFFFF"/>
              </w:rPr>
              <w:t>Sq Ft.</w:t>
            </w:r>
          </w:p>
        </w:tc>
        <w:tc>
          <w:tcPr>
            <w:tcW w:w="900" w:type="dxa"/>
            <w:vAlign w:val="bottom"/>
            <w:shd w:val="clear" w:color="auto" w:fill="4F81BD"/>
          </w:tcPr>
          <w:p>
            <w:pPr>
              <w:spacing w:after="0"/>
              <w:rPr>
                <w:sz w:val="19"/>
                <w:szCs w:val="19"/>
                <w:color w:val="auto"/>
              </w:rPr>
            </w:pPr>
          </w:p>
        </w:tc>
        <w:tc>
          <w:tcPr>
            <w:tcW w:w="440" w:type="dxa"/>
            <w:vAlign w:val="bottom"/>
            <w:shd w:val="clear" w:color="auto" w:fill="4F81BD"/>
          </w:tcPr>
          <w:p>
            <w:pPr>
              <w:jc w:val="center"/>
              <w:ind w:right="21"/>
              <w:spacing w:after="0" w:line="220" w:lineRule="exact"/>
              <w:rPr>
                <w:sz w:val="20"/>
                <w:szCs w:val="20"/>
                <w:color w:val="auto"/>
              </w:rPr>
            </w:pPr>
            <w:r>
              <w:rPr>
                <w:rFonts w:ascii="Arial" w:cs="Arial" w:eastAsia="Arial" w:hAnsi="Arial"/>
                <w:sz w:val="20"/>
                <w:szCs w:val="20"/>
                <w:b w:val="1"/>
                <w:bCs w:val="1"/>
                <w:color w:val="FFFFFF"/>
                <w:w w:val="89"/>
              </w:rPr>
              <w:t># of</w:t>
            </w:r>
          </w:p>
        </w:tc>
        <w:tc>
          <w:tcPr>
            <w:tcW w:w="300" w:type="dxa"/>
            <w:vAlign w:val="bottom"/>
            <w:shd w:val="clear" w:color="auto" w:fill="4F81BD"/>
          </w:tcPr>
          <w:p>
            <w:pPr>
              <w:spacing w:after="0"/>
              <w:rPr>
                <w:sz w:val="19"/>
                <w:szCs w:val="19"/>
                <w:color w:val="auto"/>
              </w:rPr>
            </w:pPr>
          </w:p>
        </w:tc>
        <w:tc>
          <w:tcPr>
            <w:tcW w:w="580" w:type="dxa"/>
            <w:vAlign w:val="bottom"/>
            <w:shd w:val="clear" w:color="auto" w:fill="4F81BD"/>
          </w:tcPr>
          <w:p>
            <w:pPr>
              <w:jc w:val="right"/>
              <w:spacing w:after="0" w:line="220" w:lineRule="exact"/>
              <w:rPr>
                <w:sz w:val="20"/>
                <w:szCs w:val="20"/>
                <w:color w:val="auto"/>
              </w:rPr>
            </w:pPr>
            <w:r>
              <w:rPr>
                <w:rFonts w:ascii="Arial" w:cs="Arial" w:eastAsia="Arial" w:hAnsi="Arial"/>
                <w:sz w:val="20"/>
                <w:szCs w:val="20"/>
                <w:b w:val="1"/>
                <w:bCs w:val="1"/>
                <w:color w:val="FFFFFF"/>
                <w:w w:val="93"/>
              </w:rPr>
              <w:t>Sq Ft.</w:t>
            </w:r>
          </w:p>
        </w:tc>
        <w:tc>
          <w:tcPr>
            <w:tcW w:w="0" w:type="dxa"/>
            <w:vAlign w:val="bottom"/>
          </w:tcPr>
          <w:p>
            <w:pPr>
              <w:spacing w:after="0"/>
              <w:rPr>
                <w:sz w:val="1"/>
                <w:szCs w:val="1"/>
                <w:color w:val="auto"/>
              </w:rPr>
            </w:pPr>
          </w:p>
        </w:tc>
      </w:tr>
      <w:tr>
        <w:trPr>
          <w:trHeight w:val="252"/>
        </w:trPr>
        <w:tc>
          <w:tcPr>
            <w:tcW w:w="1980" w:type="dxa"/>
            <w:vAlign w:val="bottom"/>
            <w:gridSpan w:val="2"/>
            <w:vMerge w:val="restart"/>
            <w:shd w:val="clear" w:color="auto" w:fill="4F81BD"/>
          </w:tcPr>
          <w:p>
            <w:pPr>
              <w:ind w:left="20"/>
              <w:spacing w:after="0"/>
              <w:rPr>
                <w:sz w:val="20"/>
                <w:szCs w:val="20"/>
                <w:color w:val="auto"/>
              </w:rPr>
            </w:pPr>
            <w:r>
              <w:rPr>
                <w:rFonts w:ascii="Arial" w:cs="Arial" w:eastAsia="Arial" w:hAnsi="Arial"/>
                <w:sz w:val="20"/>
                <w:szCs w:val="20"/>
                <w:b w:val="1"/>
                <w:bCs w:val="1"/>
                <w:color w:val="FFFFFF"/>
              </w:rPr>
              <w:t>ation XL</w:t>
            </w:r>
          </w:p>
        </w:tc>
        <w:tc>
          <w:tcPr>
            <w:tcW w:w="80" w:type="dxa"/>
            <w:vAlign w:val="bottom"/>
            <w:tcBorders>
              <w:left w:val="single" w:sz="8" w:color="4F81BD"/>
            </w:tcBorders>
            <w:shd w:val="clear" w:color="auto" w:fill="4F81BD"/>
          </w:tcPr>
          <w:p>
            <w:pPr>
              <w:spacing w:after="0"/>
              <w:rPr>
                <w:sz w:val="21"/>
                <w:szCs w:val="21"/>
                <w:color w:val="auto"/>
              </w:rPr>
            </w:pPr>
          </w:p>
        </w:tc>
        <w:tc>
          <w:tcPr>
            <w:tcW w:w="1180" w:type="dxa"/>
            <w:vAlign w:val="bottom"/>
            <w:shd w:val="clear" w:color="auto" w:fill="4F81BD"/>
          </w:tcPr>
          <w:p>
            <w:pPr>
              <w:spacing w:after="0"/>
              <w:rPr>
                <w:sz w:val="21"/>
                <w:szCs w:val="21"/>
                <w:color w:val="auto"/>
              </w:rPr>
            </w:pPr>
          </w:p>
        </w:tc>
        <w:tc>
          <w:tcPr>
            <w:tcW w:w="640" w:type="dxa"/>
            <w:vAlign w:val="bottom"/>
            <w:shd w:val="clear" w:color="auto" w:fill="4F81BD"/>
          </w:tcPr>
          <w:p>
            <w:pPr>
              <w:spacing w:after="0"/>
              <w:rPr>
                <w:sz w:val="21"/>
                <w:szCs w:val="21"/>
                <w:color w:val="auto"/>
              </w:rPr>
            </w:pPr>
          </w:p>
        </w:tc>
        <w:tc>
          <w:tcPr>
            <w:tcW w:w="860" w:type="dxa"/>
            <w:vAlign w:val="bottom"/>
            <w:shd w:val="clear" w:color="auto" w:fill="4F81BD"/>
          </w:tcPr>
          <w:p>
            <w:pPr>
              <w:spacing w:after="0"/>
              <w:rPr>
                <w:sz w:val="21"/>
                <w:szCs w:val="21"/>
                <w:color w:val="auto"/>
              </w:rPr>
            </w:pPr>
          </w:p>
        </w:tc>
        <w:tc>
          <w:tcPr>
            <w:tcW w:w="320" w:type="dxa"/>
            <w:vAlign w:val="bottom"/>
            <w:shd w:val="clear" w:color="auto" w:fill="4F81BD"/>
          </w:tcPr>
          <w:p>
            <w:pPr>
              <w:spacing w:after="0"/>
              <w:rPr>
                <w:sz w:val="21"/>
                <w:szCs w:val="21"/>
                <w:color w:val="auto"/>
              </w:rPr>
            </w:pPr>
          </w:p>
        </w:tc>
        <w:tc>
          <w:tcPr>
            <w:tcW w:w="780" w:type="dxa"/>
            <w:vAlign w:val="bottom"/>
            <w:shd w:val="clear" w:color="auto" w:fill="4F81BD"/>
          </w:tcPr>
          <w:p>
            <w:pPr>
              <w:spacing w:after="0"/>
              <w:rPr>
                <w:sz w:val="21"/>
                <w:szCs w:val="21"/>
                <w:color w:val="auto"/>
              </w:rPr>
            </w:pPr>
          </w:p>
        </w:tc>
        <w:tc>
          <w:tcPr>
            <w:tcW w:w="340" w:type="dxa"/>
            <w:vAlign w:val="bottom"/>
            <w:shd w:val="clear" w:color="auto" w:fill="4F81BD"/>
          </w:tcPr>
          <w:p>
            <w:pPr>
              <w:spacing w:after="0"/>
              <w:rPr>
                <w:sz w:val="21"/>
                <w:szCs w:val="21"/>
                <w:color w:val="auto"/>
              </w:rPr>
            </w:pPr>
          </w:p>
        </w:tc>
        <w:tc>
          <w:tcPr>
            <w:tcW w:w="1040" w:type="dxa"/>
            <w:vAlign w:val="bottom"/>
            <w:shd w:val="clear" w:color="auto" w:fill="4F81BD"/>
          </w:tcPr>
          <w:p>
            <w:pPr>
              <w:spacing w:after="0"/>
              <w:rPr>
                <w:sz w:val="21"/>
                <w:szCs w:val="21"/>
                <w:color w:val="auto"/>
              </w:rPr>
            </w:pPr>
          </w:p>
        </w:tc>
        <w:tc>
          <w:tcPr>
            <w:tcW w:w="1320" w:type="dxa"/>
            <w:vAlign w:val="bottom"/>
            <w:gridSpan w:val="2"/>
            <w:shd w:val="clear" w:color="auto" w:fill="4F81BD"/>
          </w:tcPr>
          <w:p>
            <w:pPr>
              <w:jc w:val="right"/>
              <w:ind w:right="620"/>
              <w:spacing w:after="0"/>
              <w:rPr>
                <w:sz w:val="20"/>
                <w:szCs w:val="20"/>
                <w:color w:val="auto"/>
              </w:rPr>
            </w:pPr>
            <w:r>
              <w:rPr>
                <w:rFonts w:ascii="Arial" w:cs="Arial" w:eastAsia="Arial" w:hAnsi="Arial"/>
                <w:sz w:val="20"/>
                <w:szCs w:val="20"/>
                <w:b w:val="1"/>
                <w:bCs w:val="1"/>
                <w:color w:val="FFFFFF"/>
              </w:rPr>
              <w:t>Stores</w:t>
            </w:r>
          </w:p>
        </w:tc>
        <w:tc>
          <w:tcPr>
            <w:tcW w:w="860" w:type="dxa"/>
            <w:vAlign w:val="bottom"/>
            <w:gridSpan w:val="2"/>
            <w:shd w:val="clear" w:color="auto" w:fill="4F81BD"/>
          </w:tcPr>
          <w:p>
            <w:pPr>
              <w:ind w:left="260"/>
              <w:spacing w:after="0"/>
              <w:rPr>
                <w:sz w:val="20"/>
                <w:szCs w:val="20"/>
                <w:color w:val="auto"/>
              </w:rPr>
            </w:pPr>
            <w:r>
              <w:rPr>
                <w:rFonts w:ascii="Arial" w:cs="Arial" w:eastAsia="Arial" w:hAnsi="Arial"/>
                <w:sz w:val="20"/>
                <w:szCs w:val="20"/>
                <w:b w:val="1"/>
                <w:bCs w:val="1"/>
                <w:color w:val="FFFFFF"/>
                <w:w w:val="91"/>
              </w:rPr>
              <w:t>(000’s)</w:t>
            </w:r>
          </w:p>
        </w:tc>
        <w:tc>
          <w:tcPr>
            <w:tcW w:w="1340" w:type="dxa"/>
            <w:vAlign w:val="bottom"/>
            <w:gridSpan w:val="2"/>
            <w:shd w:val="clear" w:color="auto" w:fill="4F81BD"/>
          </w:tcPr>
          <w:p>
            <w:pPr>
              <w:jc w:val="center"/>
              <w:ind w:left="681"/>
              <w:spacing w:after="0"/>
              <w:rPr>
                <w:sz w:val="20"/>
                <w:szCs w:val="20"/>
                <w:color w:val="auto"/>
              </w:rPr>
            </w:pPr>
            <w:r>
              <w:rPr>
                <w:rFonts w:ascii="Arial" w:cs="Arial" w:eastAsia="Arial" w:hAnsi="Arial"/>
                <w:sz w:val="20"/>
                <w:szCs w:val="20"/>
                <w:b w:val="1"/>
                <w:bCs w:val="1"/>
                <w:color w:val="FFFFFF"/>
                <w:w w:val="83"/>
              </w:rPr>
              <w:t>Stores</w:t>
            </w:r>
          </w:p>
        </w:tc>
        <w:tc>
          <w:tcPr>
            <w:tcW w:w="300" w:type="dxa"/>
            <w:vAlign w:val="bottom"/>
            <w:shd w:val="clear" w:color="auto" w:fill="4F81BD"/>
          </w:tcPr>
          <w:p>
            <w:pPr>
              <w:spacing w:after="0"/>
              <w:rPr>
                <w:sz w:val="21"/>
                <w:szCs w:val="21"/>
                <w:color w:val="auto"/>
              </w:rPr>
            </w:pPr>
          </w:p>
        </w:tc>
        <w:tc>
          <w:tcPr>
            <w:tcW w:w="580" w:type="dxa"/>
            <w:vAlign w:val="bottom"/>
            <w:shd w:val="clear" w:color="auto" w:fill="4F81BD"/>
          </w:tcPr>
          <w:p>
            <w:pPr>
              <w:jc w:val="right"/>
              <w:spacing w:after="0"/>
              <w:rPr>
                <w:sz w:val="20"/>
                <w:szCs w:val="20"/>
                <w:color w:val="auto"/>
              </w:rPr>
            </w:pPr>
            <w:r>
              <w:rPr>
                <w:rFonts w:ascii="Arial" w:cs="Arial" w:eastAsia="Arial" w:hAnsi="Arial"/>
                <w:sz w:val="20"/>
                <w:szCs w:val="20"/>
                <w:b w:val="1"/>
                <w:bCs w:val="1"/>
                <w:color w:val="FFFFFF"/>
                <w:w w:val="88"/>
              </w:rPr>
              <w:t>(000’s)</w:t>
            </w:r>
          </w:p>
        </w:tc>
        <w:tc>
          <w:tcPr>
            <w:tcW w:w="0" w:type="dxa"/>
            <w:vAlign w:val="bottom"/>
          </w:tcPr>
          <w:p>
            <w:pPr>
              <w:spacing w:after="0"/>
              <w:rPr>
                <w:sz w:val="1"/>
                <w:szCs w:val="1"/>
                <w:color w:val="auto"/>
              </w:rPr>
            </w:pPr>
          </w:p>
        </w:tc>
      </w:tr>
      <w:tr>
        <w:trPr>
          <w:trHeight w:val="243"/>
        </w:trPr>
        <w:tc>
          <w:tcPr>
            <w:tcW w:w="1980" w:type="dxa"/>
            <w:vAlign w:val="bottom"/>
            <w:gridSpan w:val="2"/>
            <w:vMerge w:val="continue"/>
            <w:shd w:val="clear" w:color="auto" w:fill="4F81BD"/>
          </w:tcPr>
          <w:p>
            <w:pPr>
              <w:spacing w:after="0"/>
              <w:rPr>
                <w:sz w:val="21"/>
                <w:szCs w:val="21"/>
                <w:color w:val="auto"/>
              </w:rPr>
            </w:pPr>
          </w:p>
        </w:tc>
        <w:tc>
          <w:tcPr>
            <w:tcW w:w="80" w:type="dxa"/>
            <w:vAlign w:val="bottom"/>
            <w:tcBorders>
              <w:left w:val="single" w:sz="8" w:color="A7BFDE"/>
            </w:tcBorders>
            <w:shd w:val="clear" w:color="auto" w:fill="A7BFDE"/>
          </w:tcPr>
          <w:p>
            <w:pPr>
              <w:spacing w:after="0"/>
              <w:rPr>
                <w:sz w:val="21"/>
                <w:szCs w:val="21"/>
                <w:color w:val="auto"/>
              </w:rPr>
            </w:pPr>
          </w:p>
        </w:tc>
        <w:tc>
          <w:tcPr>
            <w:tcW w:w="1180" w:type="dxa"/>
            <w:vAlign w:val="bottom"/>
            <w:shd w:val="clear" w:color="auto" w:fill="A7BFDE"/>
          </w:tcPr>
          <w:p>
            <w:pPr>
              <w:jc w:val="right"/>
              <w:ind w:right="1"/>
              <w:spacing w:after="0"/>
              <w:rPr>
                <w:sz w:val="20"/>
                <w:szCs w:val="20"/>
                <w:color w:val="auto"/>
              </w:rPr>
            </w:pPr>
            <w:r>
              <w:rPr>
                <w:rFonts w:ascii="Arial" w:cs="Arial" w:eastAsia="Arial" w:hAnsi="Arial"/>
                <w:sz w:val="20"/>
                <w:szCs w:val="20"/>
                <w:color w:val="auto"/>
              </w:rPr>
              <w:t>48</w:t>
            </w:r>
          </w:p>
        </w:tc>
        <w:tc>
          <w:tcPr>
            <w:tcW w:w="1500" w:type="dxa"/>
            <w:vAlign w:val="bottom"/>
            <w:gridSpan w:val="2"/>
            <w:shd w:val="clear" w:color="auto" w:fill="A7BFDE"/>
          </w:tcPr>
          <w:p>
            <w:pPr>
              <w:jc w:val="right"/>
              <w:spacing w:after="0"/>
              <w:rPr>
                <w:sz w:val="20"/>
                <w:szCs w:val="20"/>
                <w:color w:val="auto"/>
              </w:rPr>
            </w:pPr>
            <w:r>
              <w:rPr>
                <w:rFonts w:ascii="Arial" w:cs="Arial" w:eastAsia="Arial" w:hAnsi="Arial"/>
                <w:sz w:val="20"/>
                <w:szCs w:val="20"/>
                <w:color w:val="auto"/>
              </w:rPr>
              <w:t>475</w:t>
            </w:r>
          </w:p>
        </w:tc>
        <w:tc>
          <w:tcPr>
            <w:tcW w:w="1100" w:type="dxa"/>
            <w:vAlign w:val="bottom"/>
            <w:gridSpan w:val="2"/>
            <w:shd w:val="clear" w:color="auto" w:fill="A7BFDE"/>
          </w:tcPr>
          <w:p>
            <w:pPr>
              <w:jc w:val="right"/>
              <w:ind w:right="40"/>
              <w:spacing w:after="0"/>
              <w:rPr>
                <w:sz w:val="20"/>
                <w:szCs w:val="20"/>
                <w:color w:val="auto"/>
              </w:rPr>
            </w:pPr>
            <w:r>
              <w:rPr>
                <w:rFonts w:ascii="Arial" w:cs="Arial" w:eastAsia="Arial" w:hAnsi="Arial"/>
                <w:sz w:val="20"/>
                <w:szCs w:val="20"/>
                <w:color w:val="auto"/>
              </w:rPr>
              <w:t>99</w:t>
            </w:r>
          </w:p>
        </w:tc>
        <w:tc>
          <w:tcPr>
            <w:tcW w:w="1380" w:type="dxa"/>
            <w:vAlign w:val="bottom"/>
            <w:gridSpan w:val="2"/>
            <w:shd w:val="clear" w:color="auto" w:fill="A7BFDE"/>
          </w:tcPr>
          <w:p>
            <w:pPr>
              <w:jc w:val="right"/>
              <w:ind w:right="180"/>
              <w:spacing w:after="0"/>
              <w:rPr>
                <w:sz w:val="20"/>
                <w:szCs w:val="20"/>
                <w:color w:val="auto"/>
              </w:rPr>
            </w:pPr>
            <w:r>
              <w:rPr>
                <w:rFonts w:ascii="Arial" w:cs="Arial" w:eastAsia="Arial" w:hAnsi="Arial"/>
                <w:sz w:val="20"/>
                <w:szCs w:val="20"/>
                <w:color w:val="auto"/>
              </w:rPr>
              <w:t>915</w:t>
            </w:r>
          </w:p>
        </w:tc>
        <w:tc>
          <w:tcPr>
            <w:tcW w:w="1320" w:type="dxa"/>
            <w:vAlign w:val="bottom"/>
            <w:gridSpan w:val="2"/>
            <w:shd w:val="clear" w:color="auto" w:fill="A7BFDE"/>
          </w:tcPr>
          <w:p>
            <w:pPr>
              <w:jc w:val="right"/>
              <w:ind w:right="280"/>
              <w:spacing w:after="0"/>
              <w:rPr>
                <w:sz w:val="20"/>
                <w:szCs w:val="20"/>
                <w:color w:val="auto"/>
              </w:rPr>
            </w:pPr>
            <w:r>
              <w:rPr>
                <w:rFonts w:ascii="Arial" w:cs="Arial" w:eastAsia="Arial" w:hAnsi="Arial"/>
                <w:sz w:val="20"/>
                <w:szCs w:val="20"/>
                <w:color w:val="auto"/>
              </w:rPr>
              <w:t>128</w:t>
            </w:r>
          </w:p>
        </w:tc>
        <w:tc>
          <w:tcPr>
            <w:tcW w:w="460" w:type="dxa"/>
            <w:vAlign w:val="bottom"/>
            <w:shd w:val="clear" w:color="auto" w:fill="A7BFDE"/>
          </w:tcPr>
          <w:p>
            <w:pPr>
              <w:spacing w:after="0"/>
              <w:rPr>
                <w:sz w:val="21"/>
                <w:szCs w:val="21"/>
                <w:color w:val="auto"/>
              </w:rPr>
            </w:pPr>
          </w:p>
        </w:tc>
        <w:tc>
          <w:tcPr>
            <w:tcW w:w="400" w:type="dxa"/>
            <w:vAlign w:val="bottom"/>
            <w:shd w:val="clear" w:color="auto" w:fill="A7BFDE"/>
          </w:tcPr>
          <w:p>
            <w:pPr>
              <w:spacing w:after="0"/>
              <w:rPr>
                <w:sz w:val="21"/>
                <w:szCs w:val="21"/>
                <w:color w:val="auto"/>
              </w:rPr>
            </w:pPr>
          </w:p>
        </w:tc>
        <w:tc>
          <w:tcPr>
            <w:tcW w:w="900" w:type="dxa"/>
            <w:vAlign w:val="bottom"/>
            <w:shd w:val="clear" w:color="auto" w:fill="A7BFDE"/>
          </w:tcPr>
          <w:p>
            <w:pPr>
              <w:jc w:val="right"/>
              <w:ind w:right="321"/>
              <w:spacing w:after="0"/>
              <w:rPr>
                <w:sz w:val="20"/>
                <w:szCs w:val="20"/>
                <w:color w:val="auto"/>
              </w:rPr>
            </w:pPr>
            <w:r>
              <w:rPr>
                <w:rFonts w:ascii="Arial" w:cs="Arial" w:eastAsia="Arial" w:hAnsi="Arial"/>
                <w:sz w:val="20"/>
                <w:szCs w:val="20"/>
                <w:color w:val="auto"/>
                <w:w w:val="91"/>
              </w:rPr>
              <w:t>1,106</w:t>
            </w:r>
          </w:p>
        </w:tc>
        <w:tc>
          <w:tcPr>
            <w:tcW w:w="440" w:type="dxa"/>
            <w:vAlign w:val="bottom"/>
            <w:shd w:val="clear" w:color="auto" w:fill="A7BFDE"/>
          </w:tcPr>
          <w:p>
            <w:pPr>
              <w:spacing w:after="0"/>
              <w:rPr>
                <w:sz w:val="21"/>
                <w:szCs w:val="21"/>
                <w:color w:val="auto"/>
              </w:rPr>
            </w:pPr>
          </w:p>
        </w:tc>
        <w:tc>
          <w:tcPr>
            <w:tcW w:w="300" w:type="dxa"/>
            <w:vAlign w:val="bottom"/>
            <w:shd w:val="clear" w:color="auto" w:fill="A7BFDE"/>
          </w:tcPr>
          <w:p>
            <w:pPr>
              <w:jc w:val="right"/>
              <w:spacing w:after="0"/>
              <w:rPr>
                <w:sz w:val="20"/>
                <w:szCs w:val="20"/>
                <w:color w:val="auto"/>
              </w:rPr>
            </w:pPr>
            <w:r>
              <w:rPr>
                <w:rFonts w:ascii="Arial" w:cs="Arial" w:eastAsia="Arial" w:hAnsi="Arial"/>
                <w:sz w:val="20"/>
                <w:szCs w:val="20"/>
                <w:color w:val="auto"/>
                <w:w w:val="83"/>
              </w:rPr>
              <w:t>140</w:t>
            </w:r>
          </w:p>
        </w:tc>
        <w:tc>
          <w:tcPr>
            <w:tcW w:w="580" w:type="dxa"/>
            <w:vAlign w:val="bottom"/>
            <w:shd w:val="clear" w:color="auto" w:fill="A7BFDE"/>
          </w:tcPr>
          <w:p>
            <w:pPr>
              <w:jc w:val="right"/>
              <w:spacing w:after="0"/>
              <w:rPr>
                <w:sz w:val="20"/>
                <w:szCs w:val="20"/>
                <w:color w:val="auto"/>
              </w:rPr>
            </w:pPr>
            <w:r>
              <w:rPr>
                <w:rFonts w:ascii="Arial" w:cs="Arial" w:eastAsia="Arial" w:hAnsi="Arial"/>
                <w:sz w:val="20"/>
                <w:szCs w:val="20"/>
                <w:color w:val="auto"/>
              </w:rPr>
              <w:t>1,181</w:t>
            </w:r>
          </w:p>
        </w:tc>
        <w:tc>
          <w:tcPr>
            <w:tcW w:w="0" w:type="dxa"/>
            <w:vAlign w:val="bottom"/>
          </w:tcPr>
          <w:p>
            <w:pPr>
              <w:spacing w:after="0"/>
              <w:rPr>
                <w:sz w:val="1"/>
                <w:szCs w:val="1"/>
                <w:color w:val="auto"/>
              </w:rPr>
            </w:pPr>
          </w:p>
        </w:tc>
      </w:tr>
      <w:tr>
        <w:trPr>
          <w:trHeight w:val="243"/>
        </w:trPr>
        <w:tc>
          <w:tcPr>
            <w:tcW w:w="1980" w:type="dxa"/>
            <w:vAlign w:val="bottom"/>
            <w:gridSpan w:val="2"/>
            <w:shd w:val="clear" w:color="auto" w:fill="4F81BD"/>
          </w:tcPr>
          <w:p>
            <w:pPr>
              <w:ind w:left="20"/>
              <w:spacing w:after="0"/>
              <w:rPr>
                <w:sz w:val="20"/>
                <w:szCs w:val="20"/>
                <w:color w:val="auto"/>
              </w:rPr>
            </w:pPr>
            <w:r>
              <w:rPr>
                <w:rFonts w:ascii="Arial" w:cs="Arial" w:eastAsia="Arial" w:hAnsi="Arial"/>
                <w:sz w:val="20"/>
                <w:szCs w:val="20"/>
                <w:b w:val="1"/>
                <w:bCs w:val="1"/>
                <w:color w:val="FFFFFF"/>
              </w:rPr>
              <w:t>l Male XL Retail</w:t>
            </w:r>
          </w:p>
        </w:tc>
        <w:tc>
          <w:tcPr>
            <w:tcW w:w="80" w:type="dxa"/>
            <w:vAlign w:val="bottom"/>
            <w:tcBorders>
              <w:left w:val="single" w:sz="8" w:color="D3DFEE"/>
            </w:tcBorders>
            <w:shd w:val="clear" w:color="auto" w:fill="D3DFEE"/>
          </w:tcPr>
          <w:p>
            <w:pPr>
              <w:spacing w:after="0"/>
              <w:rPr>
                <w:sz w:val="21"/>
                <w:szCs w:val="21"/>
                <w:color w:val="auto"/>
              </w:rPr>
            </w:pPr>
          </w:p>
        </w:tc>
        <w:tc>
          <w:tcPr>
            <w:tcW w:w="1180" w:type="dxa"/>
            <w:vAlign w:val="bottom"/>
            <w:shd w:val="clear" w:color="auto" w:fill="D3DFEE"/>
          </w:tcPr>
          <w:p>
            <w:pPr>
              <w:jc w:val="right"/>
              <w:ind w:right="1"/>
              <w:spacing w:after="0"/>
              <w:rPr>
                <w:sz w:val="20"/>
                <w:szCs w:val="20"/>
                <w:color w:val="auto"/>
              </w:rPr>
            </w:pPr>
            <w:r>
              <w:rPr>
                <w:rFonts w:ascii="Arial" w:cs="Arial" w:eastAsia="Arial" w:hAnsi="Arial"/>
                <w:sz w:val="20"/>
                <w:szCs w:val="20"/>
                <w:color w:val="auto"/>
              </w:rPr>
              <w:t>297</w:t>
            </w:r>
          </w:p>
        </w:tc>
        <w:tc>
          <w:tcPr>
            <w:tcW w:w="1500" w:type="dxa"/>
            <w:vAlign w:val="bottom"/>
            <w:gridSpan w:val="2"/>
            <w:shd w:val="clear" w:color="auto" w:fill="D3DFEE"/>
          </w:tcPr>
          <w:p>
            <w:pPr>
              <w:jc w:val="right"/>
              <w:spacing w:after="0"/>
              <w:rPr>
                <w:sz w:val="20"/>
                <w:szCs w:val="20"/>
                <w:color w:val="auto"/>
              </w:rPr>
            </w:pPr>
            <w:r>
              <w:rPr>
                <w:rFonts w:ascii="Arial" w:cs="Arial" w:eastAsia="Arial" w:hAnsi="Arial"/>
                <w:sz w:val="20"/>
                <w:szCs w:val="20"/>
                <w:color w:val="auto"/>
              </w:rPr>
              <w:t>1,067</w:t>
            </w:r>
          </w:p>
        </w:tc>
        <w:tc>
          <w:tcPr>
            <w:tcW w:w="1100" w:type="dxa"/>
            <w:vAlign w:val="bottom"/>
            <w:gridSpan w:val="2"/>
            <w:shd w:val="clear" w:color="auto" w:fill="D3DFEE"/>
          </w:tcPr>
          <w:p>
            <w:pPr>
              <w:jc w:val="right"/>
              <w:ind w:right="40"/>
              <w:spacing w:after="0"/>
              <w:rPr>
                <w:sz w:val="20"/>
                <w:szCs w:val="20"/>
                <w:color w:val="auto"/>
              </w:rPr>
            </w:pPr>
            <w:r>
              <w:rPr>
                <w:rFonts w:ascii="Arial" w:cs="Arial" w:eastAsia="Arial" w:hAnsi="Arial"/>
                <w:sz w:val="20"/>
                <w:szCs w:val="20"/>
                <w:color w:val="auto"/>
              </w:rPr>
              <w:t>198</w:t>
            </w:r>
          </w:p>
        </w:tc>
        <w:tc>
          <w:tcPr>
            <w:tcW w:w="1380" w:type="dxa"/>
            <w:vAlign w:val="bottom"/>
            <w:gridSpan w:val="2"/>
            <w:shd w:val="clear" w:color="auto" w:fill="D3DFEE"/>
          </w:tcPr>
          <w:p>
            <w:pPr>
              <w:jc w:val="right"/>
              <w:ind w:right="180"/>
              <w:spacing w:after="0"/>
              <w:rPr>
                <w:sz w:val="20"/>
                <w:szCs w:val="20"/>
                <w:color w:val="auto"/>
              </w:rPr>
            </w:pPr>
            <w:r>
              <w:rPr>
                <w:rFonts w:ascii="Arial" w:cs="Arial" w:eastAsia="Arial" w:hAnsi="Arial"/>
                <w:sz w:val="20"/>
                <w:szCs w:val="20"/>
                <w:color w:val="auto"/>
              </w:rPr>
              <w:t>713</w:t>
            </w:r>
          </w:p>
        </w:tc>
        <w:tc>
          <w:tcPr>
            <w:tcW w:w="1320" w:type="dxa"/>
            <w:vAlign w:val="bottom"/>
            <w:gridSpan w:val="2"/>
            <w:shd w:val="clear" w:color="auto" w:fill="D3DFEE"/>
          </w:tcPr>
          <w:p>
            <w:pPr>
              <w:jc w:val="right"/>
              <w:ind w:right="280"/>
              <w:spacing w:after="0"/>
              <w:rPr>
                <w:sz w:val="20"/>
                <w:szCs w:val="20"/>
                <w:color w:val="auto"/>
              </w:rPr>
            </w:pPr>
            <w:r>
              <w:rPr>
                <w:rFonts w:ascii="Arial" w:cs="Arial" w:eastAsia="Arial" w:hAnsi="Arial"/>
                <w:sz w:val="20"/>
                <w:szCs w:val="20"/>
                <w:color w:val="auto"/>
              </w:rPr>
              <w:t>175</w:t>
            </w:r>
          </w:p>
        </w:tc>
        <w:tc>
          <w:tcPr>
            <w:tcW w:w="460" w:type="dxa"/>
            <w:vAlign w:val="bottom"/>
            <w:shd w:val="clear" w:color="auto" w:fill="D3DFEE"/>
          </w:tcPr>
          <w:p>
            <w:pPr>
              <w:spacing w:after="0"/>
              <w:rPr>
                <w:sz w:val="21"/>
                <w:szCs w:val="21"/>
                <w:color w:val="auto"/>
              </w:rPr>
            </w:pPr>
          </w:p>
        </w:tc>
        <w:tc>
          <w:tcPr>
            <w:tcW w:w="400" w:type="dxa"/>
            <w:vAlign w:val="bottom"/>
            <w:shd w:val="clear" w:color="auto" w:fill="D3DFEE"/>
          </w:tcPr>
          <w:p>
            <w:pPr>
              <w:spacing w:after="0"/>
              <w:rPr>
                <w:sz w:val="21"/>
                <w:szCs w:val="21"/>
                <w:color w:val="auto"/>
              </w:rPr>
            </w:pPr>
          </w:p>
        </w:tc>
        <w:tc>
          <w:tcPr>
            <w:tcW w:w="900" w:type="dxa"/>
            <w:vAlign w:val="bottom"/>
            <w:shd w:val="clear" w:color="auto" w:fill="D3DFEE"/>
          </w:tcPr>
          <w:p>
            <w:pPr>
              <w:jc w:val="right"/>
              <w:ind w:right="321"/>
              <w:spacing w:after="0"/>
              <w:rPr>
                <w:sz w:val="20"/>
                <w:szCs w:val="20"/>
                <w:color w:val="auto"/>
              </w:rPr>
            </w:pPr>
            <w:r>
              <w:rPr>
                <w:rFonts w:ascii="Arial" w:cs="Arial" w:eastAsia="Arial" w:hAnsi="Arial"/>
                <w:sz w:val="20"/>
                <w:szCs w:val="20"/>
                <w:color w:val="auto"/>
              </w:rPr>
              <w:t>622</w:t>
            </w:r>
          </w:p>
        </w:tc>
        <w:tc>
          <w:tcPr>
            <w:tcW w:w="440" w:type="dxa"/>
            <w:vAlign w:val="bottom"/>
            <w:shd w:val="clear" w:color="auto" w:fill="D3DFEE"/>
          </w:tcPr>
          <w:p>
            <w:pPr>
              <w:spacing w:after="0"/>
              <w:rPr>
                <w:sz w:val="21"/>
                <w:szCs w:val="21"/>
                <w:color w:val="auto"/>
              </w:rPr>
            </w:pPr>
          </w:p>
        </w:tc>
        <w:tc>
          <w:tcPr>
            <w:tcW w:w="300" w:type="dxa"/>
            <w:vAlign w:val="bottom"/>
            <w:shd w:val="clear" w:color="auto" w:fill="D3DFEE"/>
          </w:tcPr>
          <w:p>
            <w:pPr>
              <w:jc w:val="right"/>
              <w:spacing w:after="0"/>
              <w:rPr>
                <w:sz w:val="20"/>
                <w:szCs w:val="20"/>
                <w:color w:val="auto"/>
              </w:rPr>
            </w:pPr>
            <w:r>
              <w:rPr>
                <w:rFonts w:ascii="Arial" w:cs="Arial" w:eastAsia="Arial" w:hAnsi="Arial"/>
                <w:sz w:val="20"/>
                <w:szCs w:val="20"/>
                <w:color w:val="auto"/>
                <w:w w:val="83"/>
              </w:rPr>
              <w:t>156</w:t>
            </w:r>
          </w:p>
        </w:tc>
        <w:tc>
          <w:tcPr>
            <w:tcW w:w="580" w:type="dxa"/>
            <w:vAlign w:val="bottom"/>
            <w:shd w:val="clear" w:color="auto" w:fill="D3DFEE"/>
          </w:tcPr>
          <w:p>
            <w:pPr>
              <w:jc w:val="right"/>
              <w:spacing w:after="0"/>
              <w:rPr>
                <w:sz w:val="20"/>
                <w:szCs w:val="20"/>
                <w:color w:val="auto"/>
              </w:rPr>
            </w:pPr>
            <w:r>
              <w:rPr>
                <w:rFonts w:ascii="Arial" w:cs="Arial" w:eastAsia="Arial" w:hAnsi="Arial"/>
                <w:sz w:val="20"/>
                <w:szCs w:val="20"/>
                <w:color w:val="auto"/>
              </w:rPr>
              <w:t>554</w:t>
            </w:r>
          </w:p>
        </w:tc>
        <w:tc>
          <w:tcPr>
            <w:tcW w:w="0" w:type="dxa"/>
            <w:vAlign w:val="bottom"/>
          </w:tcPr>
          <w:p>
            <w:pPr>
              <w:spacing w:after="0"/>
              <w:rPr>
                <w:sz w:val="1"/>
                <w:szCs w:val="1"/>
                <w:color w:val="auto"/>
              </w:rPr>
            </w:pPr>
          </w:p>
        </w:tc>
      </w:tr>
      <w:tr>
        <w:trPr>
          <w:trHeight w:val="243"/>
        </w:trPr>
        <w:tc>
          <w:tcPr>
            <w:tcW w:w="1980" w:type="dxa"/>
            <w:vAlign w:val="bottom"/>
            <w:gridSpan w:val="2"/>
            <w:shd w:val="clear" w:color="auto" w:fill="4F81BD"/>
          </w:tcPr>
          <w:p>
            <w:pPr>
              <w:ind w:left="20"/>
              <w:spacing w:after="0"/>
              <w:rPr>
                <w:sz w:val="20"/>
                <w:szCs w:val="20"/>
                <w:color w:val="auto"/>
              </w:rPr>
            </w:pPr>
            <w:r>
              <w:rPr>
                <w:rFonts w:ascii="Arial" w:cs="Arial" w:eastAsia="Arial" w:hAnsi="Arial"/>
                <w:sz w:val="20"/>
                <w:szCs w:val="20"/>
                <w:b w:val="1"/>
                <w:bCs w:val="1"/>
                <w:color w:val="FFFFFF"/>
              </w:rPr>
              <w:t>l Male XL Outlets</w:t>
            </w:r>
          </w:p>
        </w:tc>
        <w:tc>
          <w:tcPr>
            <w:tcW w:w="80" w:type="dxa"/>
            <w:vAlign w:val="bottom"/>
            <w:tcBorders>
              <w:left w:val="single" w:sz="8" w:color="A7BFDE"/>
            </w:tcBorders>
            <w:shd w:val="clear" w:color="auto" w:fill="A7BFDE"/>
          </w:tcPr>
          <w:p>
            <w:pPr>
              <w:spacing w:after="0"/>
              <w:rPr>
                <w:sz w:val="21"/>
                <w:szCs w:val="21"/>
                <w:color w:val="auto"/>
              </w:rPr>
            </w:pPr>
          </w:p>
        </w:tc>
        <w:tc>
          <w:tcPr>
            <w:tcW w:w="1180" w:type="dxa"/>
            <w:vAlign w:val="bottom"/>
            <w:shd w:val="clear" w:color="auto" w:fill="A7BFDE"/>
          </w:tcPr>
          <w:p>
            <w:pPr>
              <w:jc w:val="right"/>
              <w:ind w:right="1"/>
              <w:spacing w:after="0"/>
              <w:rPr>
                <w:sz w:val="20"/>
                <w:szCs w:val="20"/>
                <w:color w:val="auto"/>
              </w:rPr>
            </w:pPr>
            <w:r>
              <w:rPr>
                <w:rFonts w:ascii="Arial" w:cs="Arial" w:eastAsia="Arial" w:hAnsi="Arial"/>
                <w:sz w:val="20"/>
                <w:szCs w:val="20"/>
                <w:color w:val="auto"/>
              </w:rPr>
              <w:t>55</w:t>
            </w:r>
          </w:p>
        </w:tc>
        <w:tc>
          <w:tcPr>
            <w:tcW w:w="1500" w:type="dxa"/>
            <w:vAlign w:val="bottom"/>
            <w:gridSpan w:val="2"/>
            <w:shd w:val="clear" w:color="auto" w:fill="A7BFDE"/>
          </w:tcPr>
          <w:p>
            <w:pPr>
              <w:jc w:val="right"/>
              <w:spacing w:after="0"/>
              <w:rPr>
                <w:sz w:val="20"/>
                <w:szCs w:val="20"/>
                <w:color w:val="auto"/>
              </w:rPr>
            </w:pPr>
            <w:r>
              <w:rPr>
                <w:rFonts w:ascii="Arial" w:cs="Arial" w:eastAsia="Arial" w:hAnsi="Arial"/>
                <w:sz w:val="20"/>
                <w:szCs w:val="20"/>
                <w:color w:val="auto"/>
              </w:rPr>
              <w:t>174</w:t>
            </w:r>
          </w:p>
        </w:tc>
        <w:tc>
          <w:tcPr>
            <w:tcW w:w="1100" w:type="dxa"/>
            <w:vAlign w:val="bottom"/>
            <w:gridSpan w:val="2"/>
            <w:shd w:val="clear" w:color="auto" w:fill="A7BFDE"/>
          </w:tcPr>
          <w:p>
            <w:pPr>
              <w:jc w:val="right"/>
              <w:ind w:right="40"/>
              <w:spacing w:after="0"/>
              <w:rPr>
                <w:sz w:val="20"/>
                <w:szCs w:val="20"/>
                <w:color w:val="auto"/>
              </w:rPr>
            </w:pPr>
            <w:r>
              <w:rPr>
                <w:rFonts w:ascii="Arial" w:cs="Arial" w:eastAsia="Arial" w:hAnsi="Arial"/>
                <w:sz w:val="20"/>
                <w:szCs w:val="20"/>
                <w:color w:val="auto"/>
              </w:rPr>
              <w:t>52</w:t>
            </w:r>
          </w:p>
        </w:tc>
        <w:tc>
          <w:tcPr>
            <w:tcW w:w="1380" w:type="dxa"/>
            <w:vAlign w:val="bottom"/>
            <w:gridSpan w:val="2"/>
            <w:shd w:val="clear" w:color="auto" w:fill="A7BFDE"/>
          </w:tcPr>
          <w:p>
            <w:pPr>
              <w:jc w:val="right"/>
              <w:ind w:right="180"/>
              <w:spacing w:after="0"/>
              <w:rPr>
                <w:sz w:val="20"/>
                <w:szCs w:val="20"/>
                <w:color w:val="auto"/>
              </w:rPr>
            </w:pPr>
            <w:r>
              <w:rPr>
                <w:rFonts w:ascii="Arial" w:cs="Arial" w:eastAsia="Arial" w:hAnsi="Arial"/>
                <w:sz w:val="20"/>
                <w:szCs w:val="20"/>
                <w:color w:val="auto"/>
              </w:rPr>
              <w:t>167</w:t>
            </w:r>
          </w:p>
        </w:tc>
        <w:tc>
          <w:tcPr>
            <w:tcW w:w="1320" w:type="dxa"/>
            <w:vAlign w:val="bottom"/>
            <w:gridSpan w:val="2"/>
            <w:shd w:val="clear" w:color="auto" w:fill="A7BFDE"/>
          </w:tcPr>
          <w:p>
            <w:pPr>
              <w:jc w:val="right"/>
              <w:ind w:right="280"/>
              <w:spacing w:after="0"/>
              <w:rPr>
                <w:sz w:val="20"/>
                <w:szCs w:val="20"/>
                <w:color w:val="auto"/>
              </w:rPr>
            </w:pPr>
            <w:r>
              <w:rPr>
                <w:rFonts w:ascii="Arial" w:cs="Arial" w:eastAsia="Arial" w:hAnsi="Arial"/>
                <w:sz w:val="20"/>
                <w:szCs w:val="20"/>
                <w:color w:val="auto"/>
              </w:rPr>
              <w:t>49</w:t>
            </w:r>
          </w:p>
        </w:tc>
        <w:tc>
          <w:tcPr>
            <w:tcW w:w="460" w:type="dxa"/>
            <w:vAlign w:val="bottom"/>
            <w:shd w:val="clear" w:color="auto" w:fill="A7BFDE"/>
          </w:tcPr>
          <w:p>
            <w:pPr>
              <w:spacing w:after="0"/>
              <w:rPr>
                <w:sz w:val="21"/>
                <w:szCs w:val="21"/>
                <w:color w:val="auto"/>
              </w:rPr>
            </w:pPr>
          </w:p>
        </w:tc>
        <w:tc>
          <w:tcPr>
            <w:tcW w:w="400" w:type="dxa"/>
            <w:vAlign w:val="bottom"/>
            <w:shd w:val="clear" w:color="auto" w:fill="A7BFDE"/>
          </w:tcPr>
          <w:p>
            <w:pPr>
              <w:spacing w:after="0"/>
              <w:rPr>
                <w:sz w:val="21"/>
                <w:szCs w:val="21"/>
                <w:color w:val="auto"/>
              </w:rPr>
            </w:pPr>
          </w:p>
        </w:tc>
        <w:tc>
          <w:tcPr>
            <w:tcW w:w="900" w:type="dxa"/>
            <w:vAlign w:val="bottom"/>
            <w:shd w:val="clear" w:color="auto" w:fill="A7BFDE"/>
          </w:tcPr>
          <w:p>
            <w:pPr>
              <w:jc w:val="right"/>
              <w:ind w:right="321"/>
              <w:spacing w:after="0"/>
              <w:rPr>
                <w:sz w:val="20"/>
                <w:szCs w:val="20"/>
                <w:color w:val="auto"/>
              </w:rPr>
            </w:pPr>
            <w:r>
              <w:rPr>
                <w:rFonts w:ascii="Arial" w:cs="Arial" w:eastAsia="Arial" w:hAnsi="Arial"/>
                <w:sz w:val="20"/>
                <w:szCs w:val="20"/>
                <w:color w:val="auto"/>
              </w:rPr>
              <w:t>157</w:t>
            </w:r>
          </w:p>
        </w:tc>
        <w:tc>
          <w:tcPr>
            <w:tcW w:w="440" w:type="dxa"/>
            <w:vAlign w:val="bottom"/>
            <w:shd w:val="clear" w:color="auto" w:fill="A7BFDE"/>
          </w:tcPr>
          <w:p>
            <w:pPr>
              <w:spacing w:after="0"/>
              <w:rPr>
                <w:sz w:val="21"/>
                <w:szCs w:val="21"/>
                <w:color w:val="auto"/>
              </w:rPr>
            </w:pPr>
          </w:p>
        </w:tc>
        <w:tc>
          <w:tcPr>
            <w:tcW w:w="300" w:type="dxa"/>
            <w:vAlign w:val="bottom"/>
            <w:shd w:val="clear" w:color="auto" w:fill="A7BFDE"/>
          </w:tcPr>
          <w:p>
            <w:pPr>
              <w:jc w:val="right"/>
              <w:spacing w:after="0"/>
              <w:rPr>
                <w:sz w:val="20"/>
                <w:szCs w:val="20"/>
                <w:color w:val="auto"/>
              </w:rPr>
            </w:pPr>
            <w:r>
              <w:rPr>
                <w:rFonts w:ascii="Arial" w:cs="Arial" w:eastAsia="Arial" w:hAnsi="Arial"/>
                <w:sz w:val="20"/>
                <w:szCs w:val="20"/>
                <w:color w:val="auto"/>
              </w:rPr>
              <w:t>48</w:t>
            </w:r>
          </w:p>
        </w:tc>
        <w:tc>
          <w:tcPr>
            <w:tcW w:w="580" w:type="dxa"/>
            <w:vAlign w:val="bottom"/>
            <w:shd w:val="clear" w:color="auto" w:fill="A7BFDE"/>
          </w:tcPr>
          <w:p>
            <w:pPr>
              <w:jc w:val="right"/>
              <w:spacing w:after="0"/>
              <w:rPr>
                <w:sz w:val="20"/>
                <w:szCs w:val="20"/>
                <w:color w:val="auto"/>
              </w:rPr>
            </w:pPr>
            <w:r>
              <w:rPr>
                <w:rFonts w:ascii="Arial" w:cs="Arial" w:eastAsia="Arial" w:hAnsi="Arial"/>
                <w:sz w:val="20"/>
                <w:szCs w:val="20"/>
                <w:color w:val="auto"/>
              </w:rPr>
              <w:t>154</w:t>
            </w:r>
          </w:p>
        </w:tc>
        <w:tc>
          <w:tcPr>
            <w:tcW w:w="0" w:type="dxa"/>
            <w:vAlign w:val="bottom"/>
          </w:tcPr>
          <w:p>
            <w:pPr>
              <w:spacing w:after="0"/>
              <w:rPr>
                <w:sz w:val="1"/>
                <w:szCs w:val="1"/>
                <w:color w:val="auto"/>
              </w:rPr>
            </w:pPr>
          </w:p>
        </w:tc>
      </w:tr>
      <w:tr>
        <w:trPr>
          <w:trHeight w:val="243"/>
        </w:trPr>
        <w:tc>
          <w:tcPr>
            <w:tcW w:w="1980" w:type="dxa"/>
            <w:vAlign w:val="bottom"/>
            <w:gridSpan w:val="2"/>
            <w:shd w:val="clear" w:color="auto" w:fill="4F81BD"/>
          </w:tcPr>
          <w:p>
            <w:pPr>
              <w:ind w:left="20"/>
              <w:spacing w:after="0"/>
              <w:rPr>
                <w:sz w:val="20"/>
                <w:szCs w:val="20"/>
                <w:color w:val="auto"/>
              </w:rPr>
            </w:pPr>
            <w:r>
              <w:rPr>
                <w:rFonts w:ascii="Arial" w:cs="Arial" w:eastAsia="Arial" w:hAnsi="Arial"/>
                <w:sz w:val="20"/>
                <w:szCs w:val="20"/>
                <w:b w:val="1"/>
                <w:bCs w:val="1"/>
                <w:color w:val="FFFFFF"/>
              </w:rPr>
              <w:t>ster Clothing</w:t>
            </w:r>
          </w:p>
        </w:tc>
        <w:tc>
          <w:tcPr>
            <w:tcW w:w="80" w:type="dxa"/>
            <w:vAlign w:val="bottom"/>
            <w:tcBorders>
              <w:left w:val="single" w:sz="8" w:color="D3DFEE"/>
            </w:tcBorders>
            <w:shd w:val="clear" w:color="auto" w:fill="D3DFEE"/>
          </w:tcPr>
          <w:p>
            <w:pPr>
              <w:spacing w:after="0"/>
              <w:rPr>
                <w:sz w:val="21"/>
                <w:szCs w:val="21"/>
                <w:color w:val="auto"/>
              </w:rPr>
            </w:pPr>
          </w:p>
        </w:tc>
        <w:tc>
          <w:tcPr>
            <w:tcW w:w="1180" w:type="dxa"/>
            <w:vAlign w:val="bottom"/>
            <w:shd w:val="clear" w:color="auto" w:fill="D3DFEE"/>
          </w:tcPr>
          <w:p>
            <w:pPr>
              <w:jc w:val="right"/>
              <w:ind w:right="1"/>
              <w:spacing w:after="0"/>
              <w:rPr>
                <w:sz w:val="20"/>
                <w:szCs w:val="20"/>
                <w:color w:val="auto"/>
              </w:rPr>
            </w:pPr>
            <w:r>
              <w:rPr>
                <w:rFonts w:ascii="Arial" w:cs="Arial" w:eastAsia="Arial" w:hAnsi="Arial"/>
                <w:sz w:val="20"/>
                <w:szCs w:val="20"/>
                <w:color w:val="auto"/>
              </w:rPr>
              <w:t>12</w:t>
            </w:r>
          </w:p>
        </w:tc>
        <w:tc>
          <w:tcPr>
            <w:tcW w:w="1500" w:type="dxa"/>
            <w:vAlign w:val="bottom"/>
            <w:gridSpan w:val="2"/>
            <w:shd w:val="clear" w:color="auto" w:fill="D3DFEE"/>
          </w:tcPr>
          <w:p>
            <w:pPr>
              <w:jc w:val="right"/>
              <w:spacing w:after="0"/>
              <w:rPr>
                <w:sz w:val="20"/>
                <w:szCs w:val="20"/>
                <w:color w:val="auto"/>
              </w:rPr>
            </w:pPr>
            <w:r>
              <w:rPr>
                <w:rFonts w:ascii="Arial" w:cs="Arial" w:eastAsia="Arial" w:hAnsi="Arial"/>
                <w:sz w:val="20"/>
                <w:szCs w:val="20"/>
                <w:color w:val="auto"/>
              </w:rPr>
              <w:t>108</w:t>
            </w:r>
          </w:p>
        </w:tc>
        <w:tc>
          <w:tcPr>
            <w:tcW w:w="1100" w:type="dxa"/>
            <w:vAlign w:val="bottom"/>
            <w:gridSpan w:val="2"/>
            <w:shd w:val="clear" w:color="auto" w:fill="D3DFEE"/>
          </w:tcPr>
          <w:p>
            <w:pPr>
              <w:jc w:val="right"/>
              <w:ind w:right="40"/>
              <w:spacing w:after="0"/>
              <w:rPr>
                <w:sz w:val="20"/>
                <w:szCs w:val="20"/>
                <w:color w:val="auto"/>
              </w:rPr>
            </w:pPr>
            <w:r>
              <w:rPr>
                <w:rFonts w:ascii="Arial" w:cs="Arial" w:eastAsia="Arial" w:hAnsi="Arial"/>
                <w:sz w:val="20"/>
                <w:szCs w:val="20"/>
                <w:color w:val="auto"/>
              </w:rPr>
              <w:t>10</w:t>
            </w:r>
          </w:p>
        </w:tc>
        <w:tc>
          <w:tcPr>
            <w:tcW w:w="1380" w:type="dxa"/>
            <w:vAlign w:val="bottom"/>
            <w:gridSpan w:val="2"/>
            <w:shd w:val="clear" w:color="auto" w:fill="D3DFEE"/>
          </w:tcPr>
          <w:p>
            <w:pPr>
              <w:jc w:val="right"/>
              <w:ind w:right="180"/>
              <w:spacing w:after="0"/>
              <w:rPr>
                <w:sz w:val="20"/>
                <w:szCs w:val="20"/>
                <w:color w:val="auto"/>
              </w:rPr>
            </w:pPr>
            <w:r>
              <w:rPr>
                <w:rFonts w:ascii="Arial" w:cs="Arial" w:eastAsia="Arial" w:hAnsi="Arial"/>
                <w:sz w:val="20"/>
                <w:szCs w:val="20"/>
                <w:color w:val="auto"/>
              </w:rPr>
              <w:t>88</w:t>
            </w:r>
          </w:p>
        </w:tc>
        <w:tc>
          <w:tcPr>
            <w:tcW w:w="1320" w:type="dxa"/>
            <w:vAlign w:val="bottom"/>
            <w:gridSpan w:val="2"/>
            <w:shd w:val="clear" w:color="auto" w:fill="D3DFEE"/>
          </w:tcPr>
          <w:p>
            <w:pPr>
              <w:jc w:val="right"/>
              <w:ind w:right="280"/>
              <w:spacing w:after="0"/>
              <w:rPr>
                <w:sz w:val="20"/>
                <w:szCs w:val="20"/>
                <w:color w:val="auto"/>
              </w:rPr>
            </w:pPr>
            <w:r>
              <w:rPr>
                <w:rFonts w:ascii="Arial" w:cs="Arial" w:eastAsia="Arial" w:hAnsi="Arial"/>
                <w:sz w:val="20"/>
                <w:szCs w:val="20"/>
                <w:color w:val="auto"/>
              </w:rPr>
              <w:t>9</w:t>
            </w:r>
          </w:p>
        </w:tc>
        <w:tc>
          <w:tcPr>
            <w:tcW w:w="460" w:type="dxa"/>
            <w:vAlign w:val="bottom"/>
            <w:shd w:val="clear" w:color="auto" w:fill="D3DFEE"/>
          </w:tcPr>
          <w:p>
            <w:pPr>
              <w:spacing w:after="0"/>
              <w:rPr>
                <w:sz w:val="21"/>
                <w:szCs w:val="21"/>
                <w:color w:val="auto"/>
              </w:rPr>
            </w:pPr>
          </w:p>
        </w:tc>
        <w:tc>
          <w:tcPr>
            <w:tcW w:w="400" w:type="dxa"/>
            <w:vAlign w:val="bottom"/>
            <w:shd w:val="clear" w:color="auto" w:fill="D3DFEE"/>
          </w:tcPr>
          <w:p>
            <w:pPr>
              <w:spacing w:after="0"/>
              <w:rPr>
                <w:sz w:val="21"/>
                <w:szCs w:val="21"/>
                <w:color w:val="auto"/>
              </w:rPr>
            </w:pPr>
          </w:p>
        </w:tc>
        <w:tc>
          <w:tcPr>
            <w:tcW w:w="900" w:type="dxa"/>
            <w:vAlign w:val="bottom"/>
            <w:shd w:val="clear" w:color="auto" w:fill="D3DFEE"/>
          </w:tcPr>
          <w:p>
            <w:pPr>
              <w:jc w:val="right"/>
              <w:ind w:right="321"/>
              <w:spacing w:after="0"/>
              <w:rPr>
                <w:sz w:val="20"/>
                <w:szCs w:val="20"/>
                <w:color w:val="auto"/>
              </w:rPr>
            </w:pPr>
            <w:r>
              <w:rPr>
                <w:rFonts w:ascii="Arial" w:cs="Arial" w:eastAsia="Arial" w:hAnsi="Arial"/>
                <w:sz w:val="20"/>
                <w:szCs w:val="20"/>
                <w:color w:val="auto"/>
              </w:rPr>
              <w:t>83</w:t>
            </w:r>
          </w:p>
        </w:tc>
        <w:tc>
          <w:tcPr>
            <w:tcW w:w="440" w:type="dxa"/>
            <w:vAlign w:val="bottom"/>
            <w:shd w:val="clear" w:color="auto" w:fill="D3DFEE"/>
          </w:tcPr>
          <w:p>
            <w:pPr>
              <w:spacing w:after="0"/>
              <w:rPr>
                <w:sz w:val="21"/>
                <w:szCs w:val="21"/>
                <w:color w:val="auto"/>
              </w:rPr>
            </w:pPr>
          </w:p>
        </w:tc>
        <w:tc>
          <w:tcPr>
            <w:tcW w:w="300" w:type="dxa"/>
            <w:vAlign w:val="bottom"/>
            <w:shd w:val="clear" w:color="auto" w:fill="D3DFEE"/>
          </w:tcPr>
          <w:p>
            <w:pPr>
              <w:jc w:val="right"/>
              <w:spacing w:after="0"/>
              <w:rPr>
                <w:sz w:val="20"/>
                <w:szCs w:val="20"/>
                <w:color w:val="auto"/>
              </w:rPr>
            </w:pPr>
            <w:r>
              <w:rPr>
                <w:rFonts w:ascii="Arial" w:cs="Arial" w:eastAsia="Arial" w:hAnsi="Arial"/>
                <w:sz w:val="20"/>
                <w:szCs w:val="20"/>
                <w:color w:val="auto"/>
              </w:rPr>
              <w:t>8</w:t>
            </w:r>
          </w:p>
        </w:tc>
        <w:tc>
          <w:tcPr>
            <w:tcW w:w="580" w:type="dxa"/>
            <w:vAlign w:val="bottom"/>
            <w:shd w:val="clear" w:color="auto" w:fill="D3DFEE"/>
          </w:tcPr>
          <w:p>
            <w:pPr>
              <w:jc w:val="right"/>
              <w:spacing w:after="0"/>
              <w:rPr>
                <w:sz w:val="20"/>
                <w:szCs w:val="20"/>
                <w:color w:val="auto"/>
              </w:rPr>
            </w:pPr>
            <w:r>
              <w:rPr>
                <w:rFonts w:ascii="Arial" w:cs="Arial" w:eastAsia="Arial" w:hAnsi="Arial"/>
                <w:sz w:val="20"/>
                <w:szCs w:val="20"/>
                <w:color w:val="auto"/>
              </w:rPr>
              <w:t>74</w:t>
            </w:r>
          </w:p>
        </w:tc>
        <w:tc>
          <w:tcPr>
            <w:tcW w:w="0" w:type="dxa"/>
            <w:vAlign w:val="bottom"/>
          </w:tcPr>
          <w:p>
            <w:pPr>
              <w:spacing w:after="0"/>
              <w:rPr>
                <w:sz w:val="1"/>
                <w:szCs w:val="1"/>
                <w:color w:val="auto"/>
              </w:rPr>
            </w:pPr>
          </w:p>
        </w:tc>
      </w:tr>
      <w:tr>
        <w:trPr>
          <w:trHeight w:val="243"/>
        </w:trPr>
        <w:tc>
          <w:tcPr>
            <w:tcW w:w="820" w:type="dxa"/>
            <w:vAlign w:val="bottom"/>
            <w:shd w:val="clear" w:color="auto" w:fill="4F81BD"/>
          </w:tcPr>
          <w:p>
            <w:pPr>
              <w:spacing w:after="0"/>
              <w:rPr>
                <w:sz w:val="21"/>
                <w:szCs w:val="21"/>
                <w:color w:val="auto"/>
              </w:rPr>
            </w:pPr>
          </w:p>
        </w:tc>
        <w:tc>
          <w:tcPr>
            <w:tcW w:w="1160" w:type="dxa"/>
            <w:vAlign w:val="bottom"/>
            <w:shd w:val="clear" w:color="auto" w:fill="4F81BD"/>
          </w:tcPr>
          <w:p>
            <w:pPr>
              <w:spacing w:after="0"/>
              <w:rPr>
                <w:sz w:val="21"/>
                <w:szCs w:val="21"/>
                <w:color w:val="auto"/>
              </w:rPr>
            </w:pPr>
          </w:p>
        </w:tc>
        <w:tc>
          <w:tcPr>
            <w:tcW w:w="80" w:type="dxa"/>
            <w:vAlign w:val="bottom"/>
            <w:tcBorders>
              <w:left w:val="single" w:sz="8" w:color="A7BFDE"/>
            </w:tcBorders>
            <w:shd w:val="clear" w:color="auto" w:fill="A7BFDE"/>
          </w:tcPr>
          <w:p>
            <w:pPr>
              <w:spacing w:after="0"/>
              <w:rPr>
                <w:sz w:val="21"/>
                <w:szCs w:val="21"/>
                <w:color w:val="auto"/>
              </w:rPr>
            </w:pPr>
          </w:p>
        </w:tc>
        <w:tc>
          <w:tcPr>
            <w:tcW w:w="1180" w:type="dxa"/>
            <w:vAlign w:val="bottom"/>
            <w:shd w:val="clear" w:color="auto" w:fill="A7BFDE"/>
          </w:tcPr>
          <w:p>
            <w:pPr>
              <w:jc w:val="right"/>
              <w:ind w:right="1"/>
              <w:spacing w:after="0"/>
              <w:rPr>
                <w:sz w:val="20"/>
                <w:szCs w:val="20"/>
                <w:color w:val="auto"/>
              </w:rPr>
            </w:pPr>
            <w:r>
              <w:rPr>
                <w:rFonts w:ascii="Arial" w:cs="Arial" w:eastAsia="Arial" w:hAnsi="Arial"/>
                <w:sz w:val="20"/>
                <w:szCs w:val="20"/>
                <w:color w:val="auto"/>
              </w:rPr>
              <w:t>412</w:t>
            </w:r>
          </w:p>
        </w:tc>
        <w:tc>
          <w:tcPr>
            <w:tcW w:w="1500" w:type="dxa"/>
            <w:vAlign w:val="bottom"/>
            <w:gridSpan w:val="2"/>
            <w:shd w:val="clear" w:color="auto" w:fill="A7BFDE"/>
          </w:tcPr>
          <w:p>
            <w:pPr>
              <w:jc w:val="right"/>
              <w:spacing w:after="0"/>
              <w:rPr>
                <w:sz w:val="20"/>
                <w:szCs w:val="20"/>
                <w:color w:val="auto"/>
              </w:rPr>
            </w:pPr>
            <w:r>
              <w:rPr>
                <w:rFonts w:ascii="Arial" w:cs="Arial" w:eastAsia="Arial" w:hAnsi="Arial"/>
                <w:sz w:val="20"/>
                <w:szCs w:val="20"/>
                <w:color w:val="auto"/>
              </w:rPr>
              <w:t>1,824</w:t>
            </w:r>
          </w:p>
        </w:tc>
        <w:tc>
          <w:tcPr>
            <w:tcW w:w="1100" w:type="dxa"/>
            <w:vAlign w:val="bottom"/>
            <w:gridSpan w:val="2"/>
            <w:shd w:val="clear" w:color="auto" w:fill="A7BFDE"/>
          </w:tcPr>
          <w:p>
            <w:pPr>
              <w:jc w:val="right"/>
              <w:ind w:right="40"/>
              <w:spacing w:after="0"/>
              <w:rPr>
                <w:sz w:val="20"/>
                <w:szCs w:val="20"/>
                <w:color w:val="auto"/>
              </w:rPr>
            </w:pPr>
            <w:r>
              <w:rPr>
                <w:rFonts w:ascii="Arial" w:cs="Arial" w:eastAsia="Arial" w:hAnsi="Arial"/>
                <w:sz w:val="20"/>
                <w:szCs w:val="20"/>
                <w:color w:val="auto"/>
              </w:rPr>
              <w:t>359</w:t>
            </w:r>
          </w:p>
        </w:tc>
        <w:tc>
          <w:tcPr>
            <w:tcW w:w="1380" w:type="dxa"/>
            <w:vAlign w:val="bottom"/>
            <w:gridSpan w:val="2"/>
            <w:shd w:val="clear" w:color="auto" w:fill="A7BFDE"/>
          </w:tcPr>
          <w:p>
            <w:pPr>
              <w:jc w:val="right"/>
              <w:ind w:right="180"/>
              <w:spacing w:after="0"/>
              <w:rPr>
                <w:sz w:val="20"/>
                <w:szCs w:val="20"/>
                <w:color w:val="auto"/>
              </w:rPr>
            </w:pPr>
            <w:r>
              <w:rPr>
                <w:rFonts w:ascii="Arial" w:cs="Arial" w:eastAsia="Arial" w:hAnsi="Arial"/>
                <w:sz w:val="20"/>
                <w:szCs w:val="20"/>
                <w:color w:val="auto"/>
              </w:rPr>
              <w:t>1,883</w:t>
            </w:r>
          </w:p>
        </w:tc>
        <w:tc>
          <w:tcPr>
            <w:tcW w:w="1320" w:type="dxa"/>
            <w:vAlign w:val="bottom"/>
            <w:gridSpan w:val="2"/>
            <w:shd w:val="clear" w:color="auto" w:fill="A7BFDE"/>
          </w:tcPr>
          <w:p>
            <w:pPr>
              <w:jc w:val="right"/>
              <w:ind w:right="280"/>
              <w:spacing w:after="0"/>
              <w:rPr>
                <w:sz w:val="20"/>
                <w:szCs w:val="20"/>
                <w:color w:val="auto"/>
              </w:rPr>
            </w:pPr>
            <w:r>
              <w:rPr>
                <w:rFonts w:ascii="Arial" w:cs="Arial" w:eastAsia="Arial" w:hAnsi="Arial"/>
                <w:sz w:val="20"/>
                <w:szCs w:val="20"/>
                <w:color w:val="auto"/>
              </w:rPr>
              <w:t>361</w:t>
            </w:r>
          </w:p>
        </w:tc>
        <w:tc>
          <w:tcPr>
            <w:tcW w:w="460" w:type="dxa"/>
            <w:vAlign w:val="bottom"/>
            <w:shd w:val="clear" w:color="auto" w:fill="A7BFDE"/>
          </w:tcPr>
          <w:p>
            <w:pPr>
              <w:spacing w:after="0"/>
              <w:rPr>
                <w:sz w:val="21"/>
                <w:szCs w:val="21"/>
                <w:color w:val="auto"/>
              </w:rPr>
            </w:pPr>
          </w:p>
        </w:tc>
        <w:tc>
          <w:tcPr>
            <w:tcW w:w="400" w:type="dxa"/>
            <w:vAlign w:val="bottom"/>
            <w:shd w:val="clear" w:color="auto" w:fill="A7BFDE"/>
          </w:tcPr>
          <w:p>
            <w:pPr>
              <w:spacing w:after="0"/>
              <w:rPr>
                <w:sz w:val="21"/>
                <w:szCs w:val="21"/>
                <w:color w:val="auto"/>
              </w:rPr>
            </w:pPr>
          </w:p>
        </w:tc>
        <w:tc>
          <w:tcPr>
            <w:tcW w:w="900" w:type="dxa"/>
            <w:vAlign w:val="bottom"/>
            <w:shd w:val="clear" w:color="auto" w:fill="A7BFDE"/>
          </w:tcPr>
          <w:p>
            <w:pPr>
              <w:jc w:val="right"/>
              <w:ind w:right="321"/>
              <w:spacing w:after="0"/>
              <w:rPr>
                <w:sz w:val="20"/>
                <w:szCs w:val="20"/>
                <w:color w:val="auto"/>
              </w:rPr>
            </w:pPr>
            <w:r>
              <w:rPr>
                <w:rFonts w:ascii="Arial" w:cs="Arial" w:eastAsia="Arial" w:hAnsi="Arial"/>
                <w:sz w:val="20"/>
                <w:szCs w:val="20"/>
                <w:color w:val="auto"/>
                <w:w w:val="91"/>
              </w:rPr>
              <w:t>1,968</w:t>
            </w:r>
          </w:p>
        </w:tc>
        <w:tc>
          <w:tcPr>
            <w:tcW w:w="440" w:type="dxa"/>
            <w:vAlign w:val="bottom"/>
            <w:shd w:val="clear" w:color="auto" w:fill="A7BFDE"/>
          </w:tcPr>
          <w:p>
            <w:pPr>
              <w:spacing w:after="0"/>
              <w:rPr>
                <w:sz w:val="21"/>
                <w:szCs w:val="21"/>
                <w:color w:val="auto"/>
              </w:rPr>
            </w:pPr>
          </w:p>
        </w:tc>
        <w:tc>
          <w:tcPr>
            <w:tcW w:w="300" w:type="dxa"/>
            <w:vAlign w:val="bottom"/>
            <w:shd w:val="clear" w:color="auto" w:fill="A7BFDE"/>
          </w:tcPr>
          <w:p>
            <w:pPr>
              <w:jc w:val="right"/>
              <w:spacing w:after="0"/>
              <w:rPr>
                <w:sz w:val="20"/>
                <w:szCs w:val="20"/>
                <w:color w:val="auto"/>
              </w:rPr>
            </w:pPr>
            <w:r>
              <w:rPr>
                <w:rFonts w:ascii="Arial" w:cs="Arial" w:eastAsia="Arial" w:hAnsi="Arial"/>
                <w:sz w:val="20"/>
                <w:szCs w:val="20"/>
                <w:b w:val="1"/>
                <w:bCs w:val="1"/>
                <w:color w:val="auto"/>
                <w:w w:val="83"/>
              </w:rPr>
              <w:t>352</w:t>
            </w:r>
          </w:p>
        </w:tc>
        <w:tc>
          <w:tcPr>
            <w:tcW w:w="580" w:type="dxa"/>
            <w:vAlign w:val="bottom"/>
            <w:shd w:val="clear" w:color="auto" w:fill="A7BFDE"/>
          </w:tcPr>
          <w:p>
            <w:pPr>
              <w:jc w:val="right"/>
              <w:spacing w:after="0"/>
              <w:rPr>
                <w:sz w:val="20"/>
                <w:szCs w:val="20"/>
                <w:color w:val="auto"/>
              </w:rPr>
            </w:pPr>
            <w:r>
              <w:rPr>
                <w:rFonts w:ascii="Arial" w:cs="Arial" w:eastAsia="Arial" w:hAnsi="Arial"/>
                <w:sz w:val="20"/>
                <w:szCs w:val="20"/>
                <w:b w:val="1"/>
                <w:bCs w:val="1"/>
                <w:color w:val="auto"/>
              </w:rPr>
              <w:t>1,963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-1225550</wp:posOffset>
            </wp:positionV>
            <wp:extent cx="7378700" cy="1235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78700" cy="1235075"/>
                    </a:xfrm>
                    <a:prstGeom prst="rect">
                      <a:avLst/>
                    </a:prstGeom>
                    <a:noFill/>
                  </pic:spPr>
                </pic:pic>
              </a:graphicData>
            </a:graphic>
          </wp:anchor>
        </w:drawing>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20"/>
          <w:szCs w:val="20"/>
          <w:b w:val="1"/>
          <w:bCs w:val="1"/>
          <w:u w:val="single" w:color="auto"/>
          <w:color w:val="auto"/>
        </w:rPr>
        <w:t>Fiscal 2014 Outlook</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The Company expects:</w:t>
      </w: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Total sales in the range of $413.0 to $418.0 million.</w:t>
      </w:r>
    </w:p>
    <w:p>
      <w:pPr>
        <w:ind w:left="980" w:hanging="433"/>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8"/>
          <w:szCs w:val="18"/>
          <w:color w:val="auto"/>
        </w:rPr>
        <w:t>A comparable sales increase of 12% to 13% for the approximately 93 DXL stores that will have been open for at least 13 months.</w:t>
      </w:r>
    </w:p>
    <w:p>
      <w:pPr>
        <w:spacing w:after="0" w:line="22" w:lineRule="exact"/>
        <w:rPr>
          <w:rFonts w:ascii="Arial" w:cs="Arial" w:eastAsia="Arial" w:hAnsi="Arial"/>
          <w:sz w:val="16"/>
          <w:szCs w:val="16"/>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20"/>
          <w:szCs w:val="20"/>
          <w:color w:val="auto"/>
        </w:rPr>
        <w:t>Gross profit margin to range from 45.5% to 46.1%.</w:t>
      </w: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20"/>
          <w:szCs w:val="20"/>
          <w:color w:val="auto"/>
        </w:rPr>
        <w:t>SG&amp;A costs of $176.0 to $177.6 million.</w:t>
      </w: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20"/>
          <w:szCs w:val="20"/>
          <w:color w:val="auto"/>
        </w:rPr>
        <w:t>EBITDA in the range of $12.4 to $15.6 million.</w:t>
      </w: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20"/>
          <w:szCs w:val="20"/>
          <w:color w:val="auto"/>
        </w:rPr>
        <w:t>Operating margin loss of between (2.0%) to (2.8%).</w:t>
      </w:r>
    </w:p>
    <w:p>
      <w:pPr>
        <w:ind w:left="980" w:right="300" w:hanging="433"/>
        <w:spacing w:after="0" w:line="239"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20"/>
          <w:szCs w:val="20"/>
          <w:color w:val="auto"/>
        </w:rPr>
        <w:t>A net loss of $(0.21) to $(0.27) per diluted share, or $(0.12) to $(0.16) per diluted share on a non-GAAP basis. This guidance is presented on a non-GAAP basis for comparative purposes to fiscal 2013 earnings, assuming a normal tax benefit of approximately 40%. The Company expects to continue to provide a full valuation allowance against its deferred tax assets in fiscal 2014 and will not recognize any income tax benefit on its operating loss in fiscal 2014.</w:t>
      </w:r>
    </w:p>
    <w:p>
      <w:pPr>
        <w:spacing w:after="0" w:line="2" w:lineRule="exact"/>
        <w:rPr>
          <w:rFonts w:ascii="Arial" w:cs="Arial" w:eastAsia="Arial" w:hAnsi="Arial"/>
          <w:sz w:val="18"/>
          <w:szCs w:val="18"/>
          <w:color w:val="auto"/>
        </w:rPr>
      </w:pPr>
    </w:p>
    <w:p>
      <w:pPr>
        <w:ind w:left="980" w:hanging="433"/>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20"/>
          <w:szCs w:val="20"/>
          <w:color w:val="auto"/>
        </w:rPr>
        <w:t>To open approximately 41 DXL stores and close approximately 46 Casual Male XL and 2 Rochester Clothing stores.</w:t>
      </w:r>
    </w:p>
    <w:p>
      <w:pPr>
        <w:ind w:left="980" w:hanging="433"/>
        <w:spacing w:after="0"/>
        <w:tabs>
          <w:tab w:leader="none" w:pos="980" w:val="left"/>
        </w:tabs>
        <w:numPr>
          <w:ilvl w:val="0"/>
          <w:numId w:val="3"/>
        </w:numPr>
        <w:rPr>
          <w:rFonts w:ascii="Arial" w:cs="Arial" w:eastAsia="Arial" w:hAnsi="Arial"/>
          <w:sz w:val="17"/>
          <w:szCs w:val="17"/>
          <w:color w:val="auto"/>
        </w:rPr>
      </w:pPr>
      <w:r>
        <w:rPr>
          <w:rFonts w:ascii="Arial" w:cs="Arial" w:eastAsia="Arial" w:hAnsi="Arial"/>
          <w:sz w:val="19"/>
          <w:szCs w:val="19"/>
          <w:color w:val="auto"/>
        </w:rPr>
        <w:t>Capital expenditures, net of tenant allowances, of approximately $36.4 million, or a $7.8 million reduction from fiscal 2013.</w:t>
      </w:r>
    </w:p>
    <w:p>
      <w:pPr>
        <w:spacing w:after="0" w:line="11" w:lineRule="exact"/>
        <w:rPr>
          <w:rFonts w:ascii="Arial" w:cs="Arial" w:eastAsia="Arial" w:hAnsi="Arial"/>
          <w:sz w:val="17"/>
          <w:szCs w:val="17"/>
          <w:color w:val="auto"/>
        </w:rPr>
      </w:pPr>
    </w:p>
    <w:p>
      <w:pPr>
        <w:ind w:left="980" w:right="520" w:hanging="433"/>
        <w:spacing w:after="0" w:line="269"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9"/>
          <w:szCs w:val="19"/>
          <w:color w:val="auto"/>
        </w:rPr>
        <w:t>Borrowings at the end of fiscal 2014 in the range of $55.0 to $60.0 million consisting of $20.0 to $25.0 million under the Credit Facility, term loan of approximately $15.0 million, and equipment financing notes of approximately $20.0 million.</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20"/>
          <w:szCs w:val="20"/>
          <w:b w:val="1"/>
          <w:bCs w:val="1"/>
          <w:u w:val="single" w:color="auto"/>
          <w:color w:val="auto"/>
        </w:rPr>
        <w:t>Conference Call</w:t>
      </w:r>
    </w:p>
    <w:p>
      <w:pPr>
        <w:spacing w:after="0" w:line="235" w:lineRule="exact"/>
        <w:rPr>
          <w:sz w:val="20"/>
          <w:szCs w:val="20"/>
          <w:color w:val="auto"/>
        </w:rPr>
      </w:pPr>
    </w:p>
    <w:p>
      <w:pPr>
        <w:ind w:left="100" w:right="220"/>
        <w:spacing w:after="0" w:line="246" w:lineRule="auto"/>
        <w:rPr>
          <w:sz w:val="20"/>
          <w:szCs w:val="20"/>
          <w:color w:val="auto"/>
        </w:rPr>
      </w:pPr>
      <w:r>
        <w:rPr>
          <w:rFonts w:ascii="Arial" w:cs="Arial" w:eastAsia="Arial" w:hAnsi="Arial"/>
          <w:sz w:val="20"/>
          <w:szCs w:val="20"/>
          <w:color w:val="auto"/>
        </w:rPr>
        <w:t>The Company will hold a conference call to review its financial results today, Friday, November 21, 2014 at 9:00 a.m. ET. To listen to the live webcast, visit the "Investor Relations" section of the Company's website. The live call also can be accessed by dialing: (888) 510-1765. Please reference conference ID: 9697979. An archived version of the webcast may be accessed by visiting the "Events" section of the Company's website for up to one year.</w:t>
      </w:r>
    </w:p>
    <w:p>
      <w:pPr>
        <w:spacing w:after="0" w:line="151" w:lineRule="exact"/>
        <w:rPr>
          <w:sz w:val="20"/>
          <w:szCs w:val="20"/>
          <w:color w:val="auto"/>
        </w:rPr>
      </w:pPr>
    </w:p>
    <w:p>
      <w:pPr>
        <w:ind w:left="100" w:right="340"/>
        <w:spacing w:after="0" w:line="260" w:lineRule="auto"/>
        <w:rPr>
          <w:sz w:val="20"/>
          <w:szCs w:val="20"/>
          <w:color w:val="auto"/>
        </w:rPr>
      </w:pPr>
      <w:r>
        <w:rPr>
          <w:rFonts w:ascii="Arial" w:cs="Arial" w:eastAsia="Arial" w:hAnsi="Arial"/>
          <w:sz w:val="20"/>
          <w:szCs w:val="20"/>
          <w:color w:val="auto"/>
        </w:rPr>
        <w:t>During the conference call, the Company may discuss and answer questions concerning business and financial developments and trends. The Company’s responses to questions, as well as other matters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620"/>
          </w:cols>
          <w:pgMar w:left="140" w:top="549" w:right="1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discussed during the conference call, may contain or constitute information that has not been disclosed previously.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Non-GAAP Measures</w:t>
      </w:r>
    </w:p>
    <w:p>
      <w:pPr>
        <w:spacing w:after="0" w:line="195"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In addition to financial measures prepared in accordance with U.S. generally accepted accounting principles (“GAAP”), this press release refers to free cash flow; EBITDA; adjusted net loss and adjusted loss per diluted share, which are non-GAAP measures. The presentation of these non-GAAP measures is not in accordance with GAAP, and should not be considered superior to or as a substitute for net loss, loss per diluted share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are useful as an additional means for investors to evaluate the Company's operating results, when reviewed in conjunction with the Company's GAAP financial statements.</w:t>
      </w:r>
    </w:p>
    <w:p>
      <w:pPr>
        <w:spacing w:after="0" w:line="144" w:lineRule="exact"/>
        <w:rPr>
          <w:sz w:val="20"/>
          <w:szCs w:val="20"/>
          <w:color w:val="auto"/>
        </w:rPr>
      </w:pPr>
    </w:p>
    <w:p>
      <w:pPr>
        <w:ind w:right="120"/>
        <w:spacing w:after="0" w:line="244" w:lineRule="auto"/>
        <w:rPr>
          <w:sz w:val="20"/>
          <w:szCs w:val="20"/>
          <w:color w:val="auto"/>
        </w:rPr>
      </w:pPr>
      <w:r>
        <w:rPr>
          <w:rFonts w:ascii="Arial" w:cs="Arial" w:eastAsia="Arial" w:hAnsi="Arial"/>
          <w:sz w:val="20"/>
          <w:szCs w:val="20"/>
          <w:color w:val="auto"/>
        </w:rPr>
        <w:t>The Company calculates free cash flow as cash flow from operating activities less capital expenditures and less discretionary store asset acquisitions, if applicable. EBITDA is calculated as operating income (loss) plus the add-back of depreciation and amortization. Adjusted net loss and adjusted net loss per diluted share are calculated by taking net loss and adding back income tax provision and income tax benefits assuming a normal tax rate of 40%. Reconciliations of these non-GAAP measures to their comparable GAAP measures are provided in the tables below.</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Destination XL Group, Inc.</w:t>
      </w:r>
    </w:p>
    <w:p>
      <w:pPr>
        <w:spacing w:after="0" w:line="195"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Destination XL Group, Inc. is the largest multi-channel specialty retailer of big and tall men's apparel with operations throughout the United States, Canada and in London, England. The retailer operates under six brands: Destination XL</w:t>
      </w:r>
      <w:r>
        <w:rPr>
          <w:rFonts w:ascii="Arial" w:cs="Arial" w:eastAsia="Arial" w:hAnsi="Arial"/>
          <w:sz w:val="14"/>
          <w:szCs w:val="14"/>
          <w:color w:val="auto"/>
        </w:rPr>
        <w:t>®</w:t>
      </w:r>
      <w:r>
        <w:rPr>
          <w:rFonts w:ascii="Arial" w:cs="Arial" w:eastAsia="Arial" w:hAnsi="Arial"/>
          <w:sz w:val="18"/>
          <w:szCs w:val="18"/>
          <w:color w:val="auto"/>
        </w:rPr>
        <w:t xml:space="preserve">, Casual Male XL, Rochester Clothing, B&amp;T Factory Direct, ShoesXL and LivingXL. Several e-commerce sites, including </w:t>
      </w:r>
      <w:r>
        <w:rPr>
          <w:rFonts w:ascii="Arial" w:cs="Arial" w:eastAsia="Arial" w:hAnsi="Arial"/>
          <w:sz w:val="18"/>
          <w:szCs w:val="18"/>
          <w:u w:val="single" w:color="auto"/>
          <w:color w:val="0000FF"/>
        </w:rPr>
        <w:t>www.destinationxl.com</w:t>
      </w:r>
      <w:r>
        <w:rPr>
          <w:rFonts w:ascii="Arial" w:cs="Arial" w:eastAsia="Arial" w:hAnsi="Arial"/>
          <w:sz w:val="18"/>
          <w:szCs w:val="18"/>
          <w:color w:val="auto"/>
        </w:rPr>
        <w:t xml:space="preserve">, and direct mail generate the Company's direct-to-consumer business.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8"/>
          <w:szCs w:val="18"/>
          <w:u w:val="single" w:color="auto"/>
          <w:color w:val="0000FF"/>
        </w:rPr>
        <w:t>http://investor.destinationxl.com</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Forward-Looking Statements</w:t>
      </w:r>
    </w:p>
    <w:p>
      <w:pPr>
        <w:spacing w:after="0" w:line="22"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i w:val="1"/>
          <w:iCs w:val="1"/>
          <w:color w:val="auto"/>
        </w:rPr>
        <w:t>Certain statements and information contained in this press release constitute forward-looking statements under the federal securities laws, including statements regarding the Company’s expectations with respect to long-term benefit of its omni-channel approach and its cash flows, operating and gross profit margins, sales per square foot, store counts, costs, capital expenditures, borrowings, sales and earnings expectations for fiscal 2014 and beyond.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555" w:right="239" w:bottom="1440" w:gutter="0" w:footer="0" w:header="0"/>
        </w:sectPr>
      </w:pPr>
    </w:p>
    <w:bookmarkStart w:id="8" w:name="page9"/>
    <w:bookmarkEnd w:id="8"/>
    <w:p>
      <w:pPr>
        <w:spacing w:after="0" w:line="278" w:lineRule="auto"/>
        <w:rPr>
          <w:sz w:val="20"/>
          <w:szCs w:val="20"/>
          <w:color w:val="auto"/>
        </w:rPr>
      </w:pPr>
      <w:r>
        <w:rPr>
          <w:rFonts w:ascii="Arial" w:cs="Arial" w:eastAsia="Arial" w:hAnsi="Arial"/>
          <w:sz w:val="18"/>
          <w:szCs w:val="18"/>
          <w:i w:val="1"/>
          <w:iCs w:val="1"/>
          <w:color w:val="auto"/>
        </w:rPr>
        <w:t>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17, 2014, that set forth certain risks and uncertainties that may have an impact on future results and direction of the Company, including risks relating to the Company’s execution of its DXL strategy and ability to grow its market share, its ability to predict customer tastes and fashion trends and to compete successfully in the United States men’s big and tall apparel market.</w:t>
      </w:r>
    </w:p>
    <w:p>
      <w:pPr>
        <w:spacing w:after="0" w:line="125" w:lineRule="exact"/>
        <w:rPr>
          <w:sz w:val="20"/>
          <w:szCs w:val="20"/>
          <w:color w:val="auto"/>
        </w:rPr>
      </w:pPr>
    </w:p>
    <w:p>
      <w:pPr>
        <w:jc w:val="both"/>
        <w:ind w:right="580"/>
        <w:spacing w:after="0" w:line="250" w:lineRule="auto"/>
        <w:rPr>
          <w:sz w:val="20"/>
          <w:szCs w:val="20"/>
          <w:color w:val="auto"/>
        </w:rPr>
      </w:pPr>
      <w:r>
        <w:rPr>
          <w:rFonts w:ascii="Arial" w:cs="Arial" w:eastAsia="Arial" w:hAnsi="Arial"/>
          <w:sz w:val="20"/>
          <w:szCs w:val="20"/>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80"/>
          </w:cols>
          <w:pgMar w:left="240" w:top="555" w:right="279" w:bottom="1440" w:gutter="0" w:footer="0" w:header="0"/>
        </w:sectPr>
      </w:pPr>
    </w:p>
    <w:bookmarkStart w:id="9" w:name="page10"/>
    <w:bookmarkEnd w:id="9"/>
    <w:p>
      <w:pPr>
        <w:jc w:val="center"/>
        <w:ind w:right="8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gridSpan w:val="5"/>
          </w:tcPr>
          <w:p>
            <w:pPr>
              <w:jc w:val="right"/>
              <w:ind w:right="860"/>
              <w:spacing w:after="0"/>
              <w:rPr>
                <w:sz w:val="20"/>
                <w:szCs w:val="20"/>
                <w:color w:val="auto"/>
              </w:rPr>
            </w:pPr>
            <w:r>
              <w:rPr>
                <w:rFonts w:ascii="Arial" w:cs="Arial" w:eastAsia="Arial" w:hAnsi="Arial"/>
                <w:sz w:val="14"/>
                <w:szCs w:val="14"/>
                <w:color w:val="auto"/>
              </w:rPr>
              <w:t>For the three months ended</w:t>
            </w:r>
          </w:p>
        </w:tc>
        <w:tc>
          <w:tcPr>
            <w:tcW w:w="120" w:type="dxa"/>
            <w:vAlign w:val="bottom"/>
          </w:tcPr>
          <w:p>
            <w:pPr>
              <w:spacing w:after="0"/>
              <w:rPr>
                <w:sz w:val="14"/>
                <w:szCs w:val="14"/>
                <w:color w:val="auto"/>
              </w:rPr>
            </w:pPr>
          </w:p>
        </w:tc>
        <w:tc>
          <w:tcPr>
            <w:tcW w:w="2900" w:type="dxa"/>
            <w:vAlign w:val="bottom"/>
            <w:gridSpan w:val="6"/>
          </w:tcPr>
          <w:p>
            <w:pPr>
              <w:jc w:val="right"/>
              <w:ind w:right="800"/>
              <w:spacing w:after="0"/>
              <w:rPr>
                <w:sz w:val="20"/>
                <w:szCs w:val="20"/>
                <w:color w:val="auto"/>
              </w:rPr>
            </w:pPr>
            <w:r>
              <w:rPr>
                <w:rFonts w:ascii="Arial" w:cs="Arial" w:eastAsia="Arial" w:hAnsi="Arial"/>
                <w:sz w:val="14"/>
                <w:szCs w:val="14"/>
                <w:color w:val="auto"/>
              </w:rPr>
              <w:t>For the nine months ended</w:t>
            </w:r>
          </w:p>
        </w:tc>
      </w:tr>
      <w:tr>
        <w:trPr>
          <w:trHeight w:val="167"/>
        </w:trPr>
        <w:tc>
          <w:tcPr>
            <w:tcW w:w="5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w w:val="95"/>
              </w:rPr>
              <w:t>November 1, 2014</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w w:val="93"/>
              </w:rPr>
              <w:t>November 2, 2013</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w w:val="93"/>
              </w:rPr>
              <w:t>November 1, 2014</w:t>
            </w:r>
          </w:p>
        </w:tc>
        <w:tc>
          <w:tcPr>
            <w:tcW w:w="1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color w:val="auto"/>
                <w:w w:val="95"/>
              </w:rPr>
              <w:t>November 2, 2013</w:t>
            </w:r>
          </w:p>
        </w:tc>
        <w:tc>
          <w:tcPr>
            <w:tcW w:w="80" w:type="dxa"/>
            <w:vAlign w:val="bottom"/>
            <w:tcBorders>
              <w:bottom w:val="single" w:sz="8" w:color="CFF0FC"/>
            </w:tcBorders>
          </w:tcPr>
          <w:p>
            <w:pPr>
              <w:spacing w:after="0"/>
              <w:rPr>
                <w:sz w:val="14"/>
                <w:szCs w:val="14"/>
                <w:color w:val="auto"/>
              </w:rPr>
            </w:pPr>
          </w:p>
        </w:tc>
      </w:tr>
      <w:tr>
        <w:trPr>
          <w:trHeight w:val="210"/>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93,640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88,682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294,114</w:t>
            </w:r>
          </w:p>
        </w:tc>
        <w:tc>
          <w:tcPr>
            <w:tcW w:w="12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280,685</w:t>
            </w:r>
          </w:p>
        </w:tc>
        <w:tc>
          <w:tcPr>
            <w:tcW w:w="80" w:type="dxa"/>
            <w:vAlign w:val="bottom"/>
            <w:shd w:val="clear" w:color="auto" w:fill="CFF0FC"/>
          </w:tcPr>
          <w:p>
            <w:pPr>
              <w:spacing w:after="0"/>
              <w:rPr>
                <w:sz w:val="18"/>
                <w:szCs w:val="18"/>
                <w:color w:val="auto"/>
              </w:rPr>
            </w:pPr>
          </w:p>
        </w:tc>
      </w:tr>
      <w:tr>
        <w:trPr>
          <w:trHeight w:val="213"/>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53,126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49,515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162,249</w:t>
            </w:r>
          </w:p>
        </w:tc>
        <w:tc>
          <w:tcPr>
            <w:tcW w:w="1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151,931</w:t>
            </w:r>
          </w:p>
        </w:tc>
        <w:tc>
          <w:tcPr>
            <w:tcW w:w="80" w:type="dxa"/>
            <w:vAlign w:val="bottom"/>
            <w:tcBorders>
              <w:bottom w:val="single" w:sz="8" w:color="CFF0FC"/>
            </w:tcBorders>
          </w:tcPr>
          <w:p>
            <w:pPr>
              <w:spacing w:after="0"/>
              <w:rPr>
                <w:sz w:val="18"/>
                <w:szCs w:val="18"/>
                <w:color w:val="auto"/>
              </w:rPr>
            </w:pPr>
          </w:p>
        </w:tc>
      </w:tr>
      <w:tr>
        <w:trPr>
          <w:trHeight w:val="213"/>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40,514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39,167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131,865</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128,754</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3"/>
        </w:trPr>
        <w:tc>
          <w:tcPr>
            <w:tcW w:w="528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40,185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40,988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127,004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122,252</w:t>
            </w:r>
          </w:p>
        </w:tc>
        <w:tc>
          <w:tcPr>
            <w:tcW w:w="80" w:type="dxa"/>
            <w:vAlign w:val="bottom"/>
          </w:tcPr>
          <w:p>
            <w:pPr>
              <w:spacing w:after="0"/>
              <w:rPr>
                <w:sz w:val="18"/>
                <w:szCs w:val="18"/>
                <w:color w:val="auto"/>
              </w:rPr>
            </w:pPr>
          </w:p>
        </w:tc>
      </w:tr>
      <w:tr>
        <w:trPr>
          <w:trHeight w:val="219"/>
        </w:trPr>
        <w:tc>
          <w:tcPr>
            <w:tcW w:w="5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6,041</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4,867</w:t>
            </w: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17,169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13,550</w:t>
            </w:r>
          </w:p>
        </w:tc>
        <w:tc>
          <w:tcPr>
            <w:tcW w:w="80" w:type="dxa"/>
            <w:vAlign w:val="bottom"/>
            <w:shd w:val="clear" w:color="auto" w:fill="CFF0FC"/>
          </w:tcPr>
          <w:p>
            <w:pPr>
              <w:spacing w:after="0"/>
              <w:rPr>
                <w:sz w:val="19"/>
                <w:szCs w:val="19"/>
                <w:color w:val="auto"/>
              </w:rPr>
            </w:pPr>
          </w:p>
        </w:tc>
      </w:tr>
      <w:tr>
        <w:trPr>
          <w:trHeight w:val="207"/>
        </w:trPr>
        <w:tc>
          <w:tcPr>
            <w:tcW w:w="5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46,226</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45,855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144,173</w:t>
            </w:r>
          </w:p>
        </w:tc>
        <w:tc>
          <w:tcPr>
            <w:tcW w:w="12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135,802</w:t>
            </w:r>
          </w:p>
        </w:tc>
        <w:tc>
          <w:tcPr>
            <w:tcW w:w="80" w:type="dxa"/>
            <w:vAlign w:val="bottom"/>
            <w:tcBorders>
              <w:bottom w:val="single" w:sz="8" w:color="CFF0FC"/>
            </w:tcBorders>
          </w:tcPr>
          <w:p>
            <w:pPr>
              <w:spacing w:after="0"/>
              <w:rPr>
                <w:sz w:val="17"/>
                <w:szCs w:val="17"/>
                <w:color w:val="auto"/>
              </w:rPr>
            </w:pPr>
          </w:p>
        </w:tc>
      </w:tr>
      <w:tr>
        <w:trPr>
          <w:trHeight w:val="213"/>
        </w:trPr>
        <w:tc>
          <w:tcPr>
            <w:tcW w:w="5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Operating loss</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(5,712)</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(6,688)</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(12,308)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(7,048)</w:t>
            </w:r>
          </w:p>
        </w:tc>
      </w:tr>
      <w:tr>
        <w:trPr>
          <w:trHeight w:val="219"/>
        </w:trPr>
        <w:tc>
          <w:tcPr>
            <w:tcW w:w="5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(506)</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(1,368)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(699)</w:t>
            </w:r>
          </w:p>
        </w:tc>
      </w:tr>
      <w:tr>
        <w:trPr>
          <w:trHeight w:val="213"/>
        </w:trPr>
        <w:tc>
          <w:tcPr>
            <w:tcW w:w="52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Loss before income taxes</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(6,218)</w:t>
            </w: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(6,968)</w:t>
            </w: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(13,676)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(7,747)</w:t>
            </w:r>
          </w:p>
        </w:tc>
      </w:tr>
      <w:tr>
        <w:trPr>
          <w:trHeight w:val="219"/>
        </w:trPr>
        <w:tc>
          <w:tcPr>
            <w:tcW w:w="5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Provision (benefit) for income taxes</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(2,905)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(3,108)</w:t>
            </w:r>
          </w:p>
        </w:tc>
      </w:tr>
      <w:tr>
        <w:trPr>
          <w:trHeight w:val="219"/>
        </w:trPr>
        <w:tc>
          <w:tcPr>
            <w:tcW w:w="52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47"/>
        </w:trPr>
        <w:tc>
          <w:tcPr>
            <w:tcW w:w="528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(6,281)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00"/>
              <w:spacing w:after="0"/>
              <w:rPr>
                <w:sz w:val="20"/>
                <w:szCs w:val="20"/>
                <w:color w:val="auto"/>
              </w:rPr>
            </w:pPr>
            <w:r>
              <w:rPr>
                <w:rFonts w:ascii="Arial" w:cs="Arial" w:eastAsia="Arial" w:hAnsi="Arial"/>
                <w:sz w:val="16"/>
                <w:szCs w:val="16"/>
                <w:color w:val="auto"/>
              </w:rPr>
              <w:t>(4,063)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(13,849)</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(4,639)</w:t>
            </w:r>
          </w:p>
        </w:tc>
      </w:tr>
      <w:tr>
        <w:trPr>
          <w:trHeight w:val="200"/>
        </w:trPr>
        <w:tc>
          <w:tcPr>
            <w:tcW w:w="52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Net loss per share -basic and diluted</w:t>
            </w:r>
          </w:p>
        </w:tc>
        <w:tc>
          <w:tcPr>
            <w:tcW w:w="10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(0.13)</w:t>
            </w:r>
          </w:p>
        </w:tc>
        <w:tc>
          <w:tcPr>
            <w:tcW w:w="5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(0.08)</w:t>
            </w:r>
          </w:p>
        </w:tc>
        <w:tc>
          <w:tcPr>
            <w:tcW w:w="5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(0.28)</w:t>
            </w:r>
          </w:p>
        </w:tc>
        <w:tc>
          <w:tcPr>
            <w:tcW w:w="560" w:type="dxa"/>
            <w:vAlign w:val="bottom"/>
          </w:tcPr>
          <w:p>
            <w:pPr>
              <w:jc w:val="right"/>
              <w:ind w:right="3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7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Weighted-average number of common shares outstanding:</w:t>
            </w: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10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48,773</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48,553</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48,724</w:t>
            </w:r>
          </w:p>
        </w:tc>
        <w:tc>
          <w:tcPr>
            <w:tcW w:w="5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48,441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240"/>
              <w:spacing w:after="0"/>
              <w:rPr>
                <w:sz w:val="20"/>
                <w:szCs w:val="20"/>
                <w:color w:val="auto"/>
              </w:rPr>
            </w:pPr>
            <w:r>
              <w:rPr>
                <w:rFonts w:ascii="Arial" w:cs="Arial" w:eastAsia="Arial" w:hAnsi="Arial"/>
                <w:sz w:val="18"/>
                <w:szCs w:val="18"/>
                <w:color w:val="auto"/>
              </w:rPr>
              <w:t>Diluted</w:t>
            </w:r>
          </w:p>
        </w:tc>
        <w:tc>
          <w:tcPr>
            <w:tcW w:w="106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48,773</w:t>
            </w:r>
          </w:p>
        </w:tc>
        <w:tc>
          <w:tcPr>
            <w:tcW w:w="5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48,553</w:t>
            </w:r>
          </w:p>
        </w:tc>
        <w:tc>
          <w:tcPr>
            <w:tcW w:w="5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48,724</w:t>
            </w:r>
          </w:p>
        </w:tc>
        <w:tc>
          <w:tcPr>
            <w:tcW w:w="5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48,441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75" w:right="239" w:bottom="1440" w:gutter="0" w:footer="0" w:header="0"/>
        </w:sectPr>
      </w:pPr>
    </w:p>
    <w:bookmarkStart w:id="10" w:name="page11"/>
    <w:bookmarkEnd w:id="10"/>
    <w:p>
      <w:pPr>
        <w:jc w:val="center"/>
        <w:ind w:right="1920"/>
        <w:spacing w:after="0"/>
        <w:rPr>
          <w:sz w:val="20"/>
          <w:szCs w:val="20"/>
          <w:color w:val="auto"/>
        </w:rPr>
      </w:pPr>
      <w:r>
        <w:rPr>
          <w:rFonts w:ascii="Arial" w:cs="Arial" w:eastAsia="Arial" w:hAnsi="Arial"/>
          <w:sz w:val="18"/>
          <w:szCs w:val="18"/>
          <w:color w:val="auto"/>
        </w:rPr>
        <w:t>DESTINATION XL GROUP, INC.</w:t>
      </w:r>
    </w:p>
    <w:p>
      <w:pPr>
        <w:spacing w:after="0" w:line="2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November 1, 2014, February 1, 2014 and November 2, 2013</w:t>
      </w:r>
    </w:p>
    <w:p>
      <w:pPr>
        <w:spacing w:after="0" w:line="23" w:lineRule="exact"/>
        <w:rPr>
          <w:sz w:val="20"/>
          <w:szCs w:val="20"/>
          <w:color w:val="auto"/>
        </w:rPr>
      </w:pPr>
    </w:p>
    <w:p>
      <w:pPr>
        <w:jc w:val="center"/>
        <w:ind w:right="1920"/>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center"/>
              <w:ind w:right="173"/>
              <w:spacing w:after="0"/>
              <w:rPr>
                <w:sz w:val="20"/>
                <w:szCs w:val="20"/>
                <w:color w:val="auto"/>
              </w:rPr>
            </w:pPr>
            <w:r>
              <w:rPr>
                <w:rFonts w:ascii="Arial" w:cs="Arial" w:eastAsia="Arial" w:hAnsi="Arial"/>
                <w:sz w:val="14"/>
                <w:szCs w:val="14"/>
                <w:color w:val="auto"/>
                <w:w w:val="94"/>
              </w:rPr>
              <w:t>November 1,</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color w:val="auto"/>
              </w:rPr>
              <w:t>February 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color w:val="auto"/>
                <w:w w:val="92"/>
              </w:rPr>
              <w:t>November 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color w:val="auto"/>
                <w:w w:val="89"/>
              </w:rPr>
              <w:t>2014</w:t>
            </w:r>
          </w:p>
        </w:tc>
        <w:tc>
          <w:tcPr>
            <w:tcW w:w="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color w:val="auto"/>
                <w:w w:val="96"/>
              </w:rPr>
              <w:t>2013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5"/>
                <w:szCs w:val="15"/>
                <w:color w:val="auto"/>
              </w:rPr>
            </w:pPr>
          </w:p>
        </w:tc>
        <w:tc>
          <w:tcPr>
            <w:tcW w:w="1380" w:type="dxa"/>
            <w:vAlign w:val="bottom"/>
          </w:tcPr>
          <w:p>
            <w:pPr>
              <w:jc w:val="center"/>
              <w:ind w:right="193"/>
              <w:spacing w:after="0"/>
              <w:rPr>
                <w:sz w:val="20"/>
                <w:szCs w:val="20"/>
                <w:color w:val="auto"/>
              </w:rPr>
            </w:pPr>
            <w:r>
              <w:rPr>
                <w:rFonts w:ascii="Arial" w:cs="Arial" w:eastAsia="Arial" w:hAnsi="Arial"/>
                <w:sz w:val="14"/>
                <w:szCs w:val="14"/>
                <w:color w:val="auto"/>
                <w:w w:val="93"/>
              </w:rPr>
              <w:t>(unaudited)</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center"/>
              <w:ind w:right="193"/>
              <w:spacing w:after="0"/>
              <w:rPr>
                <w:sz w:val="20"/>
                <w:szCs w:val="20"/>
                <w:color w:val="auto"/>
              </w:rPr>
            </w:pPr>
            <w:r>
              <w:rPr>
                <w:rFonts w:ascii="Arial" w:cs="Arial" w:eastAsia="Arial" w:hAnsi="Arial"/>
                <w:sz w:val="14"/>
                <w:szCs w:val="14"/>
                <w:color w:val="auto"/>
                <w:w w:val="93"/>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6,066</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4,544</w:t>
            </w:r>
          </w:p>
        </w:tc>
        <w:tc>
          <w:tcPr>
            <w:tcW w:w="120" w:type="dxa"/>
            <w:vAlign w:val="bottom"/>
          </w:tcPr>
          <w:p>
            <w:pPr>
              <w:spacing w:after="0"/>
              <w:rPr>
                <w:sz w:val="19"/>
                <w:szCs w:val="19"/>
                <w:color w:val="auto"/>
              </w:rPr>
            </w:pP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5,232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126,403</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105,556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119,550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17,037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16,341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17,267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122,370</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102,939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3,549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4,527</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3,608</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279,952</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237,381</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296,294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95,529</w:t>
            </w:r>
          </w:p>
        </w:tc>
        <w:tc>
          <w:tcPr>
            <w:tcW w:w="5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89,090</w:t>
            </w:r>
          </w:p>
        </w:tc>
        <w:tc>
          <w:tcPr>
            <w:tcW w:w="12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3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35,989</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Borrowings under credit facility</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37,954</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Deferred gain on sale-leaseback</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16,486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17,585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93,994</w:t>
            </w: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104,971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279,952</w:t>
            </w: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237,381</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787"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340" w:type="dxa"/>
            <w:vAlign w:val="bottom"/>
            <w:gridSpan w:val="16"/>
          </w:tcPr>
          <w:p>
            <w:pPr>
              <w:jc w:val="right"/>
              <w:ind w:right="340"/>
              <w:spacing w:after="0"/>
              <w:rPr>
                <w:sz w:val="20"/>
                <w:szCs w:val="20"/>
                <w:color w:val="auto"/>
              </w:rPr>
            </w:pPr>
            <w:r>
              <w:rPr>
                <w:rFonts w:ascii="Arial" w:cs="Arial" w:eastAsia="Arial" w:hAnsi="Arial"/>
                <w:sz w:val="14"/>
                <w:szCs w:val="14"/>
                <w:b w:val="1"/>
                <w:bCs w:val="1"/>
                <w:color w:val="auto"/>
              </w:rPr>
              <w:t>GAAP TO NON-GAAP RECONCILIATION OF NET LOSS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7"/>
          </w:tcPr>
          <w:p>
            <w:pPr>
              <w:spacing w:after="0"/>
              <w:rPr>
                <w:sz w:val="20"/>
                <w:szCs w:val="20"/>
                <w:color w:val="auto"/>
              </w:rPr>
            </w:pPr>
            <w:r>
              <w:rPr>
                <w:rFonts w:ascii="Arial" w:cs="Arial" w:eastAsia="Arial" w:hAnsi="Arial"/>
                <w:sz w:val="14"/>
                <w:szCs w:val="14"/>
                <w:color w:val="auto"/>
              </w:rPr>
              <w:t>For the 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6"/>
          </w:tcPr>
          <w:p>
            <w:pPr>
              <w:spacing w:after="0"/>
              <w:rPr>
                <w:sz w:val="20"/>
                <w:szCs w:val="20"/>
                <w:color w:val="auto"/>
              </w:rPr>
            </w:pPr>
            <w:r>
              <w:rPr>
                <w:rFonts w:ascii="Arial" w:cs="Arial" w:eastAsia="Arial" w:hAnsi="Arial"/>
                <w:sz w:val="14"/>
                <w:szCs w:val="14"/>
                <w:color w:val="auto"/>
              </w:rPr>
              <w:t>For the nine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6"/>
          </w:tcPr>
          <w:p>
            <w:pPr>
              <w:jc w:val="right"/>
              <w:ind w:right="440"/>
              <w:spacing w:after="0"/>
              <w:rPr>
                <w:sz w:val="20"/>
                <w:szCs w:val="20"/>
                <w:color w:val="auto"/>
              </w:rPr>
            </w:pPr>
            <w:r>
              <w:rPr>
                <w:rFonts w:ascii="Arial" w:cs="Arial" w:eastAsia="Arial" w:hAnsi="Arial"/>
                <w:sz w:val="14"/>
                <w:szCs w:val="14"/>
                <w:color w:val="auto"/>
              </w:rPr>
              <w:t>November 1, 2014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6"/>
          </w:tcPr>
          <w:p>
            <w:pPr>
              <w:ind w:left="100"/>
              <w:spacing w:after="0"/>
              <w:rPr>
                <w:sz w:val="20"/>
                <w:szCs w:val="20"/>
                <w:color w:val="auto"/>
              </w:rPr>
            </w:pPr>
            <w:r>
              <w:rPr>
                <w:rFonts w:ascii="Arial" w:cs="Arial" w:eastAsia="Arial" w:hAnsi="Arial"/>
                <w:sz w:val="14"/>
                <w:szCs w:val="14"/>
                <w:color w:val="auto"/>
              </w:rPr>
              <w:t>November 2, 2013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4"/>
                <w:szCs w:val="14"/>
                <w:color w:val="auto"/>
              </w:rPr>
              <w:t>November 1, 2014</w:t>
            </w:r>
          </w:p>
        </w:tc>
        <w:tc>
          <w:tcPr>
            <w:tcW w:w="160" w:type="dxa"/>
            <w:vAlign w:val="bottom"/>
          </w:tcPr>
          <w:p>
            <w:pPr>
              <w:spacing w:after="0"/>
              <w:rPr>
                <w:sz w:val="14"/>
                <w:szCs w:val="14"/>
                <w:color w:val="auto"/>
              </w:rPr>
            </w:pPr>
          </w:p>
        </w:tc>
        <w:tc>
          <w:tcPr>
            <w:tcW w:w="1520" w:type="dxa"/>
            <w:vAlign w:val="bottom"/>
            <w:gridSpan w:val="6"/>
          </w:tcPr>
          <w:p>
            <w:pPr>
              <w:ind w:left="80"/>
              <w:spacing w:after="0"/>
              <w:rPr>
                <w:sz w:val="20"/>
                <w:szCs w:val="20"/>
                <w:color w:val="auto"/>
              </w:rPr>
            </w:pPr>
            <w:r>
              <w:rPr>
                <w:rFonts w:ascii="Arial" w:cs="Arial" w:eastAsia="Arial" w:hAnsi="Arial"/>
                <w:sz w:val="14"/>
                <w:szCs w:val="14"/>
                <w:color w:val="auto"/>
              </w:rPr>
              <w:t>November 2, 2013</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5"/>
              </w:rPr>
              <w:t>Per diluted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37" w:lineRule="exact"/>
              <w:rPr>
                <w:sz w:val="20"/>
                <w:szCs w:val="20"/>
                <w:color w:val="auto"/>
              </w:rPr>
            </w:pPr>
            <w:r>
              <w:rPr>
                <w:rFonts w:ascii="Arial" w:cs="Arial" w:eastAsia="Arial" w:hAnsi="Arial"/>
                <w:sz w:val="14"/>
                <w:szCs w:val="14"/>
                <w:color w:val="auto"/>
                <w:w w:val="92"/>
              </w:rPr>
              <w:t>Per diluted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37" w:lineRule="exact"/>
              <w:rPr>
                <w:sz w:val="20"/>
                <w:szCs w:val="20"/>
                <w:color w:val="auto"/>
              </w:rPr>
            </w:pPr>
            <w:r>
              <w:rPr>
                <w:rFonts w:ascii="Arial" w:cs="Arial" w:eastAsia="Arial" w:hAnsi="Arial"/>
                <w:sz w:val="14"/>
                <w:szCs w:val="14"/>
                <w:color w:val="auto"/>
                <w:w w:val="92"/>
              </w:rPr>
              <w:t>Per diluted</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ind w:left="20"/>
              <w:spacing w:after="0" w:line="137" w:lineRule="exact"/>
              <w:rPr>
                <w:sz w:val="20"/>
                <w:szCs w:val="20"/>
                <w:color w:val="auto"/>
              </w:rPr>
            </w:pPr>
            <w:r>
              <w:rPr>
                <w:rFonts w:ascii="Arial" w:cs="Arial" w:eastAsia="Arial" w:hAnsi="Arial"/>
                <w:sz w:val="14"/>
                <w:szCs w:val="14"/>
                <w:color w:val="auto"/>
                <w:w w:val="95"/>
              </w:rPr>
              <w:t>Per diluted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color w:val="auto"/>
              </w:rPr>
              <w:t>share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w w:val="96"/>
              </w:rPr>
              <w:t>share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color w:val="auto"/>
                <w:w w:val="96"/>
              </w:rPr>
              <w:t>share</w:t>
            </w:r>
          </w:p>
        </w:tc>
        <w:tc>
          <w:tcPr>
            <w:tcW w:w="160" w:type="dxa"/>
            <w:vAlign w:val="bottom"/>
          </w:tcPr>
          <w:p>
            <w:pPr>
              <w:spacing w:after="0"/>
              <w:rPr>
                <w:sz w:val="14"/>
                <w:szCs w:val="14"/>
                <w:color w:val="auto"/>
              </w:rPr>
            </w:pPr>
          </w:p>
        </w:tc>
        <w:tc>
          <w:tcPr>
            <w:tcW w:w="520" w:type="dxa"/>
            <w:vAlign w:val="bottom"/>
          </w:tcPr>
          <w:p>
            <w:pPr>
              <w:ind w:lef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color w:val="auto"/>
                <w:w w:val="96"/>
              </w:rPr>
              <w:t>share</w:t>
            </w:r>
          </w:p>
        </w:tc>
        <w:tc>
          <w:tcPr>
            <w:tcW w:w="0" w:type="dxa"/>
            <w:vAlign w:val="bottom"/>
          </w:tcPr>
          <w:p>
            <w:pPr>
              <w:spacing w:after="0"/>
              <w:rPr>
                <w:sz w:val="1"/>
                <w:szCs w:val="1"/>
                <w:color w:val="auto"/>
              </w:rPr>
            </w:pPr>
          </w:p>
        </w:tc>
      </w:tr>
      <w:tr>
        <w:trPr>
          <w:trHeight w:val="142"/>
        </w:trPr>
        <w:tc>
          <w:tcPr>
            <w:tcW w:w="354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12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Net loss, GAAP basis</w:t>
            </w:r>
          </w:p>
        </w:tc>
        <w:tc>
          <w:tcPr>
            <w:tcW w:w="140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(6,281)</w:t>
            </w:r>
          </w:p>
        </w:tc>
        <w:tc>
          <w:tcPr>
            <w:tcW w:w="220" w:type="dxa"/>
            <w:vAlign w:val="bottom"/>
            <w:gridSpan w:val="2"/>
            <w:shd w:val="clear" w:color="auto" w:fill="CFF0FC"/>
          </w:tcPr>
          <w:p>
            <w:pPr>
              <w:ind w:left="10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(0.13)</w:t>
            </w:r>
          </w:p>
        </w:tc>
        <w:tc>
          <w:tcPr>
            <w:tcW w:w="260" w:type="dxa"/>
            <w:vAlign w:val="bottom"/>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ind w:left="160"/>
              <w:spacing w:after="0" w:line="155" w:lineRule="exact"/>
              <w:rPr>
                <w:sz w:val="20"/>
                <w:szCs w:val="20"/>
                <w:color w:val="auto"/>
              </w:rPr>
            </w:pPr>
            <w:r>
              <w:rPr>
                <w:rFonts w:ascii="Arial" w:cs="Arial" w:eastAsia="Arial" w:hAnsi="Arial"/>
                <w:sz w:val="14"/>
                <w:szCs w:val="14"/>
                <w:color w:val="auto"/>
              </w:rPr>
              <w:t>(4,063)</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(0.08)</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80"/>
              <w:spacing w:after="0" w:line="155" w:lineRule="exact"/>
              <w:rPr>
                <w:sz w:val="20"/>
                <w:szCs w:val="20"/>
                <w:color w:val="auto"/>
              </w:rPr>
            </w:pPr>
            <w:r>
              <w:rPr>
                <w:rFonts w:ascii="Arial" w:cs="Arial" w:eastAsia="Arial" w:hAnsi="Arial"/>
                <w:sz w:val="14"/>
                <w:szCs w:val="14"/>
                <w:color w:val="auto"/>
              </w:rPr>
              <w:t>(13,849)</w:t>
            </w:r>
          </w:p>
        </w:tc>
        <w:tc>
          <w:tcPr>
            <w:tcW w:w="1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(0.28)</w:t>
            </w: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FF0FC"/>
          </w:tcPr>
          <w:p>
            <w:pPr>
              <w:ind w:left="140"/>
              <w:spacing w:after="0" w:line="155" w:lineRule="exact"/>
              <w:rPr>
                <w:sz w:val="20"/>
                <w:szCs w:val="20"/>
                <w:color w:val="auto"/>
              </w:rPr>
            </w:pPr>
            <w:r>
              <w:rPr>
                <w:rFonts w:ascii="Arial" w:cs="Arial" w:eastAsia="Arial" w:hAnsi="Arial"/>
                <w:sz w:val="14"/>
                <w:szCs w:val="14"/>
                <w:color w:val="auto"/>
              </w:rPr>
              <w:t>(4,639)</w:t>
            </w:r>
          </w:p>
        </w:tc>
        <w:tc>
          <w:tcPr>
            <w:tcW w:w="200" w:type="dxa"/>
            <w:vAlign w:val="bottom"/>
            <w:gridSpan w:val="2"/>
            <w:shd w:val="clear" w:color="auto" w:fill="CFF0FC"/>
          </w:tcPr>
          <w:p>
            <w:pPr>
              <w:ind w:left="8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2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back: Actual income tax provision</w:t>
            </w:r>
          </w:p>
        </w:tc>
        <w:tc>
          <w:tcPr>
            <w:tcW w:w="7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gridSpan w:val="2"/>
          </w:tcPr>
          <w:p>
            <w:pPr>
              <w:ind w:left="240"/>
              <w:spacing w:after="0"/>
              <w:rPr>
                <w:sz w:val="20"/>
                <w:szCs w:val="20"/>
                <w:color w:val="auto"/>
              </w:rPr>
            </w:pPr>
            <w:r>
              <w:rPr>
                <w:rFonts w:ascii="Arial" w:cs="Arial" w:eastAsia="Arial" w:hAnsi="Arial"/>
                <w:sz w:val="14"/>
                <w:szCs w:val="14"/>
                <w:color w:val="auto"/>
                <w:w w:val="99"/>
              </w:rPr>
              <w:t>Income tax benefit, assuming normal tax rate of 40%</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2,487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5,470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Adjusted net loss, non-GAAP basis</w:t>
            </w:r>
          </w:p>
        </w:tc>
        <w:tc>
          <w:tcPr>
            <w:tcW w:w="70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(3,731)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(0.08)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ind w:left="160"/>
              <w:spacing w:after="0" w:line="155" w:lineRule="exact"/>
              <w:rPr>
                <w:sz w:val="20"/>
                <w:szCs w:val="20"/>
                <w:color w:val="auto"/>
              </w:rPr>
            </w:pPr>
            <w:r>
              <w:rPr>
                <w:rFonts w:ascii="Arial" w:cs="Arial" w:eastAsia="Arial" w:hAnsi="Arial"/>
                <w:sz w:val="14"/>
                <w:szCs w:val="14"/>
                <w:color w:val="auto"/>
                <w:w w:val="81"/>
              </w:rPr>
              <w:t>(4,063)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(0.08)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(8,206)</w:t>
            </w:r>
          </w:p>
        </w:tc>
        <w:tc>
          <w:tcPr>
            <w:tcW w:w="22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(0.17)</w:t>
            </w:r>
          </w:p>
        </w:tc>
        <w:tc>
          <w:tcPr>
            <w:tcW w:w="220" w:type="dxa"/>
            <w:vAlign w:val="bottom"/>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Pr>
          <w:p>
            <w:pPr>
              <w:ind w:left="140"/>
              <w:spacing w:after="0" w:line="155" w:lineRule="exact"/>
              <w:rPr>
                <w:sz w:val="20"/>
                <w:szCs w:val="20"/>
                <w:color w:val="auto"/>
              </w:rPr>
            </w:pPr>
            <w:r>
              <w:rPr>
                <w:rFonts w:ascii="Arial" w:cs="Arial" w:eastAsia="Arial" w:hAnsi="Arial"/>
                <w:sz w:val="14"/>
                <w:szCs w:val="14"/>
                <w:color w:val="auto"/>
                <w:w w:val="81"/>
              </w:rPr>
              <w:t>(4,639)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(0.10)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2120" w:type="dxa"/>
            <w:vAlign w:val="bottom"/>
            <w:shd w:val="clear" w:color="auto" w:fill="CFF0FC"/>
          </w:tcPr>
          <w:p>
            <w:pPr>
              <w:spacing w:after="0"/>
              <w:rPr>
                <w:sz w:val="14"/>
                <w:szCs w:val="14"/>
                <w:color w:val="auto"/>
              </w:rPr>
            </w:pPr>
          </w:p>
        </w:tc>
        <w:tc>
          <w:tcPr>
            <w:tcW w:w="2100" w:type="dxa"/>
            <w:vAlign w:val="bottom"/>
            <w:gridSpan w:val="2"/>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vMerge w:val="continue"/>
          </w:tcPr>
          <w:p>
            <w:pPr>
              <w:spacing w:after="0"/>
              <w:rPr>
                <w:sz w:val="12"/>
                <w:szCs w:val="12"/>
                <w:color w:val="auto"/>
              </w:rPr>
            </w:pPr>
          </w:p>
        </w:tc>
        <w:tc>
          <w:tcPr>
            <w:tcW w:w="4400" w:type="dxa"/>
            <w:vAlign w:val="bottom"/>
            <w:gridSpan w:val="4"/>
          </w:tcPr>
          <w:p>
            <w:pPr>
              <w:spacing w:after="0" w:line="143" w:lineRule="exact"/>
              <w:rPr>
                <w:sz w:val="20"/>
                <w:szCs w:val="20"/>
                <w:color w:val="auto"/>
              </w:rPr>
            </w:pPr>
            <w:r>
              <w:rPr>
                <w:rFonts w:ascii="Arial" w:cs="Arial" w:eastAsia="Arial" w:hAnsi="Arial"/>
                <w:sz w:val="14"/>
                <w:szCs w:val="14"/>
                <w:color w:val="auto"/>
              </w:rPr>
              <w:t>Weighted average number of common shares outstanding on a diluted</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540" w:type="dxa"/>
            <w:vAlign w:val="bottom"/>
            <w:gridSpan w:val="3"/>
          </w:tcPr>
          <w:p>
            <w:pPr>
              <w:spacing w:after="0"/>
              <w:rPr>
                <w:sz w:val="20"/>
                <w:szCs w:val="20"/>
                <w:color w:val="auto"/>
              </w:rPr>
            </w:pPr>
            <w:r>
              <w:rPr>
                <w:rFonts w:ascii="Arial" w:cs="Arial" w:eastAsia="Arial" w:hAnsi="Arial"/>
                <w:sz w:val="14"/>
                <w:szCs w:val="14"/>
                <w:color w:val="auto"/>
              </w:rPr>
              <w:t>basis</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48,773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48,553</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48,724</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48,441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50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GAAP TO NON-GAAP FREE CASH FLOW RECONCILIATION</w:t>
            </w:r>
          </w:p>
        </w:tc>
        <w:tc>
          <w:tcPr>
            <w:tcW w:w="1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04"/>
        </w:trPr>
        <w:tc>
          <w:tcPr>
            <w:tcW w:w="31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5"/>
          </w:tcPr>
          <w:p>
            <w:pPr>
              <w:jc w:val="right"/>
              <w:ind w:right="1020"/>
              <w:spacing w:after="0"/>
              <w:rPr>
                <w:sz w:val="20"/>
                <w:szCs w:val="20"/>
                <w:color w:val="auto"/>
              </w:rPr>
            </w:pPr>
            <w:r>
              <w:rPr>
                <w:rFonts w:ascii="Arial" w:cs="Arial" w:eastAsia="Arial" w:hAnsi="Arial"/>
                <w:sz w:val="14"/>
                <w:szCs w:val="14"/>
                <w:color w:val="auto"/>
              </w:rPr>
              <w:t>For the nine months ended</w:t>
            </w:r>
          </w:p>
        </w:tc>
      </w:tr>
      <w:tr>
        <w:trPr>
          <w:trHeight w:val="167"/>
        </w:trPr>
        <w:tc>
          <w:tcPr>
            <w:tcW w:w="3140" w:type="dxa"/>
            <w:vAlign w:val="bottom"/>
            <w:tcBorders>
              <w:bottom w:val="single" w:sz="8" w:color="CFF0FC"/>
            </w:tcBorders>
          </w:tcPr>
          <w:p>
            <w:pPr>
              <w:spacing w:after="0"/>
              <w:rPr>
                <w:sz w:val="20"/>
                <w:szCs w:val="20"/>
                <w:color w:val="auto"/>
              </w:rPr>
            </w:pPr>
            <w:r>
              <w:rPr>
                <w:rFonts w:ascii="Arial" w:cs="Arial" w:eastAsia="Arial" w:hAnsi="Arial"/>
                <w:sz w:val="14"/>
                <w:szCs w:val="14"/>
                <w:i w:val="1"/>
                <w:iCs w:val="1"/>
                <w:color w:val="auto"/>
              </w:rPr>
              <w:t>(in millions)</w:t>
            </w:r>
          </w:p>
        </w:tc>
        <w:tc>
          <w:tcPr>
            <w:tcW w:w="48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8"/>
              </w:rPr>
              <w:t>November 1, 2014</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98"/>
              </w:rPr>
              <w:t>November 2, 2013</w:t>
            </w:r>
          </w:p>
        </w:tc>
        <w:tc>
          <w:tcPr>
            <w:tcW w:w="120" w:type="dxa"/>
            <w:vAlign w:val="bottom"/>
            <w:tcBorders>
              <w:bottom w:val="single" w:sz="8" w:color="CFF0FC"/>
            </w:tcBorders>
          </w:tcPr>
          <w:p>
            <w:pPr>
              <w:spacing w:after="0"/>
              <w:rPr>
                <w:sz w:val="14"/>
                <w:szCs w:val="14"/>
                <w:color w:val="auto"/>
              </w:rPr>
            </w:pPr>
          </w:p>
        </w:tc>
      </w:tr>
      <w:tr>
        <w:trPr>
          <w:trHeight w:val="156"/>
        </w:trPr>
        <w:tc>
          <w:tcPr>
            <w:tcW w:w="314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 from operating activities (GAAP)</w:t>
            </w:r>
          </w:p>
        </w:tc>
        <w:tc>
          <w:tcPr>
            <w:tcW w:w="484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gridSpan w:val="2"/>
            <w:shd w:val="clear" w:color="auto" w:fill="CFF0FC"/>
          </w:tcPr>
          <w:p>
            <w:pPr>
              <w:jc w:val="right"/>
              <w:ind w:right="160"/>
              <w:spacing w:after="0" w:line="155" w:lineRule="exact"/>
              <w:rPr>
                <w:sz w:val="20"/>
                <w:szCs w:val="20"/>
                <w:color w:val="auto"/>
              </w:rPr>
            </w:pPr>
            <w:r>
              <w:rPr>
                <w:rFonts w:ascii="Arial" w:cs="Arial" w:eastAsia="Arial" w:hAnsi="Arial"/>
                <w:sz w:val="14"/>
                <w:szCs w:val="14"/>
                <w:color w:val="auto"/>
              </w:rPr>
              <w:t>(15.4)</w:t>
            </w:r>
          </w:p>
        </w:tc>
        <w:tc>
          <w:tcPr>
            <w:tcW w:w="160" w:type="dxa"/>
            <w:vAlign w:val="bottom"/>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FF0FC"/>
          </w:tcPr>
          <w:p>
            <w:pPr>
              <w:jc w:val="right"/>
              <w:ind w:right="80"/>
              <w:spacing w:after="0" w:line="155" w:lineRule="exact"/>
              <w:rPr>
                <w:sz w:val="20"/>
                <w:szCs w:val="20"/>
                <w:color w:val="auto"/>
              </w:rPr>
            </w:pPr>
            <w:r>
              <w:rPr>
                <w:rFonts w:ascii="Arial" w:cs="Arial" w:eastAsia="Arial" w:hAnsi="Arial"/>
                <w:sz w:val="14"/>
                <w:szCs w:val="14"/>
                <w:color w:val="auto"/>
              </w:rPr>
              <w:t>(5.5)</w:t>
            </w:r>
          </w:p>
        </w:tc>
      </w:tr>
      <w:tr>
        <w:trPr>
          <w:trHeight w:val="162"/>
        </w:trPr>
        <w:tc>
          <w:tcPr>
            <w:tcW w:w="3140" w:type="dxa"/>
            <w:vAlign w:val="bottom"/>
          </w:tcPr>
          <w:p>
            <w:pPr>
              <w:spacing w:after="0"/>
              <w:rPr>
                <w:sz w:val="20"/>
                <w:szCs w:val="20"/>
                <w:color w:val="auto"/>
              </w:rPr>
            </w:pPr>
            <w:r>
              <w:rPr>
                <w:rFonts w:ascii="Arial" w:cs="Arial" w:eastAsia="Arial" w:hAnsi="Arial"/>
                <w:sz w:val="14"/>
                <w:szCs w:val="14"/>
                <w:color w:val="auto"/>
              </w:rPr>
              <w:t>Less: Capital expenditures</w:t>
            </w:r>
          </w:p>
        </w:tc>
        <w:tc>
          <w:tcPr>
            <w:tcW w:w="4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(30.8)</w:t>
            </w:r>
          </w:p>
        </w:tc>
        <w:tc>
          <w:tcPr>
            <w:tcW w:w="16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(38.2)</w:t>
            </w:r>
          </w:p>
        </w:tc>
      </w:tr>
      <w:tr>
        <w:trPr>
          <w:trHeight w:val="162"/>
        </w:trPr>
        <w:tc>
          <w:tcPr>
            <w:tcW w:w="3140" w:type="dxa"/>
            <w:vAlign w:val="bottom"/>
            <w:shd w:val="clear" w:color="auto" w:fill="CFF0FC"/>
          </w:tcPr>
          <w:p>
            <w:pPr>
              <w:spacing w:after="0"/>
              <w:rPr>
                <w:sz w:val="20"/>
                <w:szCs w:val="20"/>
                <w:color w:val="auto"/>
              </w:rPr>
            </w:pPr>
            <w:r>
              <w:rPr>
                <w:rFonts w:ascii="Arial" w:cs="Arial" w:eastAsia="Arial" w:hAnsi="Arial"/>
                <w:sz w:val="14"/>
                <w:szCs w:val="14"/>
                <w:color w:val="auto"/>
              </w:rPr>
              <w:t>Less: Store acquisitions, if applicable</w:t>
            </w:r>
          </w:p>
        </w:tc>
        <w:tc>
          <w:tcPr>
            <w:tcW w:w="48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r>
      <w:tr>
        <w:trPr>
          <w:trHeight w:val="156"/>
        </w:trPr>
        <w:tc>
          <w:tcPr>
            <w:tcW w:w="3140" w:type="dxa"/>
            <w:vAlign w:val="bottom"/>
          </w:tcPr>
          <w:p>
            <w:pPr>
              <w:spacing w:after="0" w:line="155" w:lineRule="exact"/>
              <w:rPr>
                <w:sz w:val="20"/>
                <w:szCs w:val="20"/>
                <w:color w:val="auto"/>
              </w:rPr>
            </w:pPr>
            <w:r>
              <w:rPr>
                <w:rFonts w:ascii="Arial" w:cs="Arial" w:eastAsia="Arial" w:hAnsi="Arial"/>
                <w:sz w:val="14"/>
                <w:szCs w:val="14"/>
                <w:b w:val="1"/>
                <w:bCs w:val="1"/>
                <w:color w:val="auto"/>
              </w:rPr>
              <w:t>Free Cash Flow (non-GAAP)</w:t>
            </w:r>
          </w:p>
        </w:tc>
        <w:tc>
          <w:tcPr>
            <w:tcW w:w="4840" w:type="dxa"/>
            <w:vAlign w:val="bottom"/>
          </w:tcPr>
          <w:p>
            <w:pPr>
              <w:spacing w:after="0"/>
              <w:rPr>
                <w:sz w:val="13"/>
                <w:szCs w:val="13"/>
                <w:color w:val="auto"/>
              </w:rPr>
            </w:pP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(46.2)</w:t>
            </w:r>
          </w:p>
        </w:tc>
        <w:tc>
          <w:tcPr>
            <w:tcW w:w="160" w:type="dxa"/>
            <w:vAlign w:val="bottom"/>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(43.7)</w:t>
            </w:r>
          </w:p>
        </w:tc>
      </w:tr>
      <w:tr>
        <w:trPr>
          <w:trHeight w:val="20"/>
        </w:trPr>
        <w:tc>
          <w:tcPr>
            <w:tcW w:w="31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720" w:type="dxa"/>
            <w:vAlign w:val="bottom"/>
            <w:gridSpan w:val="6"/>
          </w:tcPr>
          <w:p>
            <w:pPr>
              <w:jc w:val="right"/>
              <w:ind w:right="28"/>
              <w:spacing w:after="0"/>
              <w:rPr>
                <w:sz w:val="20"/>
                <w:szCs w:val="20"/>
                <w:color w:val="auto"/>
              </w:rPr>
            </w:pPr>
            <w:r>
              <w:rPr>
                <w:rFonts w:ascii="Arial" w:cs="Arial" w:eastAsia="Arial" w:hAnsi="Arial"/>
                <w:sz w:val="14"/>
                <w:szCs w:val="14"/>
                <w:b w:val="1"/>
                <w:bCs w:val="1"/>
                <w:color w:val="auto"/>
              </w:rPr>
              <w:t>GAAP TO NON-GAAP RECONCILIATION OF EBITDA</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340" w:type="dxa"/>
            <w:vAlign w:val="bottom"/>
            <w:gridSpan w:val="5"/>
          </w:tcPr>
          <w:p>
            <w:pPr>
              <w:jc w:val="right"/>
              <w:ind w:right="348"/>
              <w:spacing w:after="0"/>
              <w:rPr>
                <w:sz w:val="20"/>
                <w:szCs w:val="20"/>
                <w:color w:val="auto"/>
              </w:rPr>
            </w:pPr>
            <w:r>
              <w:rPr>
                <w:rFonts w:ascii="Arial" w:cs="Arial" w:eastAsia="Arial" w:hAnsi="Arial"/>
                <w:sz w:val="14"/>
                <w:szCs w:val="14"/>
                <w:color w:val="auto"/>
              </w:rPr>
              <w:t>For the Third Quarter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20" w:type="dxa"/>
            <w:vAlign w:val="bottom"/>
            <w:gridSpan w:val="6"/>
          </w:tcPr>
          <w:p>
            <w:pPr>
              <w:jc w:val="right"/>
              <w:ind w:right="560"/>
              <w:spacing w:after="0"/>
              <w:rPr>
                <w:sz w:val="20"/>
                <w:szCs w:val="20"/>
                <w:color w:val="auto"/>
              </w:rPr>
            </w:pPr>
            <w:r>
              <w:rPr>
                <w:rFonts w:ascii="Arial" w:cs="Arial" w:eastAsia="Arial" w:hAnsi="Arial"/>
                <w:sz w:val="14"/>
                <w:szCs w:val="14"/>
                <w:color w:val="auto"/>
              </w:rPr>
              <w:t>For the First Nine Months</w:t>
            </w:r>
          </w:p>
        </w:tc>
        <w:tc>
          <w:tcPr>
            <w:tcW w:w="400" w:type="dxa"/>
            <w:vAlign w:val="bottom"/>
          </w:tcPr>
          <w:p>
            <w:pPr>
              <w:spacing w:after="0"/>
              <w:rPr>
                <w:sz w:val="24"/>
                <w:szCs w:val="2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Projected</w:t>
            </w:r>
          </w:p>
        </w:tc>
        <w:tc>
          <w:tcPr>
            <w:tcW w:w="0" w:type="dxa"/>
            <w:vAlign w:val="bottom"/>
          </w:tcPr>
          <w:p>
            <w:pPr>
              <w:spacing w:after="0"/>
              <w:rPr>
                <w:sz w:val="1"/>
                <w:szCs w:val="1"/>
                <w:color w:val="auto"/>
              </w:rPr>
            </w:pPr>
          </w:p>
        </w:tc>
      </w:tr>
      <w:tr>
        <w:trPr>
          <w:trHeight w:val="167"/>
        </w:trPr>
        <w:tc>
          <w:tcPr>
            <w:tcW w:w="2920" w:type="dxa"/>
            <w:vAlign w:val="bottom"/>
            <w:gridSpan w:val="3"/>
            <w:vMerge w:val="restart"/>
          </w:tcPr>
          <w:p>
            <w:pPr>
              <w:spacing w:after="0"/>
              <w:rPr>
                <w:sz w:val="20"/>
                <w:szCs w:val="20"/>
                <w:color w:val="auto"/>
              </w:rPr>
            </w:pPr>
            <w:r>
              <w:rPr>
                <w:rFonts w:ascii="Arial" w:cs="Arial" w:eastAsia="Arial" w:hAnsi="Arial"/>
                <w:sz w:val="14"/>
                <w:szCs w:val="14"/>
                <w:color w:val="auto"/>
              </w:rPr>
              <w:t>EBITDA (a Non-GAAP measure):</w:t>
            </w:r>
          </w:p>
        </w:tc>
        <w:tc>
          <w:tcPr>
            <w:tcW w:w="1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Fiscal 2014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Fiscal 2013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Fiscal 2014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w w:val="94"/>
              </w:rPr>
              <w:t>Fiscal 2013</w:t>
            </w:r>
          </w:p>
        </w:tc>
        <w:tc>
          <w:tcPr>
            <w:tcW w:w="4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Fiscal 2014</w:t>
            </w:r>
          </w:p>
        </w:tc>
        <w:tc>
          <w:tcPr>
            <w:tcW w:w="0" w:type="dxa"/>
            <w:vAlign w:val="bottom"/>
          </w:tcPr>
          <w:p>
            <w:pPr>
              <w:spacing w:after="0"/>
              <w:rPr>
                <w:sz w:val="1"/>
                <w:szCs w:val="1"/>
                <w:color w:val="auto"/>
              </w:rPr>
            </w:pPr>
          </w:p>
        </w:tc>
      </w:tr>
      <w:tr>
        <w:trPr>
          <w:trHeight w:val="142"/>
        </w:trPr>
        <w:tc>
          <w:tcPr>
            <w:tcW w:w="2920" w:type="dxa"/>
            <w:vAlign w:val="bottom"/>
            <w:gridSpan w:val="3"/>
            <w:vMerge w:val="continue"/>
          </w:tcPr>
          <w:p>
            <w:pPr>
              <w:spacing w:after="0"/>
              <w:rPr>
                <w:sz w:val="12"/>
                <w:szCs w:val="12"/>
                <w:color w:val="auto"/>
              </w:rPr>
            </w:pPr>
          </w:p>
        </w:tc>
        <w:tc>
          <w:tcPr>
            <w:tcW w:w="13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Operating Loss</w:t>
            </w:r>
          </w:p>
        </w:tc>
        <w:tc>
          <w:tcPr>
            <w:tcW w:w="900" w:type="dxa"/>
            <w:vAlign w:val="bottom"/>
            <w:shd w:val="clear" w:color="auto" w:fill="CFF0FC"/>
          </w:tcPr>
          <w:p>
            <w:pPr>
              <w:spacing w:after="0"/>
              <w:rPr>
                <w:sz w:val="13"/>
                <w:szCs w:val="13"/>
                <w:color w:val="auto"/>
              </w:rPr>
            </w:pPr>
          </w:p>
        </w:tc>
        <w:tc>
          <w:tcPr>
            <w:tcW w:w="2320" w:type="dxa"/>
            <w:vAlign w:val="bottom"/>
            <w:gridSpan w:val="2"/>
            <w:shd w:val="clear" w:color="auto" w:fill="CFF0FC"/>
          </w:tcPr>
          <w:p>
            <w:pPr>
              <w:jc w:val="right"/>
              <w:ind w:right="788"/>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w w:val="97"/>
              </w:rPr>
              <w:t>(5.7)</w:t>
            </w:r>
          </w:p>
        </w:tc>
        <w:tc>
          <w:tcPr>
            <w:tcW w:w="1040" w:type="dxa"/>
            <w:vAlign w:val="bottom"/>
            <w:gridSpan w:val="2"/>
            <w:shd w:val="clear" w:color="auto" w:fill="CFF0FC"/>
          </w:tcPr>
          <w:p>
            <w:pPr>
              <w:jc w:val="right"/>
              <w:ind w:right="788"/>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w w:val="97"/>
              </w:rPr>
              <w:t>(6.7)</w:t>
            </w:r>
          </w:p>
        </w:tc>
        <w:tc>
          <w:tcPr>
            <w:tcW w:w="2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(12.3)</w:t>
            </w:r>
          </w:p>
        </w:tc>
        <w:tc>
          <w:tcPr>
            <w:tcW w:w="22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(7.0)</w:t>
            </w:r>
          </w:p>
        </w:tc>
        <w:tc>
          <w:tcPr>
            <w:tcW w:w="4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(11.6)-(8.4)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0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color w:val="auto"/>
                <w:w w:val="93"/>
              </w:rPr>
              <w:t>Add back: Depreciation and amortization expense</w:t>
            </w:r>
          </w:p>
        </w:tc>
        <w:tc>
          <w:tcPr>
            <w:tcW w:w="1380" w:type="dxa"/>
            <w:vAlign w:val="bottom"/>
            <w:tcBorders>
              <w:bottom w:val="single" w:sz="8" w:color="CFF0FC"/>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0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EBITDA</w:t>
            </w:r>
          </w:p>
        </w:tc>
        <w:tc>
          <w:tcPr>
            <w:tcW w:w="138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78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0.3</w:t>
            </w:r>
          </w:p>
        </w:tc>
        <w:tc>
          <w:tcPr>
            <w:tcW w:w="1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788"/>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w w:val="97"/>
              </w:rPr>
              <w:t>(1.8)</w:t>
            </w:r>
          </w:p>
        </w:tc>
        <w:tc>
          <w:tcPr>
            <w:tcW w:w="280" w:type="dxa"/>
            <w:vAlign w:val="bottom"/>
            <w:gridSpan w:val="2"/>
            <w:shd w:val="clear" w:color="auto" w:fill="CFF0FC"/>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4.9</w:t>
            </w:r>
          </w:p>
        </w:tc>
        <w:tc>
          <w:tcPr>
            <w:tcW w:w="10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40"/>
              <w:spacing w:after="0" w:line="155" w:lineRule="exact"/>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6.6</w:t>
            </w:r>
          </w:p>
        </w:tc>
        <w:tc>
          <w:tcPr>
            <w:tcW w:w="120" w:type="dxa"/>
            <w:vAlign w:val="bottom"/>
            <w:shd w:val="clear" w:color="auto" w:fill="CFF0FC"/>
          </w:tcPr>
          <w:p>
            <w:pPr>
              <w:spacing w:after="0"/>
              <w:rPr>
                <w:sz w:val="13"/>
                <w:szCs w:val="13"/>
                <w:color w:val="auto"/>
              </w:rPr>
            </w:pPr>
          </w:p>
        </w:tc>
        <w:tc>
          <w:tcPr>
            <w:tcW w:w="400" w:type="dxa"/>
            <w:vAlign w:val="bottom"/>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3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12.4- 15.6</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sectPr>
      <w:pgSz w:w="11900" w:h="16838" w:orient="portrait"/>
      <w:cols w:equalWidth="0" w:num="1">
        <w:col w:w="11420"/>
      </w:cols>
      <w:pgMar w:left="240" w:top="56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2019-12-06T00:00:03Z</dcterms:created>
  <dcterms:modified xsi:type="dcterms:W3CDTF">2019-12-06T00:00:03Z</dcterms:modified>
</cp:coreProperties>
</file>