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4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7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06" w:lineRule="exact"/>
        <w:rPr>
          <w:sz w:val="24"/>
          <w:szCs w:val="24"/>
          <w:color w:val="auto"/>
        </w:rPr>
      </w:pPr>
    </w:p>
    <w:p>
      <w:pPr>
        <w:jc w:val="right"/>
        <w:ind w:right="69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w:t>
      </w:r>
    </w:p>
    <w:p>
      <w:pPr>
        <w:spacing w:after="0" w:line="8"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RULES 13d-1(b), (c) AND (d) AND AMENDMENTS THERETO FILED</w:t>
      </w: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PURSUANT TO RULE 13d-2(b)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40"/>
          <w:szCs w:val="40"/>
          <w:b w:val="1"/>
          <w:bCs w:val="1"/>
          <w:color w:val="auto"/>
        </w:rPr>
        <w:t>Destination XL Group, Inc.</w:t>
      </w:r>
    </w:p>
    <w:p>
      <w:pPr>
        <w:spacing w:after="0" w:line="4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2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140" w:type="dxa"/>
            <w:vAlign w:val="bottom"/>
            <w:gridSpan w:val="7"/>
          </w:tcPr>
          <w:p>
            <w:pPr>
              <w:jc w:val="center"/>
              <w:ind w:right="330"/>
              <w:spacing w:after="0"/>
              <w:rPr>
                <w:sz w:val="20"/>
                <w:szCs w:val="20"/>
                <w:color w:val="auto"/>
              </w:rPr>
            </w:pPr>
            <w:r>
              <w:rPr>
                <w:rFonts w:ascii="Times New Roman" w:cs="Times New Roman" w:eastAsia="Times New Roman" w:hAnsi="Times New Roman"/>
                <w:sz w:val="18"/>
                <w:szCs w:val="18"/>
                <w:color w:val="auto"/>
              </w:rPr>
              <w:t>CUSIP No. 25065K104</w:t>
            </w:r>
          </w:p>
        </w:tc>
        <w:tc>
          <w:tcPr>
            <w:tcW w:w="930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13G/A</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40" w:type="dxa"/>
            <w:vAlign w:val="bottom"/>
            <w:tcBorders>
              <w:lef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6"/>
                <w:szCs w:val="16"/>
                <w:color w:val="auto"/>
              </w:rPr>
            </w:pPr>
          </w:p>
        </w:tc>
        <w:tc>
          <w:tcPr>
            <w:tcW w:w="10860" w:type="dxa"/>
            <w:vAlign w:val="bottom"/>
            <w:tcBorders>
              <w:right w:val="single" w:sz="8" w:color="auto"/>
            </w:tcBorders>
            <w:gridSpan w:val="5"/>
          </w:tcPr>
          <w:p>
            <w:pPr>
              <w:ind w:left="18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860" w:type="dxa"/>
            <w:vAlign w:val="bottom"/>
            <w:tcBorders>
              <w:bottom w:val="single" w:sz="8" w:color="auto"/>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Prescott Group Capital Management,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Borders>
              <w:lef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860" w:type="dxa"/>
            <w:vAlign w:val="bottom"/>
            <w:tcBorders>
              <w:right w:val="single" w:sz="8" w:color="auto"/>
            </w:tcBorders>
            <w:gridSpan w:val="5"/>
          </w:tcPr>
          <w:p>
            <w:pPr>
              <w:ind w:left="18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State of Oklahoma</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5,132,928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2"/>
              </w:rPr>
              <w:t>SHARES</w:t>
            </w: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5"/>
                <w:szCs w:val="15"/>
                <w:color w:val="auto"/>
              </w:rPr>
            </w:pPr>
          </w:p>
        </w:tc>
        <w:tc>
          <w:tcPr>
            <w:tcW w:w="930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2"/>
              </w:rPr>
              <w:t>PERSON</w:t>
            </w:r>
          </w:p>
        </w:tc>
        <w:tc>
          <w:tcPr>
            <w:tcW w:w="8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5,132,928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2"/>
                <w:szCs w:val="12"/>
                <w:color w:val="auto"/>
              </w:rPr>
            </w:pPr>
          </w:p>
        </w:tc>
        <w:tc>
          <w:tcPr>
            <w:tcW w:w="9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4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79"/>
              </w:rPr>
              <w:t>AGGREGATE</w:t>
            </w:r>
          </w:p>
        </w:tc>
        <w:tc>
          <w:tcPr>
            <w:tcW w:w="360" w:type="dxa"/>
            <w:vAlign w:val="bottom"/>
          </w:tcPr>
          <w:p>
            <w:pPr>
              <w:spacing w:after="0"/>
              <w:rPr>
                <w:sz w:val="20"/>
                <w:szCs w:val="20"/>
                <w:color w:val="auto"/>
              </w:rPr>
            </w:pPr>
          </w:p>
        </w:tc>
        <w:tc>
          <w:tcPr>
            <w:tcW w:w="9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5,132,928</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right w:val="single" w:sz="8" w:color="auto"/>
            </w:tcBorders>
          </w:tcPr>
          <w:p>
            <w:pPr>
              <w:spacing w:after="0"/>
              <w:rPr>
                <w:sz w:val="19"/>
                <w:szCs w:val="19"/>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IA</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82" w:lineRule="auto"/>
        <w:tabs>
          <w:tab w:leader="none" w:pos="4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4(b).</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40"/>
          </w:cols>
          <w:pgMar w:left="240" w:top="270"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140" w:type="dxa"/>
            <w:vAlign w:val="bottom"/>
            <w:gridSpan w:val="7"/>
          </w:tcPr>
          <w:p>
            <w:pPr>
              <w:jc w:val="center"/>
              <w:ind w:right="330"/>
              <w:spacing w:after="0"/>
              <w:rPr>
                <w:sz w:val="20"/>
                <w:szCs w:val="20"/>
                <w:color w:val="auto"/>
              </w:rPr>
            </w:pPr>
            <w:r>
              <w:rPr>
                <w:rFonts w:ascii="Times New Roman" w:cs="Times New Roman" w:eastAsia="Times New Roman" w:hAnsi="Times New Roman"/>
                <w:sz w:val="18"/>
                <w:szCs w:val="18"/>
                <w:color w:val="auto"/>
              </w:rPr>
              <w:t>CUSIP No. 25065K104</w:t>
            </w:r>
          </w:p>
        </w:tc>
        <w:tc>
          <w:tcPr>
            <w:tcW w:w="930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13G/A</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40" w:type="dxa"/>
            <w:vAlign w:val="bottom"/>
            <w:tcBorders>
              <w:lef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6"/>
                <w:szCs w:val="16"/>
                <w:color w:val="auto"/>
              </w:rPr>
            </w:pPr>
          </w:p>
        </w:tc>
        <w:tc>
          <w:tcPr>
            <w:tcW w:w="10860" w:type="dxa"/>
            <w:vAlign w:val="bottom"/>
            <w:tcBorders>
              <w:right w:val="single" w:sz="8" w:color="auto"/>
            </w:tcBorders>
            <w:gridSpan w:val="5"/>
          </w:tcPr>
          <w:p>
            <w:pPr>
              <w:ind w:left="18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860" w:type="dxa"/>
            <w:vAlign w:val="bottom"/>
            <w:tcBorders>
              <w:bottom w:val="single" w:sz="8" w:color="auto"/>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Prescott Group Aggressive Small Cap, L.P.</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Borders>
              <w:lef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860" w:type="dxa"/>
            <w:vAlign w:val="bottom"/>
            <w:tcBorders>
              <w:right w:val="single" w:sz="8" w:color="auto"/>
            </w:tcBorders>
            <w:gridSpan w:val="5"/>
          </w:tcPr>
          <w:p>
            <w:pPr>
              <w:ind w:left="18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State of Oklahoma</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2"/>
              </w:rPr>
              <w:t>SHARES</w:t>
            </w: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5,132,928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5"/>
                <w:szCs w:val="15"/>
                <w:color w:val="auto"/>
              </w:rPr>
            </w:pPr>
          </w:p>
        </w:tc>
        <w:tc>
          <w:tcPr>
            <w:tcW w:w="930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2"/>
              </w:rPr>
              <w:t>PERSON</w:t>
            </w:r>
          </w:p>
        </w:tc>
        <w:tc>
          <w:tcPr>
            <w:tcW w:w="8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2"/>
                <w:szCs w:val="12"/>
                <w:color w:val="auto"/>
              </w:rPr>
            </w:pPr>
          </w:p>
        </w:tc>
        <w:tc>
          <w:tcPr>
            <w:tcW w:w="9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4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5,132,928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79"/>
              </w:rPr>
              <w:t>AGGREGATE</w:t>
            </w:r>
          </w:p>
        </w:tc>
        <w:tc>
          <w:tcPr>
            <w:tcW w:w="360" w:type="dxa"/>
            <w:vAlign w:val="bottom"/>
          </w:tcPr>
          <w:p>
            <w:pPr>
              <w:spacing w:after="0"/>
              <w:rPr>
                <w:sz w:val="20"/>
                <w:szCs w:val="20"/>
                <w:color w:val="auto"/>
              </w:rPr>
            </w:pPr>
          </w:p>
        </w:tc>
        <w:tc>
          <w:tcPr>
            <w:tcW w:w="9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5,132,928</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right w:val="single" w:sz="8" w:color="auto"/>
            </w:tcBorders>
          </w:tcPr>
          <w:p>
            <w:pPr>
              <w:spacing w:after="0"/>
              <w:rPr>
                <w:sz w:val="19"/>
                <w:szCs w:val="19"/>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5"/>
              </w:rPr>
              <w:t>PN</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82" w:lineRule="auto"/>
        <w:tabs>
          <w:tab w:leader="none" w:pos="4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4(b).</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40"/>
          </w:cols>
          <w:pgMar w:left="240" w:top="270"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140" w:type="dxa"/>
            <w:vAlign w:val="bottom"/>
            <w:gridSpan w:val="7"/>
          </w:tcPr>
          <w:p>
            <w:pPr>
              <w:jc w:val="center"/>
              <w:ind w:right="330"/>
              <w:spacing w:after="0"/>
              <w:rPr>
                <w:sz w:val="20"/>
                <w:szCs w:val="20"/>
                <w:color w:val="auto"/>
              </w:rPr>
            </w:pPr>
            <w:r>
              <w:rPr>
                <w:rFonts w:ascii="Times New Roman" w:cs="Times New Roman" w:eastAsia="Times New Roman" w:hAnsi="Times New Roman"/>
                <w:sz w:val="18"/>
                <w:szCs w:val="18"/>
                <w:color w:val="auto"/>
              </w:rPr>
              <w:t>CUSIP No. 25065K104</w:t>
            </w:r>
          </w:p>
        </w:tc>
        <w:tc>
          <w:tcPr>
            <w:tcW w:w="930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13G/A</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40" w:type="dxa"/>
            <w:vAlign w:val="bottom"/>
            <w:tcBorders>
              <w:lef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6"/>
                <w:szCs w:val="16"/>
                <w:color w:val="auto"/>
              </w:rPr>
            </w:pPr>
          </w:p>
        </w:tc>
        <w:tc>
          <w:tcPr>
            <w:tcW w:w="10860" w:type="dxa"/>
            <w:vAlign w:val="bottom"/>
            <w:tcBorders>
              <w:right w:val="single" w:sz="8" w:color="auto"/>
            </w:tcBorders>
            <w:gridSpan w:val="5"/>
          </w:tcPr>
          <w:p>
            <w:pPr>
              <w:ind w:left="18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860" w:type="dxa"/>
            <w:vAlign w:val="bottom"/>
            <w:tcBorders>
              <w:bottom w:val="single" w:sz="8" w:color="auto"/>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Prescott Group Aggressive Small Cap II, L.P.</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Borders>
              <w:lef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860" w:type="dxa"/>
            <w:vAlign w:val="bottom"/>
            <w:tcBorders>
              <w:right w:val="single" w:sz="8" w:color="auto"/>
            </w:tcBorders>
            <w:gridSpan w:val="5"/>
          </w:tcPr>
          <w:p>
            <w:pPr>
              <w:ind w:left="18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State of Oklahoma</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2"/>
              </w:rPr>
              <w:t>SHARES</w:t>
            </w: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5,132,928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5"/>
                <w:szCs w:val="15"/>
                <w:color w:val="auto"/>
              </w:rPr>
            </w:pPr>
          </w:p>
        </w:tc>
        <w:tc>
          <w:tcPr>
            <w:tcW w:w="930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2"/>
              </w:rPr>
              <w:t>PERSON</w:t>
            </w:r>
          </w:p>
        </w:tc>
        <w:tc>
          <w:tcPr>
            <w:tcW w:w="8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2"/>
                <w:szCs w:val="12"/>
                <w:color w:val="auto"/>
              </w:rPr>
            </w:pPr>
          </w:p>
        </w:tc>
        <w:tc>
          <w:tcPr>
            <w:tcW w:w="9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4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5,132,928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79"/>
              </w:rPr>
              <w:t>AGGREGATE</w:t>
            </w:r>
          </w:p>
        </w:tc>
        <w:tc>
          <w:tcPr>
            <w:tcW w:w="360" w:type="dxa"/>
            <w:vAlign w:val="bottom"/>
          </w:tcPr>
          <w:p>
            <w:pPr>
              <w:spacing w:after="0"/>
              <w:rPr>
                <w:sz w:val="20"/>
                <w:szCs w:val="20"/>
                <w:color w:val="auto"/>
              </w:rPr>
            </w:pPr>
          </w:p>
        </w:tc>
        <w:tc>
          <w:tcPr>
            <w:tcW w:w="9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5,132,928</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right w:val="single" w:sz="8" w:color="auto"/>
            </w:tcBorders>
          </w:tcPr>
          <w:p>
            <w:pPr>
              <w:spacing w:after="0"/>
              <w:rPr>
                <w:sz w:val="19"/>
                <w:szCs w:val="19"/>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5"/>
              </w:rPr>
              <w:t>PN</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82" w:lineRule="auto"/>
        <w:tabs>
          <w:tab w:leader="none" w:pos="4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4(b).</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40"/>
          </w:cols>
          <w:pgMar w:left="240" w:top="270"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100" w:type="dxa"/>
            <w:vAlign w:val="bottom"/>
            <w:gridSpan w:val="7"/>
          </w:tcPr>
          <w:p>
            <w:pPr>
              <w:jc w:val="center"/>
              <w:ind w:right="290"/>
              <w:spacing w:after="0"/>
              <w:rPr>
                <w:sz w:val="20"/>
                <w:szCs w:val="20"/>
                <w:color w:val="auto"/>
              </w:rPr>
            </w:pPr>
            <w:r>
              <w:rPr>
                <w:rFonts w:ascii="Times New Roman" w:cs="Times New Roman" w:eastAsia="Times New Roman" w:hAnsi="Times New Roman"/>
                <w:sz w:val="18"/>
                <w:szCs w:val="18"/>
                <w:color w:val="auto"/>
              </w:rPr>
              <w:t>CUSIP No. 25065K104</w:t>
            </w:r>
          </w:p>
        </w:tc>
        <w:tc>
          <w:tcPr>
            <w:tcW w:w="934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13G/A</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40" w:type="dxa"/>
            <w:vAlign w:val="bottom"/>
            <w:tcBorders>
              <w:lef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6"/>
                <w:szCs w:val="16"/>
                <w:color w:val="auto"/>
              </w:rPr>
            </w:pPr>
          </w:p>
        </w:tc>
        <w:tc>
          <w:tcPr>
            <w:tcW w:w="10860" w:type="dxa"/>
            <w:vAlign w:val="bottom"/>
            <w:tcBorders>
              <w:right w:val="single" w:sz="8" w:color="auto"/>
            </w:tcBorders>
            <w:gridSpan w:val="5"/>
          </w:tcPr>
          <w:p>
            <w:pPr>
              <w:ind w:left="18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Phil Frohlich</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Borders>
              <w:lef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860" w:type="dxa"/>
            <w:vAlign w:val="bottom"/>
            <w:tcBorders>
              <w:right w:val="single" w:sz="8" w:color="auto"/>
            </w:tcBorders>
            <w:gridSpan w:val="5"/>
          </w:tcPr>
          <w:p>
            <w:pPr>
              <w:ind w:left="18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U.S. Citizen</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9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5,132,928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2"/>
              </w:rPr>
              <w:t>SHARES</w:t>
            </w: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9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5"/>
                <w:szCs w:val="15"/>
                <w:color w:val="auto"/>
              </w:rPr>
            </w:pPr>
          </w:p>
        </w:tc>
        <w:tc>
          <w:tcPr>
            <w:tcW w:w="934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2"/>
              </w:rPr>
              <w:t>PERSON</w:t>
            </w:r>
          </w:p>
        </w:tc>
        <w:tc>
          <w:tcPr>
            <w:tcW w:w="8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5,132,928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2"/>
                <w:szCs w:val="12"/>
                <w:color w:val="auto"/>
              </w:rPr>
            </w:pPr>
          </w:p>
        </w:tc>
        <w:tc>
          <w:tcPr>
            <w:tcW w:w="9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4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79"/>
              </w:rPr>
              <w:t>AGGREGATE</w:t>
            </w:r>
          </w:p>
        </w:tc>
        <w:tc>
          <w:tcPr>
            <w:tcW w:w="360" w:type="dxa"/>
            <w:vAlign w:val="bottom"/>
          </w:tcPr>
          <w:p>
            <w:pPr>
              <w:spacing w:after="0"/>
              <w:rPr>
                <w:sz w:val="20"/>
                <w:szCs w:val="20"/>
                <w:color w:val="auto"/>
              </w:rPr>
            </w:pPr>
          </w:p>
        </w:tc>
        <w:tc>
          <w:tcPr>
            <w:tcW w:w="9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5,132,928</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right w:val="single" w:sz="8" w:color="auto"/>
            </w:tcBorders>
          </w:tcPr>
          <w:p>
            <w:pPr>
              <w:spacing w:after="0"/>
              <w:rPr>
                <w:sz w:val="19"/>
                <w:szCs w:val="19"/>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20"/>
                <w:szCs w:val="20"/>
                <w:color w:val="auto"/>
              </w:rPr>
            </w:pPr>
          </w:p>
        </w:tc>
        <w:tc>
          <w:tcPr>
            <w:tcW w:w="108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82" w:lineRule="auto"/>
        <w:tabs>
          <w:tab w:leader="none" w:pos="4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4(b).</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40"/>
          </w:cols>
          <w:pgMar w:left="240" w:top="270" w:right="2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13G/A</w:t>
      </w:r>
    </w:p>
    <w:p>
      <w:pPr>
        <w:spacing w:after="0" w:line="229"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This Amendment No. 2 (this “Amendment”) to the Schedule 13G (the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and Mr. Phil Frohlich the principal of Prescott Capital, relating to Common Stock, $0.01 par value (the “Common Stock”), of Destination XL Group, Inc., a Delaware corporation (the “Issuer”).</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Amendment relates to shares of Common Stock of the Issuer purchased by the Small Cap Funds through the account of Prescott Group Aggressive Small Cap Master Fund, G.P., an Oklahoma general partnership (“Prescott Master Fund”), of which the Small Cap Funds are general partners. Prescott Capital serves as the general partner of the Small Cap Funds and may direct the Small Cap Funds, the general partners of Prescott Master Fund, to direct the vote and disposition of the 5,132,928 shares of Common Stock held by Prescott Master Fund. As the principal of Prescott Capital, Mr. Frohlich may direct the vote and disposition of the 5,132,928 shares of Common Stock held by Prescott Master Fund.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Amendment amends and restates the Schedule 13G as follows.</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35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121" w:lineRule="exact"/>
        <w:rPr>
          <w:sz w:val="20"/>
          <w:szCs w:val="20"/>
          <w:color w:val="auto"/>
        </w:rPr>
      </w:pPr>
    </w:p>
    <w:p>
      <w:pPr>
        <w:ind w:left="1040" w:right="140"/>
        <w:spacing w:after="0" w:line="266" w:lineRule="auto"/>
        <w:rPr>
          <w:sz w:val="20"/>
          <w:szCs w:val="20"/>
          <w:color w:val="auto"/>
        </w:rPr>
      </w:pPr>
      <w:r>
        <w:rPr>
          <w:rFonts w:ascii="Times New Roman" w:cs="Times New Roman" w:eastAsia="Times New Roman" w:hAnsi="Times New Roman"/>
          <w:sz w:val="18"/>
          <w:szCs w:val="18"/>
          <w:color w:val="auto"/>
        </w:rPr>
        <w:t>Prescott Group Capital Management, L.L.C. (“Prescott Capital”), Prescott Group Aggressive Small Cap, L.P. (“Prescott Small Cap”), Prescott Group Aggressive Small Cap II, L.P. (“Prescott Small Cap II” and, together with Prescott Small Cap, the “Small Cap Funds”) and Mr. Phil Frohlich.</w:t>
      </w: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1924 South Utica, Suite 1120</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Tulsa, Oklahoma 74104-6529</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66" w:right="239" w:bottom="1440" w:gutter="0" w:footer="0" w:header="0"/>
        </w:sectPr>
      </w:pPr>
    </w:p>
    <w:bookmarkStart w:id="6" w:name="page7"/>
    <w:bookmarkEnd w:id="6"/>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2(c)</w:t>
      </w:r>
      <w:r>
        <w:rPr>
          <w:sz w:val="20"/>
          <w:szCs w:val="20"/>
          <w:color w:val="auto"/>
        </w:rPr>
        <w:tab/>
      </w:r>
      <w:r>
        <w:rPr>
          <w:rFonts w:ascii="Times New Roman" w:cs="Times New Roman" w:eastAsia="Times New Roman" w:hAnsi="Times New Roman"/>
          <w:sz w:val="17"/>
          <w:szCs w:val="17"/>
          <w:b w:val="1"/>
          <w:bCs w:val="1"/>
          <w:color w:val="auto"/>
        </w:rPr>
        <w:t>Citizenship or Place of Organization.</w:t>
      </w:r>
    </w:p>
    <w:p>
      <w:pPr>
        <w:spacing w:after="0" w:line="121" w:lineRule="exact"/>
        <w:rPr>
          <w:sz w:val="20"/>
          <w:szCs w:val="20"/>
          <w:color w:val="auto"/>
        </w:rPr>
      </w:pPr>
    </w:p>
    <w:p>
      <w:pPr>
        <w:ind w:left="1040" w:right="180"/>
        <w:spacing w:after="0" w:line="282" w:lineRule="auto"/>
        <w:rPr>
          <w:sz w:val="20"/>
          <w:szCs w:val="20"/>
          <w:color w:val="auto"/>
        </w:rPr>
      </w:pPr>
      <w:r>
        <w:rPr>
          <w:rFonts w:ascii="Times New Roman" w:cs="Times New Roman" w:eastAsia="Times New Roman" w:hAnsi="Times New Roman"/>
          <w:sz w:val="18"/>
          <w:szCs w:val="18"/>
          <w:color w:val="auto"/>
        </w:rPr>
        <w:t>Prescott Capital is an Oklahoma limited liability company. The Small Cap Funds are Oklahoma limited partnerships. Mr. Phil Frohlich is the principal of Prescott Capital and is a U.S. citizen.</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Common Stock, $0.01 par value (the “Common Stock”).</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25065K104</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Reporting 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check whether the person filing is a:</w:t>
      </w:r>
    </w:p>
    <w:p>
      <w:pPr>
        <w:spacing w:after="0" w:line="228" w:lineRule="exact"/>
        <w:rPr>
          <w:sz w:val="20"/>
          <w:szCs w:val="20"/>
          <w:color w:val="auto"/>
        </w:rPr>
      </w:pPr>
    </w:p>
    <w:p>
      <w:pPr>
        <w:ind w:left="780" w:hanging="421"/>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780" w:hanging="421"/>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780" w:hanging="421"/>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780" w:hanging="421"/>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780" w:hanging="421"/>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advisor in accordance with §240.13d-1(b)(1)(ii)(E).</w:t>
      </w:r>
    </w:p>
    <w:p>
      <w:pPr>
        <w:spacing w:after="0" w:line="117" w:lineRule="exact"/>
        <w:rPr>
          <w:rFonts w:ascii="Times New Roman" w:cs="Times New Roman" w:eastAsia="Times New Roman" w:hAnsi="Times New Roman"/>
          <w:sz w:val="18"/>
          <w:szCs w:val="18"/>
          <w:color w:val="auto"/>
        </w:rPr>
      </w:pPr>
    </w:p>
    <w:p>
      <w:pPr>
        <w:ind w:left="780" w:hanging="421"/>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780" w:hanging="421"/>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780" w:hanging="421"/>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160" w:hanging="801"/>
        <w:spacing w:after="0" w:line="239" w:lineRule="exact"/>
        <w:tabs>
          <w:tab w:leader="none" w:pos="782"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Times New Roman" w:cs="Times New Roman" w:eastAsia="Times New Roman" w:hAnsi="Times New Roman"/>
          <w:sz w:val="18"/>
          <w:szCs w:val="18"/>
          <w:color w:val="auto"/>
        </w:rPr>
      </w:pPr>
    </w:p>
    <w:p>
      <w:pPr>
        <w:ind w:left="780" w:hanging="421"/>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40"/>
          </w:cols>
          <w:pgMar w:left="240" w:top="266" w:right="319" w:bottom="1440" w:gutter="0" w:footer="0" w:header="0"/>
        </w:sectPr>
      </w:pPr>
    </w:p>
    <w:bookmarkStart w:id="7" w:name="page8"/>
    <w:bookmarkEnd w:id="7"/>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135" w:lineRule="exact"/>
        <w:rPr>
          <w:sz w:val="20"/>
          <w:szCs w:val="20"/>
          <w:color w:val="auto"/>
        </w:rPr>
      </w:pPr>
    </w:p>
    <w:p>
      <w:pPr>
        <w:ind w:left="1480" w:right="260" w:hanging="567"/>
        <w:spacing w:after="0" w:line="282"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Prescott Capital is the beneficial owner of 5,132,928 shares of Common Stock. Mr. Phil Frohlich is the beneficial owner of 5,132,928 shares of Common Stock.</w:t>
      </w:r>
    </w:p>
    <w:p>
      <w:pPr>
        <w:spacing w:after="0" w:line="67" w:lineRule="exact"/>
        <w:rPr>
          <w:rFonts w:ascii="Times New Roman" w:cs="Times New Roman" w:eastAsia="Times New Roman" w:hAnsi="Times New Roman"/>
          <w:sz w:val="18"/>
          <w:szCs w:val="18"/>
          <w:color w:val="auto"/>
        </w:rPr>
      </w:pPr>
    </w:p>
    <w:p>
      <w:pPr>
        <w:ind w:left="1480" w:right="140" w:hanging="567"/>
        <w:spacing w:after="0" w:line="261"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Prescott Capital is the beneficial owner of 10.4% of the outstanding shares of Common Stock. Mr. Phil Frohlich is the beneficial owner of 10.4% of the outstanding shares of Common Stock. These percentages are determined by dividing the number of shares of Common Stock beneficially owned by each of the Reporting Persons by 49,478,819, the number of shares of Common Stock issued and outstanding as of November 16, 2018, as reported in the Issuer’s 10-Q filed on November 30, 2018.</w:t>
      </w:r>
    </w:p>
    <w:p>
      <w:pPr>
        <w:spacing w:after="0" w:line="85" w:lineRule="exact"/>
        <w:rPr>
          <w:rFonts w:ascii="Times New Roman" w:cs="Times New Roman" w:eastAsia="Times New Roman" w:hAnsi="Times New Roman"/>
          <w:sz w:val="18"/>
          <w:szCs w:val="18"/>
          <w:color w:val="auto"/>
        </w:rPr>
      </w:pPr>
    </w:p>
    <w:p>
      <w:pPr>
        <w:ind w:left="1480" w:hanging="567"/>
        <w:spacing w:after="0" w:line="261"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Prescott Capital, as the general partner of the Small Cap Funds, the general partners of Prescott Master Fund, may direct the Small Cap Funds to direct the vote and disposition of the 5,132,928 shares of Common Stock held by Prescott Master Fund. As the principal of Prescott Capital, Mr. Phil Frohlich may direct the vote and disposition of the 5,132,928 shares of Common Stock held by Prescott Master Fund.</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121" w:lineRule="exact"/>
        <w:rPr>
          <w:sz w:val="20"/>
          <w:szCs w:val="20"/>
          <w:color w:val="auto"/>
        </w:rPr>
      </w:pPr>
    </w:p>
    <w:p>
      <w:pPr>
        <w:ind w:left="1040" w:right="1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266" w:right="299" w:bottom="1440" w:gutter="0" w:footer="0" w:header="0"/>
        </w:sectPr>
      </w:pPr>
    </w:p>
    <w:bookmarkStart w:id="8" w:name="page9"/>
    <w:bookmarkEnd w:id="8"/>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2019</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Prescott Group Capital Management,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Prescott Group Aggressive Small Cap,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By: Prescott Group Capital Management, L.L.C., its general</w:t>
      </w:r>
    </w:p>
    <w:p>
      <w:pPr>
        <w:spacing w:after="0" w:line="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Prescott Group Aggressive Small Cap II,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By: Prescott Group Capital Management, L.L.C., its general</w:t>
      </w:r>
    </w:p>
    <w:p>
      <w:pPr>
        <w:spacing w:after="0" w:line="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Phil Frohlich</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PHIL FROHLICH, Managing Member</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Phil Frohlich</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00"/>
      </w:cols>
      <w:pgMar w:left="2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2019-12-05T00:02:23Z</dcterms:created>
  <dcterms:modified xsi:type="dcterms:W3CDTF">2019-12-05T00:02:23Z</dcterms:modified>
</cp:coreProperties>
</file>