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Stratton Peter H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237,163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for time-based compensation granted to the Reporting Person on May 1, 2023 under the 2023-2025 Long-Term Incentive Compensation Plan. The remaining RSUs vest and become exercisable on April 1, 2025, April 1, 2026 and April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as defined in the Company's 2016 Incentive Compensation Plan, represents a contingent right to receive one share of DXLG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Peter H. Stratton,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70555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3501</Characters>
  <CharactersWithSpaces>4075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