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574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5745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PORTER GEORGE T JR</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20" w:type="dxa"/>
            <w:vAlign w:val="bottom"/>
          </w:tcPr>
          <w:p>
            <w:pPr>
              <w:ind w:left="280"/>
              <w:spacing w:after="0"/>
              <w:rPr>
                <w:sz w:val="20"/>
                <w:szCs w:val="20"/>
                <w:color w:val="auto"/>
              </w:rPr>
            </w:pPr>
            <w:r>
              <w:rPr>
                <w:rFonts w:ascii="Arial" w:cs="Arial" w:eastAsia="Arial" w:hAnsi="Arial"/>
                <w:sz w:val="17"/>
                <w:szCs w:val="17"/>
                <w:color w:val="0000FF"/>
              </w:rPr>
              <w:t>MA</w:t>
            </w:r>
          </w:p>
        </w:tc>
        <w:tc>
          <w:tcPr>
            <w:tcW w:w="166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00" w:type="dxa"/>
            <w:vAlign w:val="bottom"/>
            <w:tcBorders>
              <w:top w:val="single" w:sz="8" w:color="0000EE"/>
            </w:tcBorders>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07/29/2016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9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2"/>
              </w:rPr>
              <w:t>(Instr. 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5.15</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0000FF"/>
              </w:rPr>
              <w:t>07/29/2016</w:t>
            </w:r>
          </w:p>
        </w:tc>
        <w:tc>
          <w:tcPr>
            <w:tcW w:w="1120" w:type="dxa"/>
            <w:vAlign w:val="bottom"/>
          </w:tcPr>
          <w:p>
            <w:pPr>
              <w:spacing w:after="0"/>
              <w:rPr>
                <w:sz w:val="16"/>
                <w:szCs w:val="16"/>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380" w:type="dxa"/>
            <w:vAlign w:val="bottom"/>
            <w:vMerge w:val="restart"/>
          </w:tcPr>
          <w:p>
            <w:pPr>
              <w:ind w:left="80"/>
              <w:spacing w:after="0"/>
              <w:rPr>
                <w:sz w:val="20"/>
                <w:szCs w:val="20"/>
                <w:color w:val="auto"/>
              </w:rPr>
            </w:pPr>
            <w:r>
              <w:rPr>
                <w:rFonts w:ascii="Arial" w:cs="Arial" w:eastAsia="Arial" w:hAnsi="Arial"/>
                <w:sz w:val="13"/>
                <w:szCs w:val="13"/>
                <w:color w:val="0000FF"/>
                <w:w w:val="85"/>
              </w:rPr>
              <w:t>2,481</w:t>
            </w: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2,481</w:t>
            </w: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5.15</w:t>
            </w:r>
          </w:p>
        </w:tc>
        <w:tc>
          <w:tcPr>
            <w:tcW w:w="960" w:type="dxa"/>
            <w:vAlign w:val="bottom"/>
            <w:vMerge w:val="restart"/>
          </w:tcPr>
          <w:p>
            <w:pPr>
              <w:ind w:left="340"/>
              <w:spacing w:after="0"/>
              <w:rPr>
                <w:sz w:val="20"/>
                <w:szCs w:val="20"/>
                <w:color w:val="auto"/>
              </w:rPr>
            </w:pPr>
            <w:r>
              <w:rPr>
                <w:rFonts w:ascii="Arial" w:cs="Arial" w:eastAsia="Arial" w:hAnsi="Arial"/>
                <w:sz w:val="13"/>
                <w:szCs w:val="13"/>
                <w:color w:val="0000FF"/>
              </w:rPr>
              <w:t>2,481</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90"/>
              </w:rPr>
              <w:t>By Trust</w:t>
            </w: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008000"/>
                <w:w w:val="88"/>
              </w:rPr>
              <w:t>(4)</w:t>
            </w: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w:t>
      </w:r>
    </w:p>
    <w:p>
      <w:pPr>
        <w:spacing w:after="0" w:line="50" w:lineRule="exact"/>
        <w:rPr>
          <w:rFonts w:ascii="Arial" w:cs="Arial" w:eastAsia="Arial" w:hAnsi="Arial"/>
          <w:sz w:val="13"/>
          <w:szCs w:val="13"/>
          <w:color w:val="008000"/>
        </w:rPr>
      </w:pPr>
    </w:p>
    <w:p>
      <w:pPr>
        <w:ind w:left="40" w:right="1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Amended and Restated Non-Employee Director Compensation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by the George Porter Trust Dated December 13, 2006, and the Reporting Person is the trustee of the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1" w:lineRule="auto"/>
        <w:rPr>
          <w:sz w:val="20"/>
          <w:szCs w:val="20"/>
          <w:color w:val="auto"/>
        </w:rPr>
      </w:pPr>
      <w:r>
        <w:rPr>
          <w:rFonts w:ascii="Arial" w:cs="Arial" w:eastAsia="Arial" w:hAnsi="Arial"/>
          <w:sz w:val="17"/>
          <w:szCs w:val="17"/>
          <w:color w:val="0000FF"/>
        </w:rPr>
        <w:t xml:space="preserve">Robert S. Molloy, Attorney-in-  </w:t>
      </w:r>
      <w:r>
        <w:rPr>
          <w:rFonts w:ascii="Arial" w:cs="Arial" w:eastAsia="Arial" w:hAnsi="Arial"/>
          <w:sz w:val="34"/>
          <w:szCs w:val="34"/>
          <w:color w:val="0000FF"/>
          <w:vertAlign w:val="subscript"/>
        </w:rPr>
        <w:t>08/02/2016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-27940</wp:posOffset>
            </wp:positionV>
            <wp:extent cx="1369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for George T. Porter,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-16510</wp:posOffset>
            </wp:positionV>
            <wp:extent cx="1259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-84455</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2019-12-23T15:09:00Z</dcterms:created>
  <dcterms:modified xsi:type="dcterms:W3CDTF">2019-12-23T15:09:00Z</dcterms:modified>
</cp:coreProperties>
</file>