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MESDAG WILLEM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RED MOUNTAIN CAPITAL MANAGEMENT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1999 AVENUE OF THE STARS, STE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DESTINATION XL GROUP, INC.</w:t>
              </w:r>
            </w:hyperlink>
            <w:r>
              <w:rPr/>
              <w:t xml:space="preserve"> [ </w:t>
            </w:r>
            <w:r>
              <w:rPr>
                <w:rFonts w:ascii="Times;serif" w:hAnsi="Times;serif"/>
                <w:color w:val="0000FF"/>
                <w:sz w:val="24"/>
                <w:shd w:fill="FFFFFF" w:val="clear"/>
              </w:rPr>
              <w:t>DXLG</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2,593,758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9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8,713</w:t>
            </w:r>
            <w:r>
              <w:rPr>
                <w:rFonts w:ascii="Times;serif" w:hAnsi="Times;serif"/>
                <w:color w:val="008000"/>
                <w:position w:val="7"/>
                <w:sz w:val="16"/>
                <w:sz w:val="20"/>
                <w:shd w:fill="FFFFFF" w:val="clear"/>
              </w:rPr>
              <w:t>(4)</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Person's ownership includes (i) 420,286 shares held by the Mesdag Family Limited Partnership, (ii) 97,529 shares held by the Mesdag Family Foundation, (iii) 44,746 shares held by the 2012 Mesdag Trust, (iv) 1,763,373 shares held by Red Mountain Capital Partners LLC, and (v) 267,824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Deferred Stock Units (DSUs) issued pursuant to the Director's elected form of compensation for quarterly annual retainer and committee chairperson fee.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per share value is determined by the closing price of the Company's common stock on February 2,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DSU is credited to the Reporting Person under the Company's Director Plan (the "Director Plan"). Each DSU represents ownership equivalent to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DSUs credited under the Director Plan are payable in the form elected or provided under the Director Plan on the earlier of (i) The Reporting Person's date of separation of service, or (ii) upon death, disability or change in control as defined under the Director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Willem Mesdag (on behalf of himself and the other Reporting Persons)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74566" TargetMode="External"/><Relationship Id="rId4" Type="http://schemas.openxmlformats.org/officeDocument/2006/relationships/hyperlink" Target="http://www.sec.gov/cgi-bin/browse-edgar?action=getcompany&amp;CIK=000081329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811</Words>
  <Characters>4380</Characters>
  <CharactersWithSpaces>5125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