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13G/A</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148711302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4896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84" w:lineRule="exact"/>
        <w:rPr>
          <w:sz w:val="20"/>
          <w:szCs w:val="20"/>
          <w:color w:val="auto"/>
        </w:rPr>
      </w:pPr>
    </w:p>
    <w:p>
      <w:pPr>
        <w:ind w:left="22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Advisors, LLC</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3"/>
                <w:szCs w:val="23"/>
                <w:color w:val="auto"/>
              </w:rPr>
            </w:pPr>
          </w:p>
        </w:tc>
        <w:tc>
          <w:tcPr>
            <w:tcW w:w="10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4,407,141</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101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4,407,141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2"/>
              </w:rPr>
              <w:t>With:</w:t>
            </w: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98"/>
              </w:rPr>
              <w:t>Aggregate</w:t>
            </w:r>
          </w:p>
        </w:tc>
        <w:tc>
          <w:tcPr>
            <w:tcW w:w="101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4,407,141</w:t>
            </w: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10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7"/>
              </w:rPr>
              <w:t>9.1%</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IA,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4896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84" w:lineRule="exact"/>
        <w:rPr>
          <w:sz w:val="20"/>
          <w:szCs w:val="20"/>
          <w:color w:val="auto"/>
        </w:rPr>
      </w:pPr>
    </w:p>
    <w:p>
      <w:pPr>
        <w:ind w:left="22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Glenn J. Krevlin</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3"/>
                <w:szCs w:val="23"/>
                <w:color w:val="auto"/>
              </w:rPr>
            </w:pPr>
          </w:p>
        </w:tc>
        <w:tc>
          <w:tcPr>
            <w:tcW w:w="10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4,407,141</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101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4,407,141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2"/>
              </w:rPr>
              <w:t>With:</w:t>
            </w: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98"/>
              </w:rPr>
              <w:t>Aggregate</w:t>
            </w:r>
          </w:p>
        </w:tc>
        <w:tc>
          <w:tcPr>
            <w:tcW w:w="101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4,407,141</w:t>
            </w: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10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7"/>
              </w:rPr>
              <w:t>9.1%</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IN,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4896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84" w:lineRule="exact"/>
        <w:rPr>
          <w:sz w:val="20"/>
          <w:szCs w:val="20"/>
          <w:color w:val="auto"/>
        </w:rPr>
      </w:pPr>
    </w:p>
    <w:p>
      <w:pPr>
        <w:ind w:left="22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Advisors, LLC</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3"/>
                <w:szCs w:val="23"/>
                <w:color w:val="auto"/>
              </w:rPr>
            </w:pPr>
          </w:p>
        </w:tc>
        <w:tc>
          <w:tcPr>
            <w:tcW w:w="10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4,407,141</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101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2"/>
              </w:rPr>
              <w:t>With:</w:t>
            </w: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4,407,141</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98"/>
              </w:rPr>
              <w:t>Aggregate</w:t>
            </w:r>
          </w:p>
        </w:tc>
        <w:tc>
          <w:tcPr>
            <w:tcW w:w="101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4,407,141</w:t>
            </w: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10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7"/>
              </w:rPr>
              <w:t>9.1%</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IA,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4896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84" w:lineRule="exact"/>
        <w:rPr>
          <w:sz w:val="20"/>
          <w:szCs w:val="20"/>
          <w:color w:val="auto"/>
        </w:rPr>
      </w:pPr>
    </w:p>
    <w:p>
      <w:pPr>
        <w:ind w:left="22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Management, LLC</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3"/>
                <w:szCs w:val="23"/>
                <w:color w:val="auto"/>
              </w:rPr>
            </w:pPr>
          </w:p>
        </w:tc>
        <w:tc>
          <w:tcPr>
            <w:tcW w:w="10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4,407,141</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101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2"/>
              </w:rPr>
              <w:t>With:</w:t>
            </w: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4,407,141</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98"/>
              </w:rPr>
              <w:t>Aggregate</w:t>
            </w:r>
          </w:p>
        </w:tc>
        <w:tc>
          <w:tcPr>
            <w:tcW w:w="101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4,407,141</w:t>
            </w: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10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7"/>
              </w:rPr>
              <w:t>9.1%</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IA,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4896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84" w:lineRule="exact"/>
        <w:rPr>
          <w:sz w:val="20"/>
          <w:szCs w:val="20"/>
          <w:color w:val="auto"/>
        </w:rPr>
      </w:pPr>
    </w:p>
    <w:p>
      <w:pPr>
        <w:ind w:left="22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Overseas Master Fund, LP</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3"/>
                <w:szCs w:val="23"/>
                <w:color w:val="auto"/>
              </w:rPr>
            </w:pPr>
          </w:p>
        </w:tc>
        <w:tc>
          <w:tcPr>
            <w:tcW w:w="10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Cayman</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3,200,600</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101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2"/>
              </w:rPr>
              <w:t>With:</w:t>
            </w: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3,200,600</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98"/>
              </w:rPr>
              <w:t>Aggregate</w:t>
            </w:r>
          </w:p>
        </w:tc>
        <w:tc>
          <w:tcPr>
            <w:tcW w:w="101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3,200,600</w:t>
            </w: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10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7"/>
              </w:rPr>
              <w:t>6.6%</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PN</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Name of Issuer:</w:t>
            </w: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Casual Male Retail Group, Inc.</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555 Turnpike Street</w:t>
            </w: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Canton, MA 02021</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Name of Person Filing:</w:t>
            </w: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96"/>
              </w:rPr>
              <w:t>Glenhill Advisors, LLC, Glenn J. Krevlin, Glenhill Capital Advisors, LLC, Glenhill Capital Management, LLC and</w:t>
            </w: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Glenhill Capital Overseas Master Fund, LP.</w:t>
            </w: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90"/>
              </w:rPr>
              <w:t>Glenn J. Krevlin, is the managing member and control person of Glenhill Advisors, LLC, and is the sole shareholder of</w:t>
            </w:r>
          </w:p>
        </w:tc>
      </w:tr>
      <w:tr>
        <w:trPr>
          <w:trHeight w:val="216"/>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90"/>
              </w:rPr>
              <w:t>Krevlin Management, Inc. Krevlin Management, Inc. is the managing member of Glenhill Capital Advisors, LLC, which</w:t>
            </w:r>
          </w:p>
        </w:tc>
      </w:tr>
      <w:tr>
        <w:trPr>
          <w:trHeight w:val="216"/>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89"/>
              </w:rPr>
              <w:t>is the investment manager of Glenhill Capital Overseas Master Fund, LP and Glenhill Concentrated Long Master Fund,</w:t>
            </w:r>
          </w:p>
        </w:tc>
      </w:tr>
      <w:tr>
        <w:trPr>
          <w:trHeight w:val="216"/>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98"/>
              </w:rPr>
              <w:t>LLC, each a security holder of the Issuer. Glenhill Advisors, LLC is the managing member of Glenhill Capital</w:t>
            </w:r>
          </w:p>
        </w:tc>
      </w:tr>
      <w:tr>
        <w:trPr>
          <w:trHeight w:val="216"/>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90"/>
              </w:rPr>
              <w:t>Management, LLC. Glenhill Capital Management, LLC is the managing member of Glenhill Concentrated Long Master</w:t>
            </w:r>
          </w:p>
        </w:tc>
      </w:tr>
      <w:tr>
        <w:trPr>
          <w:trHeight w:val="216"/>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90"/>
              </w:rPr>
              <w:t>Fund, LLC, and sole shareholder of Glenhill Capital Overseas GP, Ltd., which is the general partner of Glenhill Capital</w:t>
            </w: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Overseas Master Fund, LP.</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1"/>
                <w:szCs w:val="11"/>
                <w:color w:val="auto"/>
              </w:rPr>
              <w:t>th</w:t>
            </w:r>
            <w:r>
              <w:rPr>
                <w:rFonts w:ascii="Arial" w:cs="Arial" w:eastAsia="Arial" w:hAnsi="Arial"/>
                <w:sz w:val="18"/>
                <w:szCs w:val="18"/>
                <w:color w:val="auto"/>
              </w:rPr>
              <w:t xml:space="preserve"> Floor</w:t>
            </w: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New York, NY 10020</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(c).</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Citizenship:</w:t>
            </w: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See the response(s) to Item 4 on the attached cover page(s).</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(d).</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Title of Class of Securities:</w:t>
            </w: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Common Stock</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(e).</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148711302</w:t>
            </w:r>
          </w:p>
        </w:tc>
      </w:tr>
    </w:tbl>
    <w:p>
      <w:pPr>
        <w:spacing w:after="0" w:line="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19"/>
          </w:cols>
          <w:pgMar w:left="240" w:top="274" w:right="1440" w:bottom="1440" w:gutter="0" w:footer="0" w:header="0"/>
        </w:sectPr>
      </w:pPr>
    </w:p>
    <w:bookmarkStart w:id="7" w:name="page8"/>
    <w:bookmarkEnd w:id="7"/>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720" w:right="659" w:firstLine="432"/>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78" w:lineRule="exact"/>
        <w:rPr>
          <w:sz w:val="20"/>
          <w:szCs w:val="20"/>
          <w:color w:val="auto"/>
        </w:rPr>
      </w:pPr>
    </w:p>
    <w:p>
      <w:pPr>
        <w:ind w:left="1020" w:hanging="31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020" w:right="579"/>
        <w:spacing w:after="0" w:line="306" w:lineRule="auto"/>
        <w:rPr>
          <w:rFonts w:ascii="Arial" w:cs="Arial" w:eastAsia="Arial" w:hAnsi="Arial"/>
          <w:sz w:val="18"/>
          <w:szCs w:val="18"/>
          <w:color w:val="auto"/>
        </w:rPr>
      </w:pPr>
      <w:r>
        <w:rPr>
          <w:rFonts w:ascii="Arial" w:cs="Arial" w:eastAsia="Arial" w:hAnsi="Arial"/>
          <w:sz w:val="16"/>
          <w:szCs w:val="16"/>
          <w:color w:val="auto"/>
        </w:rPr>
        <w:t>See the response(s) to Item 11 on the attached cover page(s), which was determined by dividing the number of shares beneficially held by the Reporting Person by 48,479,069, the number of shares of common stock issued and outstanding as reported in the Issuer’s Form 10-Q filed with the Securities and Exchange Commission on November 18, 2011.</w:t>
      </w:r>
    </w:p>
    <w:p>
      <w:pPr>
        <w:spacing w:after="0" w:line="52" w:lineRule="exact"/>
        <w:rPr>
          <w:rFonts w:ascii="Arial" w:cs="Arial" w:eastAsia="Arial" w:hAnsi="Arial"/>
          <w:sz w:val="18"/>
          <w:szCs w:val="18"/>
          <w:color w:val="auto"/>
        </w:rPr>
      </w:pPr>
    </w:p>
    <w:p>
      <w:pPr>
        <w:ind w:left="1020" w:hanging="31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See the response(s) to Item 8 on the attached cover page(s).</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39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3" w:lineRule="exact"/>
        <w:rPr>
          <w:sz w:val="20"/>
          <w:szCs w:val="20"/>
          <w:color w:val="auto"/>
        </w:rPr>
      </w:pPr>
    </w:p>
    <w:p>
      <w:pPr>
        <w:ind w:left="720" w:right="159"/>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274" w:right="1440" w:bottom="1440" w:gutter="0" w:footer="0" w:header="0"/>
        </w:sectPr>
      </w:pPr>
    </w:p>
    <w:bookmarkStart w:id="8" w:name="page9"/>
    <w:bookmarkEnd w:id="8"/>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14, 2012</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GLENHILL ADVISORS, LLC</w:t>
      </w: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GLENN J. KREVLIN</w:t>
      </w:r>
    </w:p>
    <w:p>
      <w:pPr>
        <w:spacing w:after="0" w:line="225"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Glenn J. Krevlin</w:t>
      </w:r>
    </w:p>
    <w:p>
      <w:pPr>
        <w:spacing w:after="0" w:line="15"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 GLENN J. KREVLIN</w:t>
      </w:r>
    </w:p>
    <w:p>
      <w:pPr>
        <w:spacing w:after="0" w:line="231"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Glenn J. Krevlin</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GLENHILL CAPITAL ADVISORS, LLC</w:t>
      </w:r>
    </w:p>
    <w:p>
      <w:pPr>
        <w:spacing w:after="0" w:line="231"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KREVLIN MANAGEMENT, INC.</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Managing Member</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GLENN J. KREVLIN</w:t>
      </w:r>
    </w:p>
    <w:p>
      <w:pPr>
        <w:spacing w:after="0" w:line="212"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Glenn J. Krevlin</w:t>
      </w:r>
    </w:p>
    <w:p>
      <w:pPr>
        <w:spacing w:after="0" w:line="15"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19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GLENHILL CAPITAL MANAGEMENT, LLC</w:t>
      </w:r>
    </w:p>
    <w:p>
      <w:pPr>
        <w:spacing w:after="0" w:line="231"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GLENHILL ADVISORS, LLC</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Managing Member</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GLENN J. KREVLIN</w:t>
      </w:r>
    </w:p>
    <w:p>
      <w:pPr>
        <w:spacing w:after="0" w:line="212"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Glenn J. Krevlin</w:t>
      </w:r>
    </w:p>
    <w:p>
      <w:pPr>
        <w:spacing w:after="0" w:line="15"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ectPr>
          <w:pgSz w:w="11900" w:h="16838" w:orient="portrait"/>
          <w:cols w:equalWidth="0" w:num="1">
            <w:col w:w="10780"/>
          </w:cols>
          <w:pgMar w:left="240" w:top="274" w:right="879" w:bottom="1440" w:gutter="0" w:footer="0" w:header="0"/>
        </w:sectPr>
      </w:pPr>
    </w:p>
    <w:bookmarkStart w:id="9" w:name="page10"/>
    <w:bookmarkEnd w:id="9"/>
    <w:p>
      <w:pPr>
        <w:ind w:left="45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GLENHILL CAPITAL OVERSEAS MASTER FUND, LP</w:t>
      </w:r>
    </w:p>
    <w:p>
      <w:pPr>
        <w:spacing w:after="0" w:line="241"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GLENHILL CAPITAL OVERSEAS GP, LTD.</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General Partner</w:t>
      </w:r>
    </w:p>
    <w:p>
      <w:pPr>
        <w:spacing w:after="0" w:line="219"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GLENHILL CAPITAL MANAGEMENT, LLC</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Sole Shareholder</w:t>
      </w:r>
    </w:p>
    <w:p>
      <w:pPr>
        <w:spacing w:after="0" w:line="219"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GLENHILL ADVISORS, LLC</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Managing Member</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GLENN J. KREVLIN</w:t>
      </w:r>
    </w:p>
    <w:p>
      <w:pPr>
        <w:spacing w:after="0" w:line="212"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Glenn J. Krevlin</w:t>
      </w:r>
    </w:p>
    <w:p>
      <w:pPr>
        <w:spacing w:after="0" w:line="15" w:lineRule="exact"/>
        <w:rPr>
          <w:sz w:val="20"/>
          <w:szCs w:val="20"/>
          <w:color w:val="auto"/>
        </w:rPr>
      </w:pPr>
    </w:p>
    <w:p>
      <w:pPr>
        <w:ind w:left="4520"/>
        <w:spacing w:after="0"/>
        <w:tabs>
          <w:tab w:leader="none" w:pos="5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2019-12-09T08:55:53Z</dcterms:created>
  <dcterms:modified xsi:type="dcterms:W3CDTF">2019-12-09T08:55:53Z</dcterms:modified>
</cp:coreProperties>
</file>