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August 25, 2016</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0" w:lineRule="exact"/>
        <w:rPr>
          <w:sz w:val="24"/>
          <w:szCs w:val="24"/>
          <w:color w:val="auto"/>
        </w:rPr>
      </w:pPr>
    </w:p>
    <w:p>
      <w:pPr>
        <w:spacing w:after="0" w:line="263" w:lineRule="exact"/>
        <w:rPr>
          <w:sz w:val="24"/>
          <w:szCs w:val="24"/>
          <w:color w:val="auto"/>
        </w:rPr>
      </w:pPr>
    </w:p>
    <w:tbl>
      <w:tblPr>
        <w:tblLayout w:type="fixed"/>
        <w:tblInd w:w="800" w:type="dxa"/>
        <w:tblCellMar>
          <w:top w:w="0" w:type="dxa"/>
          <w:left w:w="0" w:type="dxa"/>
          <w:bottom w:w="0" w:type="dxa"/>
          <w:right w:w="0" w:type="dxa"/>
        </w:tblCellMar>
      </w:tblPr>
      <w:tr>
        <w:trPr>
          <w:trHeight w:val="384"/>
        </w:trPr>
        <w:tc>
          <w:tcPr>
            <w:tcW w:w="2360" w:type="dxa"/>
            <w:vAlign w:val="bottom"/>
          </w:tcPr>
          <w:p>
            <w:pPr>
              <w:spacing w:after="0"/>
              <w:rPr>
                <w:sz w:val="24"/>
                <w:szCs w:val="24"/>
                <w:color w:val="auto"/>
              </w:rPr>
            </w:pPr>
          </w:p>
        </w:tc>
        <w:tc>
          <w:tcPr>
            <w:tcW w:w="6840" w:type="dxa"/>
            <w:vAlign w:val="bottom"/>
          </w:tcPr>
          <w:p>
            <w:pPr>
              <w:jc w:val="center"/>
              <w:ind w:right="1616"/>
              <w:spacing w:after="0"/>
              <w:rPr>
                <w:sz w:val="20"/>
                <w:szCs w:val="20"/>
                <w:color w:val="auto"/>
              </w:rPr>
            </w:pPr>
            <w:r>
              <w:rPr>
                <w:rFonts w:ascii="Arial" w:cs="Arial" w:eastAsia="Arial" w:hAnsi="Arial"/>
                <w:sz w:val="32"/>
                <w:szCs w:val="32"/>
                <w:b w:val="1"/>
                <w:bCs w:val="1"/>
                <w:color w:val="auto"/>
              </w:rPr>
              <w:t>DESTINATION XL GROUP, INC.</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6"/>
              <w:spacing w:after="0"/>
              <w:rPr>
                <w:sz w:val="20"/>
                <w:szCs w:val="20"/>
                <w:color w:val="auto"/>
              </w:rPr>
            </w:pPr>
            <w:r>
              <w:rPr>
                <w:rFonts w:ascii="Arial" w:cs="Arial" w:eastAsia="Arial" w:hAnsi="Arial"/>
                <w:sz w:val="22"/>
                <w:szCs w:val="22"/>
                <w:color w:val="auto"/>
                <w:w w:val="88"/>
              </w:rPr>
              <w:t>(Exact name of registrant as specified in its charter)</w:t>
            </w:r>
          </w:p>
        </w:tc>
        <w:tc>
          <w:tcPr>
            <w:tcW w:w="0" w:type="dxa"/>
            <w:vAlign w:val="bottom"/>
          </w:tcPr>
          <w:p>
            <w:pPr>
              <w:spacing w:after="0"/>
              <w:rPr>
                <w:sz w:val="1"/>
                <w:szCs w:val="1"/>
                <w:color w:val="auto"/>
              </w:rPr>
            </w:pPr>
          </w:p>
        </w:tc>
      </w:tr>
      <w:tr>
        <w:trPr>
          <w:trHeight w:val="666"/>
        </w:trPr>
        <w:tc>
          <w:tcPr>
            <w:tcW w:w="2360" w:type="dxa"/>
            <w:vAlign w:val="bottom"/>
          </w:tcPr>
          <w:p>
            <w:pPr>
              <w:jc w:val="center"/>
              <w:spacing w:after="0"/>
              <w:rPr>
                <w:sz w:val="20"/>
                <w:szCs w:val="20"/>
                <w:color w:val="auto"/>
              </w:rPr>
            </w:pPr>
            <w:r>
              <w:rPr>
                <w:rFonts w:ascii="Arial" w:cs="Arial" w:eastAsia="Arial" w:hAnsi="Arial"/>
                <w:sz w:val="22"/>
                <w:szCs w:val="22"/>
                <w:b w:val="1"/>
                <w:bCs w:val="1"/>
                <w:color w:val="auto"/>
                <w:w w:val="88"/>
              </w:rPr>
              <w:t>Delaware</w:t>
            </w:r>
          </w:p>
        </w:tc>
        <w:tc>
          <w:tcPr>
            <w:tcW w:w="684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6840" w:type="dxa"/>
            <w:vAlign w:val="bottom"/>
          </w:tcPr>
          <w:p>
            <w:pPr>
              <w:jc w:val="center"/>
              <w:ind w:left="569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89"/>
              </w:rPr>
              <w:t>of Incorporation)</w:t>
            </w:r>
          </w:p>
        </w:tc>
        <w:tc>
          <w:tcPr>
            <w:tcW w:w="6840" w:type="dxa"/>
            <w:vAlign w:val="bottom"/>
          </w:tcPr>
          <w:p>
            <w:pPr>
              <w:jc w:val="center"/>
              <w:ind w:left="567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1"/>
              </w:rPr>
              <w:t>555 Turnpike Street,</w:t>
            </w:r>
          </w:p>
        </w:tc>
        <w:tc>
          <w:tcPr>
            <w:tcW w:w="6840" w:type="dxa"/>
            <w:vAlign w:val="bottom"/>
            <w:vMerge w:val="restart"/>
          </w:tcPr>
          <w:p>
            <w:pPr>
              <w:jc w:val="right"/>
              <w:ind w:right="15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Canton, Massachusetts</w:t>
            </w:r>
          </w:p>
        </w:tc>
        <w:tc>
          <w:tcPr>
            <w:tcW w:w="6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(Address of Principal Executive Offices)</w:t>
            </w:r>
          </w:p>
        </w:tc>
        <w:tc>
          <w:tcPr>
            <w:tcW w:w="6840" w:type="dxa"/>
            <w:vAlign w:val="bottom"/>
          </w:tcPr>
          <w:p>
            <w:pPr>
              <w:jc w:val="center"/>
              <w:ind w:left="5676"/>
              <w:spacing w:after="0" w:line="135" w:lineRule="exact"/>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6"/>
              <w:spacing w:after="0" w:line="243" w:lineRule="exact"/>
              <w:rPr>
                <w:sz w:val="20"/>
                <w:szCs w:val="20"/>
                <w:color w:val="auto"/>
              </w:rPr>
            </w:pPr>
            <w:r>
              <w:rPr>
                <w:rFonts w:ascii="Arial" w:cs="Arial" w:eastAsia="Arial" w:hAnsi="Arial"/>
                <w:sz w:val="22"/>
                <w:szCs w:val="22"/>
                <w:b w:val="1"/>
                <w:bCs w:val="1"/>
                <w:color w:val="auto"/>
                <w:w w:val="98"/>
              </w:rPr>
              <w:t>DESTINATION XL GROUP, INC.</w:t>
            </w:r>
          </w:p>
        </w:tc>
        <w:tc>
          <w:tcPr>
            <w:tcW w:w="0" w:type="dxa"/>
            <w:vAlign w:val="bottom"/>
          </w:tcPr>
          <w:p>
            <w:pPr>
              <w:spacing w:after="0"/>
              <w:rPr>
                <w:sz w:val="1"/>
                <w:szCs w:val="1"/>
                <w:color w:val="auto"/>
              </w:rPr>
            </w:pPr>
          </w:p>
        </w:tc>
      </w:tr>
      <w:tr>
        <w:trPr>
          <w:trHeight w:val="249"/>
        </w:trPr>
        <w:tc>
          <w:tcPr>
            <w:tcW w:w="2360" w:type="dxa"/>
            <w:vAlign w:val="bottom"/>
          </w:tcPr>
          <w:p>
            <w:pPr>
              <w:spacing w:after="0"/>
              <w:rPr>
                <w:sz w:val="21"/>
                <w:szCs w:val="21"/>
                <w:color w:val="auto"/>
              </w:rPr>
            </w:pPr>
          </w:p>
        </w:tc>
        <w:tc>
          <w:tcPr>
            <w:tcW w:w="6840" w:type="dxa"/>
            <w:vAlign w:val="bottom"/>
          </w:tcPr>
          <w:p>
            <w:pPr>
              <w:jc w:val="center"/>
              <w:ind w:right="1636"/>
              <w:spacing w:after="0" w:line="249" w:lineRule="exact"/>
              <w:rPr>
                <w:sz w:val="20"/>
                <w:szCs w:val="20"/>
                <w:color w:val="auto"/>
              </w:rPr>
            </w:pPr>
            <w:r>
              <w:rPr>
                <w:rFonts w:ascii="Arial" w:cs="Arial" w:eastAsia="Arial" w:hAnsi="Arial"/>
                <w:sz w:val="22"/>
                <w:szCs w:val="22"/>
                <w:b w:val="1"/>
                <w:bCs w:val="1"/>
                <w:color w:val="auto"/>
                <w:w w:val="98"/>
              </w:rPr>
              <w:t>2016 INCENTIVE COMPENSATION PLAN</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6"/>
              <w:spacing w:after="0"/>
              <w:rPr>
                <w:sz w:val="20"/>
                <w:szCs w:val="20"/>
                <w:color w:val="auto"/>
              </w:rPr>
            </w:pPr>
            <w:r>
              <w:rPr>
                <w:rFonts w:ascii="Arial" w:cs="Arial" w:eastAsia="Arial" w:hAnsi="Arial"/>
                <w:sz w:val="22"/>
                <w:szCs w:val="22"/>
                <w:color w:val="auto"/>
                <w:w w:val="93"/>
              </w:rPr>
              <w:t>(Full title of the plan)</w:t>
            </w:r>
          </w:p>
        </w:tc>
        <w:tc>
          <w:tcPr>
            <w:tcW w:w="0" w:type="dxa"/>
            <w:vAlign w:val="bottom"/>
          </w:tcPr>
          <w:p>
            <w:pPr>
              <w:spacing w:after="0"/>
              <w:rPr>
                <w:sz w:val="1"/>
                <w:szCs w:val="1"/>
                <w:color w:val="auto"/>
              </w:rPr>
            </w:pPr>
          </w:p>
        </w:tc>
      </w:tr>
      <w:tr>
        <w:trPr>
          <w:trHeight w:val="449"/>
        </w:trPr>
        <w:tc>
          <w:tcPr>
            <w:tcW w:w="2360" w:type="dxa"/>
            <w:vAlign w:val="bottom"/>
          </w:tcPr>
          <w:p>
            <w:pPr>
              <w:spacing w:after="0"/>
              <w:rPr>
                <w:sz w:val="24"/>
                <w:szCs w:val="24"/>
                <w:color w:val="auto"/>
              </w:rPr>
            </w:pPr>
          </w:p>
        </w:tc>
        <w:tc>
          <w:tcPr>
            <w:tcW w:w="6840" w:type="dxa"/>
            <w:vAlign w:val="bottom"/>
          </w:tcPr>
          <w:p>
            <w:pPr>
              <w:jc w:val="center"/>
              <w:ind w:right="1636"/>
              <w:spacing w:after="0"/>
              <w:rPr>
                <w:sz w:val="20"/>
                <w:szCs w:val="20"/>
                <w:color w:val="auto"/>
              </w:rPr>
            </w:pPr>
            <w:r>
              <w:rPr>
                <w:rFonts w:ascii="Arial" w:cs="Arial" w:eastAsia="Arial" w:hAnsi="Arial"/>
                <w:sz w:val="22"/>
                <w:szCs w:val="22"/>
                <w:b w:val="1"/>
                <w:bCs w:val="1"/>
                <w:color w:val="auto"/>
                <w:w w:val="90"/>
              </w:rPr>
              <w:t>Robert S. Molloy</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6"/>
              <w:spacing w:after="0" w:line="243" w:lineRule="exact"/>
              <w:rPr>
                <w:sz w:val="20"/>
                <w:szCs w:val="20"/>
                <w:color w:val="auto"/>
              </w:rPr>
            </w:pPr>
            <w:r>
              <w:rPr>
                <w:rFonts w:ascii="Arial" w:cs="Arial" w:eastAsia="Arial" w:hAnsi="Arial"/>
                <w:sz w:val="22"/>
                <w:szCs w:val="22"/>
                <w:b w:val="1"/>
                <w:bCs w:val="1"/>
                <w:color w:val="auto"/>
                <w:w w:val="88"/>
              </w:rPr>
              <w:t>Senior Vice President, General Counsel and Secretary</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36"/>
              <w:spacing w:after="0" w:line="243" w:lineRule="exact"/>
              <w:rPr>
                <w:sz w:val="20"/>
                <w:szCs w:val="20"/>
                <w:color w:val="auto"/>
              </w:rPr>
            </w:pPr>
            <w:r>
              <w:rPr>
                <w:rFonts w:ascii="Arial" w:cs="Arial" w:eastAsia="Arial" w:hAnsi="Arial"/>
                <w:sz w:val="22"/>
                <w:szCs w:val="22"/>
                <w:b w:val="1"/>
                <w:bCs w:val="1"/>
                <w:color w:val="auto"/>
                <w:w w:val="91"/>
              </w:rPr>
              <w:t>Destination XL Group, Inc.</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1"/>
                <w:szCs w:val="21"/>
                <w:color w:val="auto"/>
              </w:rPr>
            </w:pPr>
          </w:p>
        </w:tc>
        <w:tc>
          <w:tcPr>
            <w:tcW w:w="6840" w:type="dxa"/>
            <w:vAlign w:val="bottom"/>
          </w:tcPr>
          <w:p>
            <w:pPr>
              <w:jc w:val="center"/>
              <w:ind w:right="1616"/>
              <w:spacing w:after="0" w:line="243" w:lineRule="exact"/>
              <w:rPr>
                <w:sz w:val="20"/>
                <w:szCs w:val="20"/>
                <w:color w:val="auto"/>
              </w:rPr>
            </w:pPr>
            <w:r>
              <w:rPr>
                <w:rFonts w:ascii="Arial" w:cs="Arial" w:eastAsia="Arial" w:hAnsi="Arial"/>
                <w:sz w:val="22"/>
                <w:szCs w:val="22"/>
                <w:b w:val="1"/>
                <w:bCs w:val="1"/>
                <w:color w:val="auto"/>
                <w:w w:val="90"/>
              </w:rPr>
              <w:t>555 Turnpike Street</w:t>
            </w:r>
          </w:p>
        </w:tc>
        <w:tc>
          <w:tcPr>
            <w:tcW w:w="0" w:type="dxa"/>
            <w:vAlign w:val="bottom"/>
          </w:tcPr>
          <w:p>
            <w:pPr>
              <w:spacing w:after="0"/>
              <w:rPr>
                <w:sz w:val="1"/>
                <w:szCs w:val="1"/>
                <w:color w:val="auto"/>
              </w:rPr>
            </w:pPr>
          </w:p>
        </w:tc>
      </w:tr>
      <w:tr>
        <w:trPr>
          <w:trHeight w:val="249"/>
        </w:trPr>
        <w:tc>
          <w:tcPr>
            <w:tcW w:w="2360" w:type="dxa"/>
            <w:vAlign w:val="bottom"/>
          </w:tcPr>
          <w:p>
            <w:pPr>
              <w:spacing w:after="0"/>
              <w:rPr>
                <w:sz w:val="21"/>
                <w:szCs w:val="21"/>
                <w:color w:val="auto"/>
              </w:rPr>
            </w:pPr>
          </w:p>
        </w:tc>
        <w:tc>
          <w:tcPr>
            <w:tcW w:w="6840" w:type="dxa"/>
            <w:vAlign w:val="bottom"/>
          </w:tcPr>
          <w:p>
            <w:pPr>
              <w:jc w:val="center"/>
              <w:ind w:right="1616"/>
              <w:spacing w:after="0" w:line="249" w:lineRule="exact"/>
              <w:rPr>
                <w:sz w:val="20"/>
                <w:szCs w:val="20"/>
                <w:color w:val="auto"/>
              </w:rPr>
            </w:pPr>
            <w:r>
              <w:rPr>
                <w:rFonts w:ascii="Arial" w:cs="Arial" w:eastAsia="Arial" w:hAnsi="Arial"/>
                <w:sz w:val="22"/>
                <w:szCs w:val="22"/>
                <w:b w:val="1"/>
                <w:bCs w:val="1"/>
                <w:color w:val="auto"/>
                <w:w w:val="86"/>
              </w:rPr>
              <w:t>Canton, Massachusetts 02021</w:t>
            </w:r>
          </w:p>
        </w:tc>
        <w:tc>
          <w:tcPr>
            <w:tcW w:w="0" w:type="dxa"/>
            <w:vAlign w:val="bottom"/>
          </w:tcPr>
          <w:p>
            <w:pPr>
              <w:spacing w:after="0"/>
              <w:rPr>
                <w:sz w:val="1"/>
                <w:szCs w:val="1"/>
                <w:color w:val="auto"/>
              </w:rPr>
            </w:pPr>
          </w:p>
        </w:tc>
      </w:tr>
      <w:tr>
        <w:trPr>
          <w:trHeight w:val="275"/>
        </w:trPr>
        <w:tc>
          <w:tcPr>
            <w:tcW w:w="2360" w:type="dxa"/>
            <w:vAlign w:val="bottom"/>
          </w:tcPr>
          <w:p>
            <w:pPr>
              <w:spacing w:after="0"/>
              <w:rPr>
                <w:sz w:val="23"/>
                <w:szCs w:val="23"/>
                <w:color w:val="auto"/>
              </w:rPr>
            </w:pPr>
          </w:p>
        </w:tc>
        <w:tc>
          <w:tcPr>
            <w:tcW w:w="6840" w:type="dxa"/>
            <w:vAlign w:val="bottom"/>
          </w:tcPr>
          <w:p>
            <w:pPr>
              <w:jc w:val="center"/>
              <w:ind w:right="1636"/>
              <w:spacing w:after="0"/>
              <w:rPr>
                <w:sz w:val="20"/>
                <w:szCs w:val="20"/>
                <w:color w:val="auto"/>
              </w:rPr>
            </w:pPr>
            <w:r>
              <w:rPr>
                <w:rFonts w:ascii="Arial" w:cs="Arial" w:eastAsia="Arial" w:hAnsi="Arial"/>
                <w:sz w:val="22"/>
                <w:szCs w:val="22"/>
                <w:color w:val="auto"/>
                <w:w w:val="87"/>
              </w:rPr>
              <w:t>(Name and address of agent for service)</w:t>
            </w: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(781) 828−9300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(Telephone number, including area code, of agent for service)</w:t>
      </w:r>
    </w:p>
    <w:p>
      <w:pPr>
        <w:spacing w:after="0" w:line="215" w:lineRule="exact"/>
        <w:rPr>
          <w:sz w:val="24"/>
          <w:szCs w:val="24"/>
          <w:color w:val="auto"/>
        </w:rPr>
      </w:pPr>
    </w:p>
    <w:p>
      <w:pPr>
        <w:jc w:val="both"/>
        <w:ind w:right="340"/>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20" w:right="239" w:bottom="1440" w:gutter="0" w:footer="0" w:header="0"/>
        </w:sectPr>
      </w:pPr>
    </w:p>
    <w:p>
      <w:pPr>
        <w:spacing w:after="0" w:line="227" w:lineRule="exact"/>
        <w:rPr>
          <w:sz w:val="24"/>
          <w:szCs w:val="24"/>
          <w:color w:val="auto"/>
        </w:rPr>
      </w:pPr>
    </w:p>
    <w:p>
      <w:pPr>
        <w:ind w:left="420"/>
        <w:spacing w:after="0"/>
        <w:tabs>
          <w:tab w:leader="none" w:pos="3160" w:val="left"/>
        </w:tabs>
        <w:rPr>
          <w:sz w:val="20"/>
          <w:szCs w:val="20"/>
          <w:color w:val="auto"/>
        </w:rPr>
      </w:pPr>
      <w:r>
        <w:rPr>
          <w:rFonts w:ascii="Arial" w:cs="Arial" w:eastAsia="Arial" w:hAnsi="Arial"/>
          <w:sz w:val="22"/>
          <w:szCs w:val="22"/>
          <w:color w:val="auto"/>
        </w:rPr>
        <w:t>Large 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9"/>
          <w:szCs w:val="19"/>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14" w:lineRule="exact"/>
        <w:rPr>
          <w:sz w:val="24"/>
          <w:szCs w:val="24"/>
          <w:color w:val="auto"/>
        </w:rPr>
      </w:pPr>
    </w:p>
    <w:p>
      <w:pPr>
        <w:sectPr>
          <w:pgSz w:w="11900" w:h="16838" w:orient="portrait"/>
          <w:cols w:equalWidth="0" w:num="3">
            <w:col w:w="4180" w:space="720"/>
            <w:col w:w="1440" w:space="120"/>
            <w:col w:w="4960"/>
          </w:cols>
          <w:pgMar w:left="240" w:top="220" w:right="239" w:bottom="1440" w:gutter="0" w:footer="0" w:header="0"/>
          <w:type w:val="continuous"/>
        </w:sectPr>
      </w:pPr>
    </w:p>
    <w:p>
      <w:pPr>
        <w:ind w:left="420"/>
        <w:spacing w:after="0"/>
        <w:tabs>
          <w:tab w:leader="none" w:pos="3160" w:val="left"/>
        </w:tabs>
        <w:rPr>
          <w:sz w:val="20"/>
          <w:szCs w:val="20"/>
          <w:color w:val="auto"/>
        </w:rPr>
      </w:pPr>
      <w:r>
        <w:rPr>
          <w:rFonts w:ascii="Arial" w:cs="Arial" w:eastAsia="Arial" w:hAnsi="Arial"/>
          <w:sz w:val="22"/>
          <w:szCs w:val="22"/>
          <w:color w:val="auto"/>
        </w:rPr>
        <w:t>Non-accelerated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color w:val="auto"/>
        </w:rPr>
        <w:t>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4" w:lineRule="exact"/>
        <w:rPr>
          <w:sz w:val="24"/>
          <w:szCs w:val="24"/>
          <w:color w:val="auto"/>
        </w:rPr>
      </w:pPr>
    </w:p>
    <w:p>
      <w:pPr>
        <w:sectPr>
          <w:pgSz w:w="11900" w:h="16838" w:orient="portrait"/>
          <w:cols w:equalWidth="0" w:num="3">
            <w:col w:w="7000" w:space="720"/>
            <w:col w:w="2380" w:space="640"/>
            <w:col w:w="680"/>
          </w:cols>
          <w:pgMar w:left="240" w:top="220" w:right="239" w:bottom="1440" w:gutter="0" w:footer="0" w:header="0"/>
          <w:type w:val="continuous"/>
        </w:sectPr>
      </w:pPr>
    </w:p>
    <w:p>
      <w:pPr>
        <w:spacing w:after="0"/>
        <w:rPr>
          <w:sz w:val="20"/>
          <w:szCs w:val="20"/>
          <w:color w:val="auto"/>
        </w:rPr>
      </w:pPr>
      <w:r>
        <w:rPr>
          <w:rFonts w:ascii="Arial" w:cs="Arial" w:eastAsia="Arial" w:hAnsi="Arial"/>
          <w:sz w:val="19"/>
          <w:szCs w:val="19"/>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2"/>
          <w:szCs w:val="22"/>
          <w:b w:val="1"/>
          <w:bCs w:val="1"/>
          <w:color w:val="auto"/>
        </w:rPr>
        <w:t>CALCULATION OF REGISTRATION FEE</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3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securities</w:t>
            </w:r>
          </w:p>
        </w:tc>
        <w:tc>
          <w:tcPr>
            <w:tcW w:w="2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2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Proposed maximum offering</w:t>
            </w:r>
          </w:p>
        </w:tc>
        <w:tc>
          <w:tcPr>
            <w:tcW w:w="2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Proposed maximum</w:t>
            </w:r>
          </w:p>
        </w:tc>
        <w:tc>
          <w:tcPr>
            <w:tcW w:w="2080" w:type="dxa"/>
            <w:vAlign w:val="bottom"/>
            <w:tcBorders>
              <w:top w:val="single" w:sz="8" w:color="auto"/>
              <w:right w:val="single" w:sz="8" w:color="auto"/>
            </w:tcBorders>
          </w:tcPr>
          <w:p>
            <w:pPr>
              <w:spacing w:after="0"/>
              <w:rPr>
                <w:sz w:val="18"/>
                <w:szCs w:val="18"/>
                <w:color w:val="auto"/>
              </w:rPr>
            </w:pPr>
          </w:p>
        </w:tc>
      </w:tr>
      <w:tr>
        <w:trPr>
          <w:trHeight w:val="234"/>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 be registered</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 (1)</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price per share (2)</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 offering price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 of registration fee</w:t>
            </w:r>
          </w:p>
        </w:tc>
      </w:tr>
      <w:tr>
        <w:trPr>
          <w:trHeight w:val="195"/>
        </w:trPr>
        <w:tc>
          <w:tcPr>
            <w:tcW w:w="236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 $0.01 par</w:t>
            </w:r>
          </w:p>
        </w:tc>
        <w:tc>
          <w:tcPr>
            <w:tcW w:w="2340" w:type="dxa"/>
            <w:vAlign w:val="bottom"/>
            <w:tcBorders>
              <w:right w:val="single" w:sz="8" w:color="auto"/>
            </w:tcBorders>
          </w:tcPr>
          <w:p>
            <w:pPr>
              <w:spacing w:after="0"/>
              <w:rPr>
                <w:sz w:val="16"/>
                <w:szCs w:val="16"/>
                <w:color w:val="auto"/>
              </w:rPr>
            </w:pPr>
          </w:p>
        </w:tc>
        <w:tc>
          <w:tcPr>
            <w:tcW w:w="2340" w:type="dxa"/>
            <w:vAlign w:val="bottom"/>
            <w:tcBorders>
              <w:right w:val="single" w:sz="8" w:color="auto"/>
            </w:tcBorders>
          </w:tcPr>
          <w:p>
            <w:pPr>
              <w:spacing w:after="0"/>
              <w:rPr>
                <w:sz w:val="16"/>
                <w:szCs w:val="16"/>
                <w:color w:val="auto"/>
              </w:rPr>
            </w:pPr>
          </w:p>
        </w:tc>
        <w:tc>
          <w:tcPr>
            <w:tcW w:w="2320" w:type="dxa"/>
            <w:vAlign w:val="bottom"/>
            <w:tcBorders>
              <w:right w:val="single" w:sz="8" w:color="auto"/>
            </w:tcBorders>
          </w:tcPr>
          <w:p>
            <w:pPr>
              <w:spacing w:after="0"/>
              <w:rPr>
                <w:sz w:val="16"/>
                <w:szCs w:val="16"/>
                <w:color w:val="auto"/>
              </w:rPr>
            </w:pPr>
          </w:p>
        </w:tc>
        <w:tc>
          <w:tcPr>
            <w:tcW w:w="2080" w:type="dxa"/>
            <w:vAlign w:val="bottom"/>
            <w:tcBorders>
              <w:right w:val="single" w:sz="8" w:color="auto"/>
            </w:tcBorders>
          </w:tcPr>
          <w:p>
            <w:pPr>
              <w:spacing w:after="0"/>
              <w:rPr>
                <w:sz w:val="16"/>
                <w:szCs w:val="16"/>
                <w:color w:val="auto"/>
              </w:rPr>
            </w:pPr>
          </w:p>
        </w:tc>
      </w:tr>
      <w:tr>
        <w:trPr>
          <w:trHeight w:val="230"/>
        </w:trPr>
        <w:tc>
          <w:tcPr>
            <w:tcW w:w="2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value per share</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5,725,538 shares</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$5.42</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$31,032,416</w:t>
            </w:r>
          </w:p>
        </w:tc>
        <w:tc>
          <w:tcPr>
            <w:tcW w:w="2080" w:type="dxa"/>
            <w:vAlign w:val="bottom"/>
            <w:tcBorders>
              <w:bottom w:val="single" w:sz="8" w:color="auto"/>
              <w:right w:val="single" w:sz="8" w:color="auto"/>
            </w:tcBorders>
          </w:tcPr>
          <w:p>
            <w:pPr>
              <w:jc w:val="right"/>
              <w:ind w:right="710"/>
              <w:spacing w:after="0"/>
              <w:rPr>
                <w:sz w:val="20"/>
                <w:szCs w:val="20"/>
                <w:color w:val="auto"/>
              </w:rPr>
            </w:pPr>
            <w:r>
              <w:rPr>
                <w:rFonts w:ascii="Arial" w:cs="Arial" w:eastAsia="Arial" w:hAnsi="Arial"/>
                <w:sz w:val="18"/>
                <w:szCs w:val="18"/>
                <w:color w:val="auto"/>
              </w:rPr>
              <w:t>$3,125</w:t>
            </w:r>
          </w:p>
        </w:tc>
      </w:tr>
    </w:tbl>
    <w:p>
      <w:pPr>
        <w:spacing w:after="0" w:line="230" w:lineRule="exact"/>
        <w:rPr>
          <w:sz w:val="20"/>
          <w:szCs w:val="20"/>
          <w:color w:val="auto"/>
        </w:rPr>
      </w:pPr>
    </w:p>
    <w:p>
      <w:pPr>
        <w:ind w:right="200" w:firstLine="8"/>
        <w:spacing w:after="0" w:line="254" w:lineRule="auto"/>
        <w:tabs>
          <w:tab w:leader="none" w:pos="252"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Registration Statement covers (i) 5,200,000 shares of Common Stock which may be issued from time to time pursuant to the Destination XL Group, Inc. 2016 Incentive Compensation Plan (the “2016 Plan”) and (ii) 525,538 shares of Common Stock that were previously registered by the Registrant with respect to its 2006 Incentive Compensation Plan and which will now be available for issuance under the 2016 Plan. In addition, pursuant to Rule 416(c) under the Securities Act of 1933, as amended (the “Securities Act”), this Registration Statement covers any additional shares of Common Stock that become issuable under the 2016 Plan by reason of any stock dividend, stock split, recapitalization, or any other similar transaction without receipt of consideration that results in an increase in the number of outstanding shares of Common Stock.</w:t>
      </w:r>
    </w:p>
    <w:p>
      <w:pPr>
        <w:spacing w:after="0" w:line="120" w:lineRule="exact"/>
        <w:rPr>
          <w:rFonts w:ascii="Arial" w:cs="Arial" w:eastAsia="Arial" w:hAnsi="Arial"/>
          <w:sz w:val="14"/>
          <w:szCs w:val="14"/>
          <w:color w:val="auto"/>
        </w:rPr>
      </w:pPr>
    </w:p>
    <w:p>
      <w:pPr>
        <w:ind w:right="120" w:firstLine="8"/>
        <w:spacing w:after="0" w:line="255" w:lineRule="auto"/>
        <w:tabs>
          <w:tab w:leader="none" w:pos="255"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in accordance with Rule 457(c) and 457(h) of the Securities Act. The price per share and aggregate offering price are calculated on the basis of the average of the high and low prices of the Common Stock on the Nasdaq Global Select Market on August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598" w:right="2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56" w:lineRule="exact"/>
        <w:rPr>
          <w:sz w:val="20"/>
          <w:szCs w:val="20"/>
          <w:color w:val="auto"/>
        </w:rPr>
      </w:pPr>
    </w:p>
    <w:p>
      <w:pPr>
        <w:ind w:right="300" w:firstLine="418"/>
        <w:spacing w:after="0" w:line="264" w:lineRule="auto"/>
        <w:rPr>
          <w:sz w:val="20"/>
          <w:szCs w:val="20"/>
          <w:color w:val="auto"/>
        </w:rPr>
      </w:pPr>
      <w:r>
        <w:rPr>
          <w:rFonts w:ascii="Arial" w:cs="Arial" w:eastAsia="Arial" w:hAnsi="Arial"/>
          <w:sz w:val="18"/>
          <w:szCs w:val="18"/>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in this Registration Statement by reference:</w:t>
      </w:r>
    </w:p>
    <w:p>
      <w:pPr>
        <w:spacing w:after="0" w:line="181" w:lineRule="exact"/>
        <w:rPr>
          <w:sz w:val="20"/>
          <w:szCs w:val="20"/>
          <w:color w:val="auto"/>
        </w:rPr>
      </w:pPr>
    </w:p>
    <w:p>
      <w:pPr>
        <w:ind w:left="820" w:hanging="407"/>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January 30, 2016, as amended;</w:t>
      </w:r>
    </w:p>
    <w:p>
      <w:pPr>
        <w:spacing w:after="0" w:line="225" w:lineRule="exact"/>
        <w:rPr>
          <w:rFonts w:ascii="Arial" w:cs="Arial" w:eastAsia="Arial" w:hAnsi="Arial"/>
          <w:sz w:val="18"/>
          <w:szCs w:val="18"/>
          <w:color w:val="auto"/>
        </w:rPr>
      </w:pPr>
    </w:p>
    <w:p>
      <w:pPr>
        <w:ind w:left="820" w:right="140" w:hanging="407"/>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document referred to in (a) above; and</w:t>
      </w:r>
    </w:p>
    <w:p>
      <w:pPr>
        <w:spacing w:after="0" w:line="170" w:lineRule="exact"/>
        <w:rPr>
          <w:rFonts w:ascii="Arial" w:cs="Arial" w:eastAsia="Arial" w:hAnsi="Arial"/>
          <w:sz w:val="18"/>
          <w:szCs w:val="18"/>
          <w:color w:val="auto"/>
        </w:rPr>
      </w:pPr>
    </w:p>
    <w:p>
      <w:pPr>
        <w:ind w:left="820" w:right="80" w:hanging="407"/>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8−A/A, filed on August 28, 2009, and all amendments and reports updating such description.</w:t>
      </w:r>
    </w:p>
    <w:p>
      <w:pPr>
        <w:spacing w:after="0" w:line="170" w:lineRule="exact"/>
        <w:rPr>
          <w:sz w:val="20"/>
          <w:szCs w:val="20"/>
          <w:color w:val="auto"/>
        </w:rPr>
      </w:pPr>
    </w:p>
    <w:p>
      <w:pPr>
        <w:ind w:right="40" w:firstLine="418"/>
        <w:spacing w:after="0" w:line="312" w:lineRule="auto"/>
        <w:rPr>
          <w:sz w:val="20"/>
          <w:szCs w:val="20"/>
          <w:color w:val="auto"/>
        </w:rPr>
      </w:pPr>
      <w:r>
        <w:rPr>
          <w:rFonts w:ascii="Arial" w:cs="Arial" w:eastAsia="Arial" w:hAnsi="Arial"/>
          <w:sz w:val="16"/>
          <w:szCs w:val="16"/>
          <w:color w:val="auto"/>
        </w:rPr>
        <w:t>In addition, 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w:t>
      </w:r>
    </w:p>
    <w:p>
      <w:pPr>
        <w:spacing w:after="0" w:line="147" w:lineRule="exact"/>
        <w:rPr>
          <w:sz w:val="20"/>
          <w:szCs w:val="20"/>
          <w:color w:val="auto"/>
        </w:rPr>
      </w:pPr>
    </w:p>
    <w:p>
      <w:pPr>
        <w:ind w:firstLine="418"/>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81" w:lineRule="exact"/>
        <w:rPr>
          <w:sz w:val="20"/>
          <w:szCs w:val="20"/>
          <w:color w:val="auto"/>
        </w:rPr>
      </w:pPr>
    </w:p>
    <w:p>
      <w:pPr>
        <w:ind w:right="60" w:firstLine="534"/>
        <w:spacing w:after="0" w:line="270" w:lineRule="auto"/>
        <w:rPr>
          <w:sz w:val="20"/>
          <w:szCs w:val="20"/>
          <w:color w:val="auto"/>
        </w:rPr>
      </w:pPr>
      <w:r>
        <w:rPr>
          <w:rFonts w:ascii="Arial" w:cs="Arial" w:eastAsia="Arial" w:hAnsi="Arial"/>
          <w:sz w:val="17"/>
          <w:szCs w:val="17"/>
          <w:color w:val="auto"/>
        </w:rPr>
        <w:t>The Registrant’s Restated Certificate of Incorporation, as amended (the “Certificate”),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 (i) 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164" w:lineRule="exact"/>
        <w:rPr>
          <w:sz w:val="20"/>
          <w:szCs w:val="20"/>
          <w:color w:val="auto"/>
        </w:rPr>
      </w:pPr>
    </w:p>
    <w:p>
      <w:pPr>
        <w:ind w:firstLine="534"/>
        <w:spacing w:after="0" w:line="259" w:lineRule="auto"/>
        <w:rPr>
          <w:sz w:val="20"/>
          <w:szCs w:val="20"/>
          <w:color w:val="auto"/>
        </w:rPr>
      </w:pPr>
      <w:r>
        <w:rPr>
          <w:rFonts w:ascii="Arial" w:cs="Arial" w:eastAsia="Arial" w:hAnsi="Arial"/>
          <w:sz w:val="18"/>
          <w:szCs w:val="18"/>
          <w:color w:val="auto"/>
        </w:rPr>
        <w:t>The Certificate and the Registrant’s By-Laws further provide for indemnification of the Registrant’s directors and officers to the fullest extent permitted by Section 145 of the Delaware General Corporation Law, including circumstances in which indemnification is otherwise discretionary. Section 145 of the Delaware General Corporation Law provides that a corporation may indemnify any person who was or is a party or is threatened to be made a party to any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right="20"/>
        <w:spacing w:after="0" w:line="287" w:lineRule="auto"/>
        <w:rPr>
          <w:sz w:val="20"/>
          <w:szCs w:val="20"/>
          <w:color w:val="auto"/>
        </w:rPr>
      </w:pPr>
      <w:r>
        <w:rPr>
          <w:rFonts w:ascii="Arial" w:cs="Arial" w:eastAsia="Arial" w:hAnsi="Arial"/>
          <w:sz w:val="16"/>
          <w:szCs w:val="16"/>
          <w:color w:val="auto"/>
        </w:rPr>
        <w:t>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that the person is liable to the corporation, unless and only to the extent a court determines that, despite the adjudication of liability but in view of all the circumstances of the case, such person is fairly and reasonably entitled to indemnity for such expenses which such court shall deem proper.</w:t>
      </w:r>
    </w:p>
    <w:p>
      <w:pPr>
        <w:spacing w:after="0" w:line="146" w:lineRule="exact"/>
        <w:rPr>
          <w:sz w:val="20"/>
          <w:szCs w:val="20"/>
          <w:color w:val="auto"/>
        </w:rPr>
      </w:pPr>
    </w:p>
    <w:p>
      <w:pPr>
        <w:ind w:firstLine="523"/>
        <w:spacing w:after="0" w:line="277" w:lineRule="auto"/>
        <w:rPr>
          <w:sz w:val="20"/>
          <w:szCs w:val="20"/>
          <w:color w:val="auto"/>
        </w:rPr>
      </w:pPr>
      <w:r>
        <w:rPr>
          <w:rFonts w:ascii="Arial" w:cs="Arial" w:eastAsia="Arial" w:hAnsi="Arial"/>
          <w:sz w:val="18"/>
          <w:szCs w:val="18"/>
          <w:color w:val="auto"/>
        </w:rPr>
        <w:t>The Registrant maintains an insurance policy on behalf of its directors and officers covering certain liabilities which may arise as a result of the actions of the directors and officers.</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7. Exemption from Registration Claimed</w:t>
      </w:r>
      <w:r>
        <w:rPr>
          <w:rFonts w:ascii="Arial" w:cs="Arial" w:eastAsia="Arial" w:hAnsi="Arial"/>
          <w:sz w:val="18"/>
          <w:szCs w:val="18"/>
          <w:color w:val="auto"/>
        </w:rPr>
        <w:t>.</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Exhibit Index immediately preceding the exhibits is incorporated herein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81" w:lineRule="exact"/>
        <w:rPr>
          <w:sz w:val="20"/>
          <w:szCs w:val="20"/>
          <w:color w:val="auto"/>
        </w:rPr>
      </w:pPr>
    </w:p>
    <w:p>
      <w:pPr>
        <w:ind w:left="720" w:hanging="17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300" w:hanging="249"/>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780" w:hanging="220"/>
        <w:spacing w:after="0"/>
        <w:tabs>
          <w:tab w:leader="none" w:pos="17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76" w:lineRule="exact"/>
        <w:rPr>
          <w:rFonts w:ascii="Arial" w:cs="Arial" w:eastAsia="Arial" w:hAnsi="Arial"/>
          <w:sz w:val="18"/>
          <w:szCs w:val="18"/>
          <w:color w:val="auto"/>
        </w:rPr>
      </w:pPr>
    </w:p>
    <w:p>
      <w:pPr>
        <w:ind w:left="1080" w:right="20" w:firstLine="480"/>
        <w:spacing w:after="0" w:line="272" w:lineRule="auto"/>
        <w:tabs>
          <w:tab w:leader="none" w:pos="1829"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42" w:lineRule="exact"/>
        <w:rPr>
          <w:rFonts w:ascii="Arial" w:cs="Arial" w:eastAsia="Arial" w:hAnsi="Arial"/>
          <w:sz w:val="17"/>
          <w:szCs w:val="17"/>
          <w:color w:val="auto"/>
        </w:rPr>
      </w:pPr>
    </w:p>
    <w:p>
      <w:pPr>
        <w:ind w:left="1080" w:right="20" w:firstLine="480"/>
        <w:spacing w:after="0" w:line="277" w:lineRule="auto"/>
        <w:tabs>
          <w:tab w:leader="none" w:pos="1879"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2" w:lineRule="exact"/>
        <w:rPr>
          <w:sz w:val="20"/>
          <w:szCs w:val="20"/>
          <w:color w:val="auto"/>
        </w:rPr>
      </w:pPr>
    </w:p>
    <w:p>
      <w:pPr>
        <w:jc w:val="both"/>
        <w:ind w:left="1080" w:right="60"/>
        <w:spacing w:after="0" w:line="264"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 that paragraphs (i) and (ii)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periodic reports filed with or furnished to the Commission by the Registrant pursuant to Section 13 or Section 15(d) of the Exchange Act that are incorporated by reference in the Registration Statement.</w:t>
      </w:r>
    </w:p>
    <w:p>
      <w:pPr>
        <w:spacing w:after="0" w:line="33" w:lineRule="exact"/>
        <w:rPr>
          <w:sz w:val="20"/>
          <w:szCs w:val="20"/>
          <w:color w:val="auto"/>
        </w:rPr>
      </w:pPr>
    </w:p>
    <w:p>
      <w:pPr>
        <w:jc w:val="both"/>
        <w:ind w:left="540" w:firstLine="511"/>
        <w:spacing w:after="0" w:line="264" w:lineRule="auto"/>
        <w:tabs>
          <w:tab w:leader="none" w:pos="1304"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46" w:lineRule="exact"/>
        <w:rPr>
          <w:rFonts w:ascii="Arial" w:cs="Arial" w:eastAsia="Arial" w:hAnsi="Arial"/>
          <w:sz w:val="18"/>
          <w:szCs w:val="18"/>
          <w:color w:val="auto"/>
        </w:rPr>
      </w:pPr>
    </w:p>
    <w:p>
      <w:pPr>
        <w:ind w:left="540" w:right="440" w:firstLine="511"/>
        <w:spacing w:after="0" w:line="277" w:lineRule="auto"/>
        <w:tabs>
          <w:tab w:leader="none" w:pos="13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right="40" w:firstLine="542"/>
        <w:spacing w:after="0" w:line="277" w:lineRule="auto"/>
        <w:tabs>
          <w:tab w:leader="none" w:pos="7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4" w:name="page5"/>
    <w:bookmarkEnd w:id="4"/>
    <w:p>
      <w:pPr>
        <w:ind w:right="260"/>
        <w:spacing w:after="0" w:line="277" w:lineRule="auto"/>
        <w:rPr>
          <w:sz w:val="20"/>
          <w:szCs w:val="20"/>
          <w:color w:val="auto"/>
        </w:rPr>
      </w:pPr>
      <w:r>
        <w:rPr>
          <w:rFonts w:ascii="Arial" w:cs="Arial" w:eastAsia="Arial" w:hAnsi="Arial"/>
          <w:sz w:val="18"/>
          <w:szCs w:val="18"/>
          <w:color w:val="auto"/>
        </w:rPr>
        <w:t xml:space="preserve">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ind w:firstLine="542"/>
        <w:spacing w:after="0" w:line="291" w:lineRule="auto"/>
        <w:tabs>
          <w:tab w:leader="none" w:pos="71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282575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22"/>
          <w:szCs w:val="22"/>
          <w:b w:val="1"/>
          <w:bCs w:val="1"/>
          <w:color w:val="000033"/>
        </w:rPr>
        <w:t>SIGNATURES</w:t>
      </w:r>
    </w:p>
    <w:p>
      <w:pPr>
        <w:spacing w:after="0" w:line="2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000033"/>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Town of Canton, Commonwealth of Massachusetts, on this 25th day of August 2016.</w:t>
      </w:r>
    </w:p>
    <w:p>
      <w:pPr>
        <w:ind w:left="68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ESTINATION</w:t>
      </w:r>
      <w:r>
        <w:rPr>
          <w:rFonts w:ascii="Arial" w:cs="Arial" w:eastAsia="Arial" w:hAnsi="Arial"/>
          <w:sz w:val="18"/>
          <w:szCs w:val="18"/>
          <w:color w:val="auto"/>
        </w:rPr>
        <w:t xml:space="preserve"> XL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August 25, 2016</w:t>
      </w:r>
    </w:p>
    <w:p>
      <w:pPr>
        <w:spacing w:after="0" w:line="20" w:lineRule="exact"/>
        <w:rPr>
          <w:sz w:val="20"/>
          <w:szCs w:val="20"/>
          <w:color w:val="auto"/>
        </w:rPr>
      </w:pPr>
    </w:p>
    <w:p>
      <w:pPr>
        <w:ind w:left="6820"/>
        <w:spacing w:after="0"/>
        <w:tabs>
          <w:tab w:leader="none" w:pos="8520" w:val="left"/>
        </w:tabs>
        <w:rPr>
          <w:sz w:val="20"/>
          <w:szCs w:val="20"/>
          <w:color w:val="auto"/>
        </w:rPr>
      </w:pPr>
      <w:r>
        <w:rPr>
          <w:rFonts w:ascii="Arial" w:cs="Arial" w:eastAsia="Arial" w:hAnsi="Arial"/>
          <w:sz w:val="18"/>
          <w:szCs w:val="18"/>
          <w:color w:val="000033"/>
        </w:rPr>
        <w:t>By:</w:t>
      </w:r>
      <w:r>
        <w:rPr>
          <w:sz w:val="20"/>
          <w:szCs w:val="20"/>
          <w:color w:val="auto"/>
        </w:rPr>
        <w:tab/>
      </w:r>
      <w:r>
        <w:rPr>
          <w:rFonts w:ascii="Arial" w:cs="Arial" w:eastAsia="Arial" w:hAnsi="Arial"/>
          <w:sz w:val="22"/>
          <w:szCs w:val="22"/>
          <w:color w:val="000033"/>
        </w:rPr>
        <w:t>/</w:t>
      </w:r>
      <w:r>
        <w:rPr>
          <w:rFonts w:ascii="Arial" w:cs="Arial" w:eastAsia="Arial" w:hAnsi="Arial"/>
          <w:sz w:val="18"/>
          <w:szCs w:val="18"/>
          <w:color w:val="000033"/>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-3175</wp:posOffset>
            </wp:positionV>
            <wp:extent cx="2667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jc w:val="center"/>
        <w:ind w:left="7220"/>
        <w:spacing w:after="0" w:line="222" w:lineRule="auto"/>
        <w:rPr>
          <w:sz w:val="20"/>
          <w:szCs w:val="20"/>
          <w:color w:val="auto"/>
        </w:rPr>
      </w:pPr>
      <w:r>
        <w:rPr>
          <w:rFonts w:ascii="Arial" w:cs="Arial" w:eastAsia="Arial" w:hAnsi="Arial"/>
          <w:sz w:val="14"/>
          <w:szCs w:val="14"/>
          <w:b w:val="1"/>
          <w:bCs w:val="1"/>
          <w:color w:val="000033"/>
        </w:rPr>
        <w:t>Robert S. Molloy</w:t>
      </w:r>
    </w:p>
    <w:p>
      <w:pPr>
        <w:jc w:val="center"/>
        <w:ind w:left="7220"/>
        <w:spacing w:after="0"/>
        <w:rPr>
          <w:sz w:val="20"/>
          <w:szCs w:val="20"/>
          <w:color w:val="auto"/>
        </w:rPr>
      </w:pPr>
      <w:r>
        <w:rPr>
          <w:rFonts w:ascii="Arial" w:cs="Arial" w:eastAsia="Arial" w:hAnsi="Arial"/>
          <w:sz w:val="14"/>
          <w:szCs w:val="14"/>
          <w:b w:val="1"/>
          <w:bCs w:val="1"/>
          <w:color w:val="000033"/>
        </w:rPr>
        <w:t>Senior Vice President, General Counsel and Secretary</w:t>
      </w:r>
    </w:p>
    <w:p>
      <w:pPr>
        <w:spacing w:after="0" w:line="19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000033"/>
        </w:rPr>
        <w:t>Pursuant to the requirements of the Securities Exchange Act of 1934, this Registration Statement has been signed below by the following persons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center"/>
              <w:ind w:right="1379"/>
              <w:spacing w:after="0"/>
              <w:rPr>
                <w:sz w:val="20"/>
                <w:szCs w:val="20"/>
                <w:color w:val="auto"/>
              </w:rPr>
            </w:pPr>
            <w:r>
              <w:rPr>
                <w:rFonts w:ascii="Arial" w:cs="Arial" w:eastAsia="Arial" w:hAnsi="Arial"/>
                <w:sz w:val="16"/>
                <w:szCs w:val="16"/>
                <w:b w:val="1"/>
                <w:bCs w:val="1"/>
                <w:color w:val="000033"/>
                <w:w w:val="89"/>
              </w:rPr>
              <w:t>Signatures</w:t>
            </w:r>
          </w:p>
        </w:tc>
        <w:tc>
          <w:tcPr>
            <w:tcW w:w="160" w:type="dxa"/>
            <w:vAlign w:val="bottom"/>
          </w:tcPr>
          <w:p>
            <w:pPr>
              <w:spacing w:after="0"/>
              <w:rPr>
                <w:sz w:val="18"/>
                <w:szCs w:val="18"/>
                <w:color w:val="auto"/>
              </w:rPr>
            </w:pPr>
          </w:p>
        </w:tc>
        <w:tc>
          <w:tcPr>
            <w:tcW w:w="5080" w:type="dxa"/>
            <w:vAlign w:val="bottom"/>
            <w:tcBorders>
              <w:bottom w:val="single" w:sz="8" w:color="auto"/>
            </w:tcBorders>
          </w:tcPr>
          <w:p>
            <w:pPr>
              <w:ind w:left="2380"/>
              <w:spacing w:after="0"/>
              <w:rPr>
                <w:sz w:val="20"/>
                <w:szCs w:val="20"/>
                <w:color w:val="auto"/>
              </w:rPr>
            </w:pPr>
            <w:r>
              <w:rPr>
                <w:rFonts w:ascii="Arial" w:cs="Arial" w:eastAsia="Arial" w:hAnsi="Arial"/>
                <w:sz w:val="16"/>
                <w:szCs w:val="16"/>
                <w:b w:val="1"/>
                <w:bCs w:val="1"/>
                <w:color w:val="000033"/>
              </w:rPr>
              <w:t>Title</w:t>
            </w:r>
          </w:p>
        </w:tc>
        <w:tc>
          <w:tcPr>
            <w:tcW w:w="140" w:type="dxa"/>
            <w:vAlign w:val="bottom"/>
          </w:tcPr>
          <w:p>
            <w:pPr>
              <w:spacing w:after="0"/>
              <w:rPr>
                <w:sz w:val="18"/>
                <w:szCs w:val="18"/>
                <w:color w:val="auto"/>
              </w:rPr>
            </w:pPr>
          </w:p>
        </w:tc>
        <w:tc>
          <w:tcPr>
            <w:tcW w:w="194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000033"/>
              </w:rPr>
              <w:t>Date</w:t>
            </w:r>
          </w:p>
        </w:tc>
        <w:tc>
          <w:tcPr>
            <w:tcW w:w="20" w:type="dxa"/>
            <w:vAlign w:val="bottom"/>
          </w:tcPr>
          <w:p>
            <w:pPr>
              <w:spacing w:after="0"/>
              <w:rPr>
                <w:sz w:val="18"/>
                <w:szCs w:val="18"/>
                <w:color w:val="auto"/>
              </w:rPr>
            </w:pPr>
          </w:p>
        </w:tc>
      </w:tr>
      <w:tr>
        <w:trPr>
          <w:trHeight w:val="396"/>
        </w:trPr>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000033"/>
                <w:w w:val="82"/>
              </w:rPr>
              <w:t>/s/</w:t>
            </w:r>
          </w:p>
        </w:tc>
        <w:tc>
          <w:tcPr>
            <w:tcW w:w="2640" w:type="dxa"/>
            <w:vAlign w:val="bottom"/>
            <w:tcBorders>
              <w:bottom w:val="single" w:sz="8" w:color="auto"/>
            </w:tcBorders>
          </w:tcPr>
          <w:p>
            <w:pPr>
              <w:jc w:val="center"/>
              <w:ind w:right="1099"/>
              <w:spacing w:after="0"/>
              <w:rPr>
                <w:sz w:val="20"/>
                <w:szCs w:val="20"/>
                <w:color w:val="auto"/>
              </w:rPr>
            </w:pPr>
            <w:r>
              <w:rPr>
                <w:rFonts w:ascii="Arial" w:cs="Arial" w:eastAsia="Arial" w:hAnsi="Arial"/>
                <w:sz w:val="16"/>
                <w:szCs w:val="16"/>
                <w:color w:val="000033"/>
              </w:rPr>
              <w:t>DAVID A. LEVIN</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President and Chief Executive Officer (Principal Executive Officer) and</w:t>
            </w:r>
          </w:p>
        </w:tc>
        <w:tc>
          <w:tcPr>
            <w:tcW w:w="1940" w:type="dxa"/>
            <w:vAlign w:val="bottom"/>
          </w:tcPr>
          <w:p>
            <w:pPr>
              <w:spacing w:after="0"/>
              <w:rPr>
                <w:sz w:val="20"/>
                <w:szCs w:val="20"/>
                <w:color w:val="auto"/>
              </w:rPr>
            </w:pPr>
            <w:r>
              <w:rPr>
                <w:rFonts w:ascii="Arial" w:cs="Arial" w:eastAsia="Arial" w:hAnsi="Arial"/>
                <w:sz w:val="16"/>
                <w:szCs w:val="16"/>
                <w:color w:val="000033"/>
              </w:rPr>
              <w:t>August 25, 2016</w:t>
            </w:r>
          </w:p>
        </w:tc>
        <w:tc>
          <w:tcPr>
            <w:tcW w:w="20" w:type="dxa"/>
            <w:vAlign w:val="bottom"/>
          </w:tcPr>
          <w:p>
            <w:pPr>
              <w:spacing w:after="0"/>
              <w:rPr>
                <w:sz w:val="24"/>
                <w:szCs w:val="24"/>
                <w:color w:val="auto"/>
              </w:rPr>
            </w:pPr>
          </w:p>
        </w:tc>
      </w:tr>
      <w:tr>
        <w:trPr>
          <w:trHeight w:val="237"/>
        </w:trPr>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tcPr>
          <w:p>
            <w:pPr>
              <w:jc w:val="center"/>
              <w:ind w:right="1379"/>
              <w:spacing w:after="0"/>
              <w:rPr>
                <w:sz w:val="20"/>
                <w:szCs w:val="20"/>
                <w:color w:val="auto"/>
              </w:rPr>
            </w:pPr>
            <w:r>
              <w:rPr>
                <w:rFonts w:ascii="Arial" w:cs="Arial" w:eastAsia="Arial" w:hAnsi="Arial"/>
                <w:sz w:val="16"/>
                <w:szCs w:val="16"/>
                <w:b w:val="1"/>
                <w:bCs w:val="1"/>
                <w:color w:val="000033"/>
                <w:w w:val="96"/>
              </w:rPr>
              <w:t>David A. Levin</w:t>
            </w:r>
          </w:p>
        </w:tc>
        <w:tc>
          <w:tcPr>
            <w:tcW w:w="16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Director</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22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000033"/>
              </w:rPr>
              <w:t>/s/</w:t>
            </w:r>
          </w:p>
        </w:tc>
        <w:tc>
          <w:tcPr>
            <w:tcW w:w="2880" w:type="dxa"/>
            <w:vAlign w:val="bottom"/>
            <w:tcBorders>
              <w:bottom w:val="single" w:sz="8" w:color="auto"/>
            </w:tcBorders>
            <w:gridSpan w:val="2"/>
          </w:tcPr>
          <w:p>
            <w:pPr>
              <w:jc w:val="center"/>
              <w:ind w:right="859"/>
              <w:spacing w:after="0"/>
              <w:rPr>
                <w:sz w:val="20"/>
                <w:szCs w:val="20"/>
                <w:color w:val="auto"/>
              </w:rPr>
            </w:pPr>
            <w:r>
              <w:rPr>
                <w:rFonts w:ascii="Arial" w:cs="Arial" w:eastAsia="Arial" w:hAnsi="Arial"/>
                <w:sz w:val="16"/>
                <w:szCs w:val="16"/>
                <w:color w:val="000033"/>
                <w:w w:val="94"/>
              </w:rPr>
              <w:t>PETER H. STRATTON, JR.</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Senior Vice President, Chief Financial Officer and Treasurer (Principal</w:t>
            </w:r>
          </w:p>
        </w:tc>
        <w:tc>
          <w:tcPr>
            <w:tcW w:w="1940" w:type="dxa"/>
            <w:vAlign w:val="bottom"/>
          </w:tcPr>
          <w:p>
            <w:pPr>
              <w:spacing w:after="0"/>
              <w:rPr>
                <w:sz w:val="20"/>
                <w:szCs w:val="20"/>
                <w:color w:val="auto"/>
              </w:rPr>
            </w:pPr>
            <w:r>
              <w:rPr>
                <w:rFonts w:ascii="Arial" w:cs="Arial" w:eastAsia="Arial" w:hAnsi="Arial"/>
                <w:sz w:val="16"/>
                <w:szCs w:val="16"/>
                <w:color w:val="000033"/>
              </w:rPr>
              <w:t>August 25, 2016</w:t>
            </w:r>
          </w:p>
        </w:tc>
        <w:tc>
          <w:tcPr>
            <w:tcW w:w="20" w:type="dxa"/>
            <w:vAlign w:val="bottom"/>
          </w:tcPr>
          <w:p>
            <w:pPr>
              <w:spacing w:after="0"/>
              <w:rPr>
                <w:sz w:val="24"/>
                <w:szCs w:val="24"/>
                <w:color w:val="auto"/>
              </w:rPr>
            </w:pPr>
          </w:p>
        </w:tc>
      </w:tr>
      <w:tr>
        <w:trPr>
          <w:trHeight w:val="237"/>
        </w:trPr>
        <w:tc>
          <w:tcPr>
            <w:tcW w:w="1220" w:type="dxa"/>
            <w:vAlign w:val="bottom"/>
          </w:tcPr>
          <w:p>
            <w:pPr>
              <w:spacing w:after="0"/>
              <w:rPr>
                <w:sz w:val="20"/>
                <w:szCs w:val="20"/>
                <w:color w:val="auto"/>
              </w:rPr>
            </w:pPr>
          </w:p>
        </w:tc>
        <w:tc>
          <w:tcPr>
            <w:tcW w:w="2880" w:type="dxa"/>
            <w:vAlign w:val="bottom"/>
            <w:gridSpan w:val="2"/>
          </w:tcPr>
          <w:p>
            <w:pPr>
              <w:jc w:val="center"/>
              <w:ind w:right="1139"/>
              <w:spacing w:after="0"/>
              <w:rPr>
                <w:sz w:val="20"/>
                <w:szCs w:val="20"/>
                <w:color w:val="auto"/>
              </w:rPr>
            </w:pPr>
            <w:r>
              <w:rPr>
                <w:rFonts w:ascii="Arial" w:cs="Arial" w:eastAsia="Arial" w:hAnsi="Arial"/>
                <w:sz w:val="16"/>
                <w:szCs w:val="16"/>
                <w:b w:val="1"/>
                <w:bCs w:val="1"/>
                <w:color w:val="000033"/>
                <w:w w:val="94"/>
              </w:rPr>
              <w:t>Peter H. Stratton, Jr.</w:t>
            </w:r>
          </w:p>
        </w:tc>
        <w:tc>
          <w:tcPr>
            <w:tcW w:w="16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Financial Officer)</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000033"/>
                <w:w w:val="94"/>
              </w:rPr>
              <w:t>/s/</w:t>
            </w:r>
          </w:p>
        </w:tc>
        <w:tc>
          <w:tcPr>
            <w:tcW w:w="2640" w:type="dxa"/>
            <w:vAlign w:val="bottom"/>
            <w:tcBorders>
              <w:bottom w:val="single" w:sz="8" w:color="auto"/>
            </w:tcBorders>
          </w:tcPr>
          <w:p>
            <w:pPr>
              <w:jc w:val="center"/>
              <w:ind w:right="1099"/>
              <w:spacing w:after="0"/>
              <w:rPr>
                <w:sz w:val="20"/>
                <w:szCs w:val="20"/>
                <w:color w:val="auto"/>
              </w:rPr>
            </w:pPr>
            <w:r>
              <w:rPr>
                <w:rFonts w:ascii="Arial" w:cs="Arial" w:eastAsia="Arial" w:hAnsi="Arial"/>
                <w:sz w:val="16"/>
                <w:szCs w:val="16"/>
                <w:color w:val="000033"/>
                <w:w w:val="95"/>
              </w:rPr>
              <w:t>JOHN F. COONEY</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Vice President of Finance, Chief Accounting Officer and Corporate</w:t>
            </w:r>
          </w:p>
        </w:tc>
        <w:tc>
          <w:tcPr>
            <w:tcW w:w="1940" w:type="dxa"/>
            <w:vAlign w:val="bottom"/>
          </w:tcPr>
          <w:p>
            <w:pPr>
              <w:spacing w:after="0"/>
              <w:rPr>
                <w:sz w:val="20"/>
                <w:szCs w:val="20"/>
                <w:color w:val="auto"/>
              </w:rPr>
            </w:pPr>
            <w:r>
              <w:rPr>
                <w:rFonts w:ascii="Arial" w:cs="Arial" w:eastAsia="Arial" w:hAnsi="Arial"/>
                <w:sz w:val="16"/>
                <w:szCs w:val="16"/>
                <w:color w:val="000033"/>
              </w:rPr>
              <w:t>August 25, 2016</w:t>
            </w:r>
          </w:p>
        </w:tc>
        <w:tc>
          <w:tcPr>
            <w:tcW w:w="20" w:type="dxa"/>
            <w:vAlign w:val="bottom"/>
          </w:tcPr>
          <w:p>
            <w:pPr>
              <w:spacing w:after="0"/>
              <w:rPr>
                <w:sz w:val="24"/>
                <w:szCs w:val="24"/>
                <w:color w:val="auto"/>
              </w:rPr>
            </w:pPr>
          </w:p>
        </w:tc>
      </w:tr>
      <w:tr>
        <w:trPr>
          <w:trHeight w:val="237"/>
        </w:trPr>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tcPr>
          <w:p>
            <w:pPr>
              <w:jc w:val="center"/>
              <w:ind w:right="1379"/>
              <w:spacing w:after="0"/>
              <w:rPr>
                <w:sz w:val="20"/>
                <w:szCs w:val="20"/>
                <w:color w:val="auto"/>
              </w:rPr>
            </w:pPr>
            <w:r>
              <w:rPr>
                <w:rFonts w:ascii="Arial" w:cs="Arial" w:eastAsia="Arial" w:hAnsi="Arial"/>
                <w:sz w:val="16"/>
                <w:szCs w:val="16"/>
                <w:b w:val="1"/>
                <w:bCs w:val="1"/>
                <w:color w:val="000033"/>
                <w:w w:val="88"/>
              </w:rPr>
              <w:t>John F. Cooney</w:t>
            </w:r>
          </w:p>
        </w:tc>
        <w:tc>
          <w:tcPr>
            <w:tcW w:w="16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Controller (Principal Accounting Officer)</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8"/>
        </w:trPr>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000033"/>
                <w:w w:val="82"/>
              </w:rPr>
              <w:t>/s/</w:t>
            </w:r>
          </w:p>
        </w:tc>
        <w:tc>
          <w:tcPr>
            <w:tcW w:w="2880" w:type="dxa"/>
            <w:vAlign w:val="bottom"/>
            <w:tcBorders>
              <w:bottom w:val="single" w:sz="8" w:color="auto"/>
            </w:tcBorders>
            <w:gridSpan w:val="2"/>
          </w:tcPr>
          <w:p>
            <w:pPr>
              <w:jc w:val="center"/>
              <w:ind w:right="859"/>
              <w:spacing w:after="0"/>
              <w:rPr>
                <w:sz w:val="20"/>
                <w:szCs w:val="20"/>
                <w:color w:val="auto"/>
              </w:rPr>
            </w:pPr>
            <w:r>
              <w:rPr>
                <w:rFonts w:ascii="Arial" w:cs="Arial" w:eastAsia="Arial" w:hAnsi="Arial"/>
                <w:sz w:val="16"/>
                <w:szCs w:val="16"/>
                <w:color w:val="000033"/>
              </w:rPr>
              <w:t>SEYMOUR HOLTZMAN</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Executive Chairman of the Board of Directors</w:t>
            </w:r>
          </w:p>
        </w:tc>
        <w:tc>
          <w:tcPr>
            <w:tcW w:w="1940" w:type="dxa"/>
            <w:vAlign w:val="bottom"/>
          </w:tcPr>
          <w:p>
            <w:pPr>
              <w:spacing w:after="0"/>
              <w:rPr>
                <w:sz w:val="20"/>
                <w:szCs w:val="20"/>
                <w:color w:val="auto"/>
              </w:rPr>
            </w:pPr>
            <w:r>
              <w:rPr>
                <w:rFonts w:ascii="Arial" w:cs="Arial" w:eastAsia="Arial" w:hAnsi="Arial"/>
                <w:sz w:val="16"/>
                <w:szCs w:val="16"/>
                <w:color w:val="000033"/>
              </w:rPr>
              <w:t>August 25, 2016</w:t>
            </w:r>
          </w:p>
        </w:tc>
        <w:tc>
          <w:tcPr>
            <w:tcW w:w="2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2880" w:type="dxa"/>
            <w:vAlign w:val="bottom"/>
            <w:gridSpan w:val="2"/>
          </w:tcPr>
          <w:p>
            <w:pPr>
              <w:jc w:val="center"/>
              <w:ind w:right="1139"/>
              <w:spacing w:after="0"/>
              <w:rPr>
                <w:sz w:val="20"/>
                <w:szCs w:val="20"/>
                <w:color w:val="auto"/>
              </w:rPr>
            </w:pPr>
            <w:r>
              <w:rPr>
                <w:rFonts w:ascii="Arial" w:cs="Arial" w:eastAsia="Arial" w:hAnsi="Arial"/>
                <w:sz w:val="16"/>
                <w:szCs w:val="16"/>
                <w:b w:val="1"/>
                <w:bCs w:val="1"/>
                <w:color w:val="000033"/>
                <w:w w:val="92"/>
              </w:rPr>
              <w:t>Seymour Holtzman</w:t>
            </w: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8"/>
        </w:trPr>
        <w:tc>
          <w:tcPr>
            <w:tcW w:w="41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000033"/>
              </w:rPr>
              <w:t>/s/  ALAN S. BERNIKOW</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Director</w:t>
            </w:r>
          </w:p>
        </w:tc>
        <w:tc>
          <w:tcPr>
            <w:tcW w:w="1940" w:type="dxa"/>
            <w:vAlign w:val="bottom"/>
          </w:tcPr>
          <w:p>
            <w:pPr>
              <w:spacing w:after="0"/>
              <w:rPr>
                <w:sz w:val="20"/>
                <w:szCs w:val="20"/>
                <w:color w:val="auto"/>
              </w:rPr>
            </w:pPr>
            <w:r>
              <w:rPr>
                <w:rFonts w:ascii="Arial" w:cs="Arial" w:eastAsia="Arial" w:hAnsi="Arial"/>
                <w:sz w:val="16"/>
                <w:szCs w:val="16"/>
                <w:color w:val="000033"/>
              </w:rPr>
              <w:t>August 25, 2016</w:t>
            </w:r>
          </w:p>
        </w:tc>
        <w:tc>
          <w:tcPr>
            <w:tcW w:w="2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2880" w:type="dxa"/>
            <w:vAlign w:val="bottom"/>
            <w:gridSpan w:val="2"/>
          </w:tcPr>
          <w:p>
            <w:pPr>
              <w:jc w:val="center"/>
              <w:ind w:right="1139"/>
              <w:spacing w:after="0"/>
              <w:rPr>
                <w:sz w:val="20"/>
                <w:szCs w:val="20"/>
                <w:color w:val="auto"/>
              </w:rPr>
            </w:pPr>
            <w:r>
              <w:rPr>
                <w:rFonts w:ascii="Arial" w:cs="Arial" w:eastAsia="Arial" w:hAnsi="Arial"/>
                <w:sz w:val="16"/>
                <w:szCs w:val="16"/>
                <w:b w:val="1"/>
                <w:bCs w:val="1"/>
                <w:color w:val="000033"/>
                <w:w w:val="93"/>
              </w:rPr>
              <w:t>Alan S. Bernikow</w:t>
            </w: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8"/>
        </w:trPr>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000033"/>
              </w:rPr>
              <w:t>/s/</w:t>
            </w:r>
          </w:p>
        </w:tc>
        <w:tc>
          <w:tcPr>
            <w:tcW w:w="2640" w:type="dxa"/>
            <w:vAlign w:val="bottom"/>
            <w:tcBorders>
              <w:bottom w:val="single" w:sz="8" w:color="auto"/>
            </w:tcBorders>
          </w:tcPr>
          <w:p>
            <w:pPr>
              <w:jc w:val="center"/>
              <w:ind w:right="1079"/>
              <w:spacing w:after="0"/>
              <w:rPr>
                <w:sz w:val="20"/>
                <w:szCs w:val="20"/>
                <w:color w:val="auto"/>
              </w:rPr>
            </w:pPr>
            <w:r>
              <w:rPr>
                <w:rFonts w:ascii="Arial" w:cs="Arial" w:eastAsia="Arial" w:hAnsi="Arial"/>
                <w:sz w:val="16"/>
                <w:szCs w:val="16"/>
                <w:color w:val="000033"/>
                <w:w w:val="91"/>
              </w:rPr>
              <w:t>JESSE H. CHOPER</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Director</w:t>
            </w:r>
          </w:p>
        </w:tc>
        <w:tc>
          <w:tcPr>
            <w:tcW w:w="1940" w:type="dxa"/>
            <w:vAlign w:val="bottom"/>
          </w:tcPr>
          <w:p>
            <w:pPr>
              <w:spacing w:after="0"/>
              <w:rPr>
                <w:sz w:val="20"/>
                <w:szCs w:val="20"/>
                <w:color w:val="auto"/>
              </w:rPr>
            </w:pPr>
            <w:r>
              <w:rPr>
                <w:rFonts w:ascii="Arial" w:cs="Arial" w:eastAsia="Arial" w:hAnsi="Arial"/>
                <w:sz w:val="16"/>
                <w:szCs w:val="16"/>
                <w:color w:val="000033"/>
              </w:rPr>
              <w:t>August 25, 2016</w:t>
            </w:r>
          </w:p>
        </w:tc>
        <w:tc>
          <w:tcPr>
            <w:tcW w:w="2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tcPr>
          <w:p>
            <w:pPr>
              <w:jc w:val="center"/>
              <w:ind w:right="1359"/>
              <w:spacing w:after="0"/>
              <w:rPr>
                <w:sz w:val="20"/>
                <w:szCs w:val="20"/>
                <w:color w:val="auto"/>
              </w:rPr>
            </w:pPr>
            <w:r>
              <w:rPr>
                <w:rFonts w:ascii="Arial" w:cs="Arial" w:eastAsia="Arial" w:hAnsi="Arial"/>
                <w:sz w:val="16"/>
                <w:szCs w:val="16"/>
                <w:b w:val="1"/>
                <w:bCs w:val="1"/>
                <w:color w:val="000033"/>
                <w:w w:val="89"/>
              </w:rPr>
              <w:t>Jesse H. Choper</w:t>
            </w: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8"/>
        </w:trPr>
        <w:tc>
          <w:tcPr>
            <w:tcW w:w="12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center"/>
              <w:ind w:right="1139"/>
              <w:spacing w:after="0"/>
              <w:rPr>
                <w:sz w:val="20"/>
                <w:szCs w:val="20"/>
                <w:color w:val="auto"/>
              </w:rPr>
            </w:pPr>
            <w:r>
              <w:rPr>
                <w:rFonts w:ascii="Arial" w:cs="Arial" w:eastAsia="Arial" w:hAnsi="Arial"/>
                <w:sz w:val="16"/>
                <w:szCs w:val="16"/>
                <w:color w:val="000033"/>
                <w:w w:val="96"/>
              </w:rPr>
              <w:t>/s/  JOHN E. KYEES</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Director</w:t>
            </w:r>
          </w:p>
        </w:tc>
        <w:tc>
          <w:tcPr>
            <w:tcW w:w="1940" w:type="dxa"/>
            <w:vAlign w:val="bottom"/>
          </w:tcPr>
          <w:p>
            <w:pPr>
              <w:spacing w:after="0"/>
              <w:rPr>
                <w:sz w:val="20"/>
                <w:szCs w:val="20"/>
                <w:color w:val="auto"/>
              </w:rPr>
            </w:pPr>
            <w:r>
              <w:rPr>
                <w:rFonts w:ascii="Arial" w:cs="Arial" w:eastAsia="Arial" w:hAnsi="Arial"/>
                <w:sz w:val="16"/>
                <w:szCs w:val="16"/>
                <w:color w:val="000033"/>
              </w:rPr>
              <w:t>August 25, 2016</w:t>
            </w:r>
          </w:p>
        </w:tc>
        <w:tc>
          <w:tcPr>
            <w:tcW w:w="2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tcPr>
          <w:p>
            <w:pPr>
              <w:jc w:val="center"/>
              <w:ind w:right="1379"/>
              <w:spacing w:after="0"/>
              <w:rPr>
                <w:sz w:val="20"/>
                <w:szCs w:val="20"/>
                <w:color w:val="auto"/>
              </w:rPr>
            </w:pPr>
            <w:r>
              <w:rPr>
                <w:rFonts w:ascii="Arial" w:cs="Arial" w:eastAsia="Arial" w:hAnsi="Arial"/>
                <w:sz w:val="16"/>
                <w:szCs w:val="16"/>
                <w:b w:val="1"/>
                <w:bCs w:val="1"/>
                <w:color w:val="000033"/>
                <w:w w:val="89"/>
              </w:rPr>
              <w:t>John E. Kyees</w:t>
            </w: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8"/>
        </w:trPr>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000033"/>
              </w:rPr>
              <w:t>/s/</w:t>
            </w:r>
          </w:p>
        </w:tc>
        <w:tc>
          <w:tcPr>
            <w:tcW w:w="2640" w:type="dxa"/>
            <w:vAlign w:val="bottom"/>
            <w:tcBorders>
              <w:bottom w:val="single" w:sz="8" w:color="auto"/>
            </w:tcBorders>
          </w:tcPr>
          <w:p>
            <w:pPr>
              <w:jc w:val="center"/>
              <w:ind w:right="1099"/>
              <w:spacing w:after="0"/>
              <w:rPr>
                <w:sz w:val="20"/>
                <w:szCs w:val="20"/>
                <w:color w:val="auto"/>
              </w:rPr>
            </w:pPr>
            <w:r>
              <w:rPr>
                <w:rFonts w:ascii="Arial" w:cs="Arial" w:eastAsia="Arial" w:hAnsi="Arial"/>
                <w:sz w:val="16"/>
                <w:szCs w:val="16"/>
                <w:color w:val="000033"/>
              </w:rPr>
              <w:t>WILLEM MESDAG</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Director</w:t>
            </w:r>
          </w:p>
        </w:tc>
        <w:tc>
          <w:tcPr>
            <w:tcW w:w="1940" w:type="dxa"/>
            <w:vAlign w:val="bottom"/>
          </w:tcPr>
          <w:p>
            <w:pPr>
              <w:spacing w:after="0"/>
              <w:rPr>
                <w:sz w:val="20"/>
                <w:szCs w:val="20"/>
                <w:color w:val="auto"/>
              </w:rPr>
            </w:pPr>
            <w:r>
              <w:rPr>
                <w:rFonts w:ascii="Arial" w:cs="Arial" w:eastAsia="Arial" w:hAnsi="Arial"/>
                <w:sz w:val="16"/>
                <w:szCs w:val="16"/>
                <w:color w:val="000033"/>
              </w:rPr>
              <w:t>August 25, 2016</w:t>
            </w:r>
          </w:p>
        </w:tc>
        <w:tc>
          <w:tcPr>
            <w:tcW w:w="2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tcPr>
          <w:p>
            <w:pPr>
              <w:jc w:val="center"/>
              <w:ind w:right="1359"/>
              <w:spacing w:after="0"/>
              <w:rPr>
                <w:sz w:val="20"/>
                <w:szCs w:val="20"/>
                <w:color w:val="auto"/>
              </w:rPr>
            </w:pPr>
            <w:r>
              <w:rPr>
                <w:rFonts w:ascii="Arial" w:cs="Arial" w:eastAsia="Arial" w:hAnsi="Arial"/>
                <w:sz w:val="16"/>
                <w:szCs w:val="16"/>
                <w:b w:val="1"/>
                <w:bCs w:val="1"/>
                <w:color w:val="000033"/>
                <w:w w:val="93"/>
              </w:rPr>
              <w:t>Willem Mesdag</w:t>
            </w: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8"/>
        </w:trPr>
        <w:tc>
          <w:tcPr>
            <w:tcW w:w="1460" w:type="dxa"/>
            <w:vAlign w:val="bottom"/>
            <w:tcBorders>
              <w:bottom w:val="single" w:sz="8" w:color="auto"/>
            </w:tcBorders>
            <w:gridSpan w:val="2"/>
          </w:tcPr>
          <w:p>
            <w:pPr>
              <w:ind w:left="1200"/>
              <w:spacing w:after="0"/>
              <w:rPr>
                <w:sz w:val="20"/>
                <w:szCs w:val="20"/>
                <w:color w:val="auto"/>
              </w:rPr>
            </w:pPr>
            <w:r>
              <w:rPr>
                <w:rFonts w:ascii="Arial" w:cs="Arial" w:eastAsia="Arial" w:hAnsi="Arial"/>
                <w:sz w:val="16"/>
                <w:szCs w:val="16"/>
                <w:color w:val="000033"/>
              </w:rPr>
              <w:t>/s/</w:t>
            </w:r>
          </w:p>
        </w:tc>
        <w:tc>
          <w:tcPr>
            <w:tcW w:w="2640" w:type="dxa"/>
            <w:vAlign w:val="bottom"/>
            <w:tcBorders>
              <w:bottom w:val="single" w:sz="8" w:color="auto"/>
            </w:tcBorders>
          </w:tcPr>
          <w:p>
            <w:pPr>
              <w:jc w:val="center"/>
              <w:ind w:right="1099"/>
              <w:spacing w:after="0"/>
              <w:rPr>
                <w:sz w:val="20"/>
                <w:szCs w:val="20"/>
                <w:color w:val="auto"/>
              </w:rPr>
            </w:pPr>
            <w:r>
              <w:rPr>
                <w:rFonts w:ascii="Arial" w:cs="Arial" w:eastAsia="Arial" w:hAnsi="Arial"/>
                <w:sz w:val="16"/>
                <w:szCs w:val="16"/>
                <w:color w:val="000033"/>
                <w:w w:val="98"/>
              </w:rPr>
              <w:t>WARD K. MOONEY</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Director</w:t>
            </w:r>
          </w:p>
        </w:tc>
        <w:tc>
          <w:tcPr>
            <w:tcW w:w="1940" w:type="dxa"/>
            <w:vAlign w:val="bottom"/>
          </w:tcPr>
          <w:p>
            <w:pPr>
              <w:spacing w:after="0"/>
              <w:rPr>
                <w:sz w:val="20"/>
                <w:szCs w:val="20"/>
                <w:color w:val="auto"/>
              </w:rPr>
            </w:pPr>
            <w:r>
              <w:rPr>
                <w:rFonts w:ascii="Arial" w:cs="Arial" w:eastAsia="Arial" w:hAnsi="Arial"/>
                <w:sz w:val="16"/>
                <w:szCs w:val="16"/>
                <w:color w:val="000033"/>
              </w:rPr>
              <w:t>August 25, 2016</w:t>
            </w:r>
          </w:p>
        </w:tc>
        <w:tc>
          <w:tcPr>
            <w:tcW w:w="2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2880" w:type="dxa"/>
            <w:vAlign w:val="bottom"/>
            <w:gridSpan w:val="2"/>
          </w:tcPr>
          <w:p>
            <w:pPr>
              <w:jc w:val="center"/>
              <w:ind w:right="1119"/>
              <w:spacing w:after="0"/>
              <w:rPr>
                <w:sz w:val="20"/>
                <w:szCs w:val="20"/>
                <w:color w:val="auto"/>
              </w:rPr>
            </w:pPr>
            <w:r>
              <w:rPr>
                <w:rFonts w:ascii="Arial" w:cs="Arial" w:eastAsia="Arial" w:hAnsi="Arial"/>
                <w:sz w:val="16"/>
                <w:szCs w:val="16"/>
                <w:b w:val="1"/>
                <w:bCs w:val="1"/>
                <w:color w:val="000033"/>
                <w:w w:val="95"/>
              </w:rPr>
              <w:t>Ward K. Mooney</w:t>
            </w: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8"/>
        </w:trPr>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000033"/>
                <w:w w:val="94"/>
              </w:rPr>
              <w:t>/s/</w:t>
            </w:r>
          </w:p>
        </w:tc>
        <w:tc>
          <w:tcPr>
            <w:tcW w:w="2880" w:type="dxa"/>
            <w:vAlign w:val="bottom"/>
            <w:tcBorders>
              <w:bottom w:val="single" w:sz="8" w:color="auto"/>
            </w:tcBorders>
            <w:gridSpan w:val="2"/>
          </w:tcPr>
          <w:p>
            <w:pPr>
              <w:jc w:val="center"/>
              <w:ind w:right="859"/>
              <w:spacing w:after="0"/>
              <w:rPr>
                <w:sz w:val="20"/>
                <w:szCs w:val="20"/>
                <w:color w:val="auto"/>
              </w:rPr>
            </w:pPr>
            <w:r>
              <w:rPr>
                <w:rFonts w:ascii="Arial" w:cs="Arial" w:eastAsia="Arial" w:hAnsi="Arial"/>
                <w:sz w:val="16"/>
                <w:szCs w:val="16"/>
                <w:color w:val="000033"/>
                <w:w w:val="92"/>
              </w:rPr>
              <w:t>GEORGE T. PORTER, JR.</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Director</w:t>
            </w:r>
          </w:p>
        </w:tc>
        <w:tc>
          <w:tcPr>
            <w:tcW w:w="1940" w:type="dxa"/>
            <w:vAlign w:val="bottom"/>
          </w:tcPr>
          <w:p>
            <w:pPr>
              <w:spacing w:after="0"/>
              <w:rPr>
                <w:sz w:val="20"/>
                <w:szCs w:val="20"/>
                <w:color w:val="auto"/>
              </w:rPr>
            </w:pPr>
            <w:r>
              <w:rPr>
                <w:rFonts w:ascii="Arial" w:cs="Arial" w:eastAsia="Arial" w:hAnsi="Arial"/>
                <w:sz w:val="16"/>
                <w:szCs w:val="16"/>
                <w:color w:val="000033"/>
              </w:rPr>
              <w:t>August 25, 2016</w:t>
            </w:r>
          </w:p>
        </w:tc>
        <w:tc>
          <w:tcPr>
            <w:tcW w:w="2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2880" w:type="dxa"/>
            <w:vAlign w:val="bottom"/>
            <w:gridSpan w:val="2"/>
          </w:tcPr>
          <w:p>
            <w:pPr>
              <w:jc w:val="center"/>
              <w:ind w:right="1139"/>
              <w:spacing w:after="0"/>
              <w:rPr>
                <w:sz w:val="20"/>
                <w:szCs w:val="20"/>
                <w:color w:val="auto"/>
              </w:rPr>
            </w:pPr>
            <w:r>
              <w:rPr>
                <w:rFonts w:ascii="Arial" w:cs="Arial" w:eastAsia="Arial" w:hAnsi="Arial"/>
                <w:sz w:val="16"/>
                <w:szCs w:val="16"/>
                <w:b w:val="1"/>
                <w:bCs w:val="1"/>
                <w:color w:val="000033"/>
                <w:w w:val="91"/>
              </w:rPr>
              <w:t>George T. Porter, Jr.</w:t>
            </w: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8"/>
        </w:trPr>
        <w:tc>
          <w:tcPr>
            <w:tcW w:w="122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000033"/>
                <w:w w:val="82"/>
              </w:rPr>
              <w:t>/s/</w:t>
            </w:r>
          </w:p>
        </w:tc>
        <w:tc>
          <w:tcPr>
            <w:tcW w:w="2880" w:type="dxa"/>
            <w:vAlign w:val="bottom"/>
            <w:tcBorders>
              <w:bottom w:val="single" w:sz="8" w:color="auto"/>
            </w:tcBorders>
            <w:gridSpan w:val="2"/>
          </w:tcPr>
          <w:p>
            <w:pPr>
              <w:jc w:val="center"/>
              <w:ind w:right="859"/>
              <w:spacing w:after="0"/>
              <w:rPr>
                <w:sz w:val="20"/>
                <w:szCs w:val="20"/>
                <w:color w:val="auto"/>
              </w:rPr>
            </w:pPr>
            <w:r>
              <w:rPr>
                <w:rFonts w:ascii="Arial" w:cs="Arial" w:eastAsia="Arial" w:hAnsi="Arial"/>
                <w:sz w:val="16"/>
                <w:szCs w:val="16"/>
                <w:color w:val="000033"/>
                <w:w w:val="94"/>
              </w:rPr>
              <w:t>MITCHELL S. PRESSER</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Director</w:t>
            </w:r>
          </w:p>
        </w:tc>
        <w:tc>
          <w:tcPr>
            <w:tcW w:w="1940" w:type="dxa"/>
            <w:vAlign w:val="bottom"/>
          </w:tcPr>
          <w:p>
            <w:pPr>
              <w:spacing w:after="0"/>
              <w:rPr>
                <w:sz w:val="20"/>
                <w:szCs w:val="20"/>
                <w:color w:val="auto"/>
              </w:rPr>
            </w:pPr>
            <w:r>
              <w:rPr>
                <w:rFonts w:ascii="Arial" w:cs="Arial" w:eastAsia="Arial" w:hAnsi="Arial"/>
                <w:sz w:val="16"/>
                <w:szCs w:val="16"/>
                <w:color w:val="000033"/>
              </w:rPr>
              <w:t>August 25, 2016</w:t>
            </w:r>
          </w:p>
        </w:tc>
        <w:tc>
          <w:tcPr>
            <w:tcW w:w="2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2880" w:type="dxa"/>
            <w:vAlign w:val="bottom"/>
            <w:gridSpan w:val="2"/>
          </w:tcPr>
          <w:p>
            <w:pPr>
              <w:jc w:val="center"/>
              <w:ind w:right="1139"/>
              <w:spacing w:after="0"/>
              <w:rPr>
                <w:sz w:val="20"/>
                <w:szCs w:val="20"/>
                <w:color w:val="auto"/>
              </w:rPr>
            </w:pPr>
            <w:r>
              <w:rPr>
                <w:rFonts w:ascii="Arial" w:cs="Arial" w:eastAsia="Arial" w:hAnsi="Arial"/>
                <w:sz w:val="16"/>
                <w:szCs w:val="16"/>
                <w:b w:val="1"/>
                <w:bCs w:val="1"/>
                <w:color w:val="000033"/>
                <w:w w:val="91"/>
              </w:rPr>
              <w:t>Mitchell S. Presser</w:t>
            </w: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8"/>
        </w:trPr>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center"/>
              <w:ind w:right="1379"/>
              <w:spacing w:after="0"/>
              <w:rPr>
                <w:sz w:val="20"/>
                <w:szCs w:val="20"/>
                <w:color w:val="auto"/>
              </w:rPr>
            </w:pPr>
            <w:r>
              <w:rPr>
                <w:rFonts w:ascii="Arial" w:cs="Arial" w:eastAsia="Arial" w:hAnsi="Arial"/>
                <w:sz w:val="16"/>
                <w:szCs w:val="16"/>
                <w:color w:val="000033"/>
              </w:rPr>
              <w:t>/s/  IVY ROSS</w:t>
            </w:r>
          </w:p>
        </w:tc>
        <w:tc>
          <w:tcPr>
            <w:tcW w:w="16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6"/>
                <w:szCs w:val="16"/>
                <w:color w:val="000033"/>
              </w:rPr>
              <w:t>Director</w:t>
            </w:r>
          </w:p>
        </w:tc>
        <w:tc>
          <w:tcPr>
            <w:tcW w:w="1940" w:type="dxa"/>
            <w:vAlign w:val="bottom"/>
          </w:tcPr>
          <w:p>
            <w:pPr>
              <w:spacing w:after="0"/>
              <w:rPr>
                <w:sz w:val="20"/>
                <w:szCs w:val="20"/>
                <w:color w:val="auto"/>
              </w:rPr>
            </w:pPr>
            <w:r>
              <w:rPr>
                <w:rFonts w:ascii="Arial" w:cs="Arial" w:eastAsia="Arial" w:hAnsi="Arial"/>
                <w:sz w:val="16"/>
                <w:szCs w:val="16"/>
                <w:color w:val="000033"/>
              </w:rPr>
              <w:t>August 25, 2016</w:t>
            </w:r>
          </w:p>
        </w:tc>
        <w:tc>
          <w:tcPr>
            <w:tcW w:w="2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tcPr>
          <w:p>
            <w:pPr>
              <w:jc w:val="center"/>
              <w:ind w:right="1379"/>
              <w:spacing w:after="0"/>
              <w:rPr>
                <w:sz w:val="20"/>
                <w:szCs w:val="20"/>
                <w:color w:val="auto"/>
              </w:rPr>
            </w:pPr>
            <w:r>
              <w:rPr>
                <w:rFonts w:ascii="Arial" w:cs="Arial" w:eastAsia="Arial" w:hAnsi="Arial"/>
                <w:sz w:val="16"/>
                <w:szCs w:val="16"/>
                <w:b w:val="1"/>
                <w:bCs w:val="1"/>
                <w:color w:val="000033"/>
                <w:w w:val="88"/>
              </w:rPr>
              <w:t>Ivy Ross</w:t>
            </w:r>
          </w:p>
        </w:tc>
        <w:tc>
          <w:tcPr>
            <w:tcW w:w="1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53"/>
        </w:trPr>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1" w:right="219" w:bottom="1440" w:gutter="0" w:footer="0" w:header="0"/>
        </w:sectPr>
      </w:pPr>
    </w:p>
    <w:bookmarkStart w:id="6" w:name="page7"/>
    <w:bookmarkEnd w:id="6"/>
    <w:p>
      <w:pPr>
        <w:ind w:left="2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No.</w:t>
            </w:r>
          </w:p>
        </w:tc>
        <w:tc>
          <w:tcPr>
            <w:tcW w:w="10520" w:type="dxa"/>
            <w:vAlign w:val="bottom"/>
          </w:tcPr>
          <w:p>
            <w:pPr>
              <w:ind w:left="320"/>
              <w:spacing w:after="0"/>
              <w:rPr>
                <w:sz w:val="20"/>
                <w:szCs w:val="20"/>
                <w:color w:val="auto"/>
              </w:rPr>
            </w:pPr>
            <w:r>
              <w:rPr>
                <w:rFonts w:ascii="Arial" w:cs="Arial" w:eastAsia="Arial" w:hAnsi="Arial"/>
                <w:sz w:val="18"/>
                <w:szCs w:val="18"/>
                <w:b w:val="1"/>
                <w:bCs w:val="1"/>
                <w:color w:val="auto"/>
              </w:rPr>
              <w:t>Description</w:t>
            </w:r>
          </w:p>
        </w:tc>
      </w:tr>
      <w:tr>
        <w:trPr>
          <w:trHeight w:val="343"/>
        </w:trPr>
        <w:tc>
          <w:tcPr>
            <w:tcW w:w="600" w:type="dxa"/>
            <w:vAlign w:val="bottom"/>
          </w:tcPr>
          <w:p>
            <w:pPr>
              <w:spacing w:after="0"/>
              <w:rPr>
                <w:sz w:val="20"/>
                <w:szCs w:val="20"/>
                <w:color w:val="auto"/>
              </w:rPr>
            </w:pPr>
            <w:r>
              <w:rPr>
                <w:rFonts w:ascii="Arial" w:cs="Arial" w:eastAsia="Arial" w:hAnsi="Arial"/>
                <w:sz w:val="15"/>
                <w:szCs w:val="15"/>
                <w:color w:val="auto"/>
              </w:rPr>
              <w:t>5.1</w:t>
            </w:r>
          </w:p>
        </w:tc>
        <w:tc>
          <w:tcPr>
            <w:tcW w:w="10520" w:type="dxa"/>
            <w:vAlign w:val="bottom"/>
          </w:tcPr>
          <w:p>
            <w:pPr>
              <w:ind w:left="840"/>
              <w:spacing w:after="0"/>
              <w:rPr>
                <w:sz w:val="20"/>
                <w:szCs w:val="20"/>
                <w:color w:val="auto"/>
              </w:rPr>
            </w:pPr>
            <w:r>
              <w:rPr>
                <w:rFonts w:ascii="Arial" w:cs="Arial" w:eastAsia="Arial" w:hAnsi="Arial"/>
                <w:sz w:val="15"/>
                <w:szCs w:val="15"/>
                <w:color w:val="auto"/>
              </w:rPr>
              <w:t>Opinion of Greenberg Traurig LLP, counsel to the Registrant.</w:t>
            </w:r>
          </w:p>
        </w:tc>
      </w:tr>
      <w:tr>
        <w:trPr>
          <w:trHeight w:val="324"/>
        </w:trPr>
        <w:tc>
          <w:tcPr>
            <w:tcW w:w="600" w:type="dxa"/>
            <w:vAlign w:val="bottom"/>
          </w:tcPr>
          <w:p>
            <w:pPr>
              <w:spacing w:after="0"/>
              <w:rPr>
                <w:sz w:val="20"/>
                <w:szCs w:val="20"/>
                <w:color w:val="auto"/>
              </w:rPr>
            </w:pPr>
            <w:r>
              <w:rPr>
                <w:rFonts w:ascii="Arial" w:cs="Arial" w:eastAsia="Arial" w:hAnsi="Arial"/>
                <w:sz w:val="15"/>
                <w:szCs w:val="15"/>
                <w:color w:val="auto"/>
              </w:rPr>
              <w:t>23.1</w:t>
            </w:r>
          </w:p>
        </w:tc>
        <w:tc>
          <w:tcPr>
            <w:tcW w:w="10520" w:type="dxa"/>
            <w:vAlign w:val="bottom"/>
          </w:tcPr>
          <w:p>
            <w:pPr>
              <w:ind w:left="920"/>
              <w:spacing w:after="0"/>
              <w:rPr>
                <w:sz w:val="20"/>
                <w:szCs w:val="20"/>
                <w:color w:val="auto"/>
              </w:rPr>
            </w:pPr>
            <w:r>
              <w:rPr>
                <w:rFonts w:ascii="Arial" w:cs="Arial" w:eastAsia="Arial" w:hAnsi="Arial"/>
                <w:sz w:val="15"/>
                <w:szCs w:val="15"/>
                <w:color w:val="auto"/>
              </w:rPr>
              <w:t>Consent of Greenberg Traurig LLP (included in Exhibit 5.1).</w:t>
            </w:r>
          </w:p>
        </w:tc>
      </w:tr>
      <w:tr>
        <w:trPr>
          <w:trHeight w:val="324"/>
        </w:trPr>
        <w:tc>
          <w:tcPr>
            <w:tcW w:w="600" w:type="dxa"/>
            <w:vAlign w:val="bottom"/>
          </w:tcPr>
          <w:p>
            <w:pPr>
              <w:spacing w:after="0"/>
              <w:rPr>
                <w:sz w:val="20"/>
                <w:szCs w:val="20"/>
                <w:color w:val="auto"/>
              </w:rPr>
            </w:pPr>
            <w:r>
              <w:rPr>
                <w:rFonts w:ascii="Arial" w:cs="Arial" w:eastAsia="Arial" w:hAnsi="Arial"/>
                <w:sz w:val="15"/>
                <w:szCs w:val="15"/>
                <w:color w:val="auto"/>
              </w:rPr>
              <w:t>23.2</w:t>
            </w:r>
          </w:p>
        </w:tc>
        <w:tc>
          <w:tcPr>
            <w:tcW w:w="10520" w:type="dxa"/>
            <w:vAlign w:val="bottom"/>
          </w:tcPr>
          <w:p>
            <w:pPr>
              <w:ind w:left="920"/>
              <w:spacing w:after="0"/>
              <w:rPr>
                <w:sz w:val="20"/>
                <w:szCs w:val="20"/>
                <w:color w:val="auto"/>
              </w:rPr>
            </w:pPr>
            <w:r>
              <w:rPr>
                <w:rFonts w:ascii="Arial" w:cs="Arial" w:eastAsia="Arial" w:hAnsi="Arial"/>
                <w:sz w:val="15"/>
                <w:szCs w:val="15"/>
                <w:color w:val="auto"/>
              </w:rPr>
              <w:t>Consent of KPMG LLP.</w:t>
            </w:r>
          </w:p>
        </w:tc>
      </w:tr>
      <w:tr>
        <w:trPr>
          <w:trHeight w:val="292"/>
        </w:trPr>
        <w:tc>
          <w:tcPr>
            <w:tcW w:w="600" w:type="dxa"/>
            <w:vAlign w:val="bottom"/>
          </w:tcPr>
          <w:p>
            <w:pPr>
              <w:spacing w:after="0"/>
              <w:rPr>
                <w:sz w:val="20"/>
                <w:szCs w:val="20"/>
                <w:color w:val="auto"/>
              </w:rPr>
            </w:pPr>
            <w:r>
              <w:rPr>
                <w:rFonts w:ascii="Arial" w:cs="Arial" w:eastAsia="Arial" w:hAnsi="Arial"/>
                <w:sz w:val="15"/>
                <w:szCs w:val="15"/>
                <w:color w:val="auto"/>
              </w:rPr>
              <w:t>99.1</w:t>
            </w:r>
          </w:p>
        </w:tc>
        <w:tc>
          <w:tcPr>
            <w:tcW w:w="10520" w:type="dxa"/>
            <w:vAlign w:val="bottom"/>
          </w:tcPr>
          <w:p>
            <w:pPr>
              <w:ind w:left="980"/>
              <w:spacing w:after="0"/>
              <w:rPr>
                <w:sz w:val="20"/>
                <w:szCs w:val="20"/>
                <w:color w:val="auto"/>
              </w:rPr>
            </w:pPr>
            <w:r>
              <w:rPr>
                <w:rFonts w:ascii="Arial" w:cs="Arial" w:eastAsia="Arial" w:hAnsi="Arial"/>
                <w:sz w:val="15"/>
                <w:szCs w:val="15"/>
                <w:color w:val="auto"/>
                <w:w w:val="93"/>
              </w:rPr>
              <w:t>Destination XL Group, Inc. 2016 Incentive Compensation Plan (included as Exhibit 10.1 to the Registrant’s Current Report on Form 8-K filed on August 8,</w:t>
            </w:r>
          </w:p>
        </w:tc>
      </w:tr>
      <w:tr>
        <w:trPr>
          <w:trHeight w:val="194"/>
        </w:trPr>
        <w:tc>
          <w:tcPr>
            <w:tcW w:w="600" w:type="dxa"/>
            <w:vAlign w:val="bottom"/>
          </w:tcPr>
          <w:p>
            <w:pPr>
              <w:spacing w:after="0"/>
              <w:rPr>
                <w:sz w:val="16"/>
                <w:szCs w:val="16"/>
                <w:color w:val="auto"/>
              </w:rPr>
            </w:pPr>
          </w:p>
        </w:tc>
        <w:tc>
          <w:tcPr>
            <w:tcW w:w="10520" w:type="dxa"/>
            <w:vAlign w:val="bottom"/>
          </w:tcPr>
          <w:p>
            <w:pPr>
              <w:ind w:left="980"/>
              <w:spacing w:after="0"/>
              <w:rPr>
                <w:sz w:val="20"/>
                <w:szCs w:val="20"/>
                <w:color w:val="auto"/>
              </w:rPr>
            </w:pPr>
            <w:r>
              <w:rPr>
                <w:rFonts w:ascii="Arial" w:cs="Arial" w:eastAsia="Arial" w:hAnsi="Arial"/>
                <w:sz w:val="15"/>
                <w:szCs w:val="15"/>
                <w:color w:val="auto"/>
              </w:rPr>
              <w:t>2016 and incorporated herein by reference).</w:t>
            </w:r>
          </w:p>
        </w:tc>
      </w:tr>
    </w:tbl>
    <w:p>
      <w:pPr>
        <w:sectPr>
          <w:pgSz w:w="11900" w:h="16838" w:orient="portrait"/>
          <w:cols w:equalWidth="0" w:num="1">
            <w:col w:w="11120"/>
          </w:cols>
          <w:pgMar w:left="240" w:top="121" w:right="53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826895" cy="2832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August 25, 2016</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Destination Group XL,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555 Turnpike Street</w:t>
      </w:r>
    </w:p>
    <w:p>
      <w:pPr>
        <w:spacing w:after="0"/>
        <w:rPr>
          <w:sz w:val="20"/>
          <w:szCs w:val="20"/>
          <w:color w:val="auto"/>
        </w:rPr>
      </w:pPr>
      <w:r>
        <w:rPr>
          <w:rFonts w:ascii="Arial" w:cs="Arial" w:eastAsia="Arial" w:hAnsi="Arial"/>
          <w:sz w:val="20"/>
          <w:szCs w:val="20"/>
          <w:color w:val="auto"/>
        </w:rPr>
        <w:t>Canton, Massachusetts 02021</w:t>
      </w:r>
    </w:p>
    <w:p>
      <w:pPr>
        <w:spacing w:after="0" w:line="8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Re:</w:t>
      </w:r>
      <w:r>
        <w:rPr>
          <w:sz w:val="20"/>
          <w:szCs w:val="20"/>
          <w:color w:val="auto"/>
        </w:rPr>
        <w:tab/>
      </w:r>
      <w:r>
        <w:rPr>
          <w:rFonts w:ascii="Arial" w:cs="Arial" w:eastAsia="Arial" w:hAnsi="Arial"/>
          <w:sz w:val="20"/>
          <w:szCs w:val="20"/>
          <w:b w:val="1"/>
          <w:bCs w:val="1"/>
          <w:color w:val="auto"/>
        </w:rPr>
        <w:t>Destination Group XL, Inc. 2016 Incentive Compensation Plan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We have assisted in the preparation of a Registration Statement on Form S-8 (the “Registration Statement”) to be filed with the Securities and Exchange Commission (the “Commission”) under the Securities Act of 1933, as amended (the “Securities Act”), relating to an aggregate of 5,725,538 shares (the “Shares”) of common stock, $0.01 par value per share (the “Common Stock”), of Destination Group XL, Inc., a Delaware corporation (the “Company”), that may be issued under the Company’s 2016 Incentive Compensation Plan (the “Plan”).</w:t>
      </w:r>
    </w:p>
    <w:p>
      <w:pPr>
        <w:spacing w:after="0" w:line="162" w:lineRule="exact"/>
        <w:rPr>
          <w:sz w:val="20"/>
          <w:szCs w:val="20"/>
          <w:color w:val="auto"/>
        </w:rPr>
      </w:pPr>
    </w:p>
    <w:p>
      <w:pPr>
        <w:jc w:val="both"/>
        <w:ind w:right="140"/>
        <w:spacing w:after="0" w:line="269" w:lineRule="auto"/>
        <w:rPr>
          <w:sz w:val="20"/>
          <w:szCs w:val="20"/>
          <w:color w:val="auto"/>
        </w:rPr>
      </w:pPr>
      <w:r>
        <w:rPr>
          <w:rFonts w:ascii="Arial" w:cs="Arial" w:eastAsia="Arial" w:hAnsi="Arial"/>
          <w:sz w:val="19"/>
          <w:szCs w:val="19"/>
          <w:color w:val="auto"/>
        </w:rPr>
        <w:t>We have examined the Certificate of Incorporation and Bylaws of the Company, each as amended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 to register and qualify the Shares for sale under all applicable state securities or “Blue Sky” laws. We express no opinion herein as to the laws of any state or jurisdiction other than the General Corporation Law of the State of Delaware and the federal laws of the United States of America.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Please note that we are opining only as to the matters expressly set forth herein, and no opinion should be inferred as to any other matters.</w:t>
      </w:r>
    </w:p>
    <w:p>
      <w:pPr>
        <w:spacing w:after="0" w:line="239"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Based on the foregoing, we are of the opinion that the Shares have been duly authorized for issuance and, when the Shares are issued and paid for in accordance with the terms and conditions of the Plan, the Shares will be validly issued, fully paid and nonassessable.</w:t>
      </w:r>
    </w:p>
    <w:p>
      <w:pPr>
        <w:spacing w:after="0" w:line="130"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We hereby consent to the filing of this opinion with the Commission in connection with the Registration Statement in accordance with the requirements of 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52"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Very truly yours,</w:t>
      </w:r>
    </w:p>
    <w:p>
      <w:pPr>
        <w:spacing w:after="0" w:line="216"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/s/ GREENBERG TRAURIG, LLP</w:t>
      </w:r>
    </w:p>
    <w:p>
      <w:pPr>
        <w:spacing w:after="0" w:line="216"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GREENBERG TRAURIG, LLP</w:t>
      </w:r>
    </w:p>
    <w:p>
      <w:pPr>
        <w:spacing w:after="0" w:line="320"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GREENBERG TRAURIG, LLP N ATTORNEYS AT LAW N </w:t>
      </w:r>
      <w:r>
        <w:rPr>
          <w:rFonts w:ascii="Arial" w:cs="Arial" w:eastAsia="Arial" w:hAnsi="Arial"/>
          <w:sz w:val="9"/>
          <w:szCs w:val="9"/>
          <w:u w:val="single" w:color="auto"/>
          <w:color w:val="0000FF"/>
        </w:rPr>
        <w:t>WWW.GTLAW.COM</w:t>
      </w:r>
    </w:p>
    <w:p>
      <w:pPr>
        <w:spacing w:after="0" w:line="86" w:lineRule="exact"/>
        <w:rPr>
          <w:sz w:val="20"/>
          <w:szCs w:val="20"/>
          <w:color w:val="auto"/>
        </w:rPr>
      </w:pPr>
    </w:p>
    <w:p>
      <w:pPr>
        <w:spacing w:after="0"/>
        <w:rPr>
          <w:sz w:val="20"/>
          <w:szCs w:val="20"/>
          <w:color w:val="auto"/>
        </w:rPr>
      </w:pPr>
      <w:r>
        <w:rPr>
          <w:rFonts w:ascii="Arial" w:cs="Arial" w:eastAsia="Arial" w:hAnsi="Arial"/>
          <w:sz w:val="9"/>
          <w:szCs w:val="9"/>
          <w:color w:val="auto"/>
        </w:rPr>
        <w:t>ONE INTERNATIONAL PLACE, 20TH FLOOR, BOSTON, MASSACHUSETTS 02110 N TEL: 617.310.6000 N FAX 617.310.6001</w:t>
      </w:r>
    </w:p>
    <w:p>
      <w:pPr>
        <w:sectPr>
          <w:pgSz w:w="11900" w:h="16838" w:orient="portrait"/>
          <w:cols w:equalWidth="0" w:num="1">
            <w:col w:w="11420"/>
          </w:cols>
          <w:pgMar w:left="240" w:top="130" w:right="239" w:bottom="1440" w:gutter="0" w:footer="0" w:header="0"/>
        </w:sectPr>
      </w:pPr>
    </w:p>
    <w:bookmarkStart w:id="8" w:name="page9"/>
    <w:bookmarkEnd w:id="8"/>
    <w:p>
      <w:pPr>
        <w:ind w:left="1520"/>
        <w:spacing w:after="0"/>
        <w:rPr>
          <w:sz w:val="20"/>
          <w:szCs w:val="20"/>
          <w:color w:val="auto"/>
        </w:rPr>
      </w:pPr>
      <w:r>
        <w:rPr>
          <w:rFonts w:ascii="Arial" w:cs="Arial" w:eastAsia="Arial" w:hAnsi="Arial"/>
          <w:sz w:val="20"/>
          <w:szCs w:val="20"/>
          <w:color w:val="auto"/>
        </w:rPr>
        <w:t>Exhibit 23.2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 and Shareholders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Destination XL Group, Inc.:</w:t>
      </w:r>
    </w:p>
    <w:p>
      <w:pPr>
        <w:spacing w:after="0" w:line="3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use of our reports dated March 18, 2016 with respect to the consolidated balance sheets of Destination XL Group, Inc. as of January 30, 2016 and January 31, 2015 and the related consolidated statements of operations, comprehensive income (loss), changes in stockholders’ equity, and cash flows for each of the years in the three-year period ended January 30, 2016, and the effectiveness of internal control over financial reporting as of January 30, 2016 incorporated by reference herein.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 KPMG LLP</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August 25,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decimal"/>
      <w:start w:val="1"/>
    </w:lvl>
    <w:lvl w:ilvl="1">
      <w:lvlJc w:val="left"/>
      <w:lvlText w:val="(%2)"/>
      <w:numFmt w:val="decimal"/>
      <w:start w:val="2"/>
    </w:lvl>
  </w:abstractNum>
  <w:abstractNum w:abstractNumId="4">
    <w:nsid w:val="3D1B58BA"/>
    <w:multiLevelType w:val="hybridMultilevel"/>
    <w:lvl w:ilvl="0">
      <w:lvlJc w:val="left"/>
      <w:lvlText w:val="%1."/>
      <w:numFmt w:val="decimal"/>
      <w:start w:val="2"/>
    </w:lvl>
    <w:lvl w:ilvl="1">
      <w:lvlJc w:val="left"/>
      <w:lvlText w:val="%2"/>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2019-12-05T20:23:24Z</dcterms:created>
  <dcterms:modified xsi:type="dcterms:W3CDTF">2019-12-05T20:23:24Z</dcterms:modified>
</cp:coreProperties>
</file>