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dxlg-20240808.htm"/>
      <w:bookmarkStart w:id="1" w:name="ksdxlg202408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08,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DESTINATION XL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01-34219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04-2623104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555 Turnpike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Canton,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02021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5999"/>
      </w:tblGrid>
      <w:tr>
        <w:trPr/>
        <w:tc>
          <w:tcPr>
            <w:tcW w:w="5999" w:type="dxa"/>
            <w:tcBorders/>
            <w:vAlign w:val="center"/>
          </w:tcPr>
          <w:p>
            <w:pPr>
              <w:pStyle w:val="TableContents"/>
              <w:bidi w:val="0"/>
              <w:spacing w:before="0" w:after="283"/>
              <w:jc w:val="left"/>
              <w:rPr>
                <w:sz w:val="4"/>
                <w:szCs w:val="4"/>
              </w:rPr>
            </w:pPr>
            <w:r>
              <w:rPr>
                <w:sz w:val="4"/>
                <w:szCs w:val="4"/>
              </w:rPr>
            </w:r>
          </w:p>
        </w:tc>
      </w:tr>
      <w:tr>
        <w:trPr/>
        <w:tc>
          <w:tcPr>
            <w:tcW w:w="599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828-9300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DXLG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2016 Incentive Compensation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August 8, 2024, Destination XL Group, Inc. (the “Company”) held its Annual Meeting of Stockholders (the “Annual Meeting”) as discussed in Item 5.07 below. At the Annual Meeting, the Company’s stockholders approved amendments to the Company’s 2016 Incentive Compensation Plan (the “2016 Plan”), including an increase in the total number of shares of common stock authorized for issuance under the 2016 Plan by 6,150,000 shares.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 description of the material features of the 2016 Plan see “Proposal 3 –Amendments to Our 2016 Incentive Compensation Plan, Including the Increase in the Total Number of Shares of Common Stock Authorized for Issuance Under the Plan By 6,150,000 shares. –Summary of the 2016 Incentive Compensation Plan” on pages 43 through 50 of the Company’s Definitive Proxy Statement on Schedule 14A filed on June 28, 2024 in connection with the Annual Meeting. </w:t>
      </w:r>
      <w:r>
        <w:rPr>
          <w:rFonts w:ascii="Times New Roman" w:hAnsi="Times New Roman"/>
          <w:color w:val="212121"/>
          <w:sz w:val="20"/>
        </w:rPr>
        <w:t xml:space="preserve">Such description is qualified in its entirety by reference to the </w:t>
      </w:r>
      <w:r>
        <w:rPr>
          <w:rFonts w:ascii="Times New Roman" w:hAnsi="Times New Roman"/>
          <w:color w:val="000000"/>
          <w:sz w:val="20"/>
        </w:rPr>
        <w:t>2016 Plan, as approved and amended by the Company’s Board of Directors and stockholders, which is filed as Exhibit 10.1 hereto and incorporated herein by reference.</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8, 2024, the Company held its Annual Meeting. Set forth below are the matters submitted at the Annual Meeting by the Board of Directors of the Company to a vote of stockholders and the final results of the voting for each proposal.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Proposal 1: Election of Directors.</w:t>
      </w:r>
    </w:p>
    <w:p>
      <w:pPr>
        <w:pStyle w:val="TextBody"/>
        <w:bidi w:val="0"/>
        <w:jc w:val="left"/>
        <w:rPr>
          <w:rFonts w:ascii="Times New Roman" w:hAnsi="Times New Roman"/>
          <w:color w:val="000000"/>
          <w:sz w:val="20"/>
        </w:rPr>
      </w:pPr>
      <w:r>
        <w:rPr>
          <w:rFonts w:ascii="Times New Roman" w:hAnsi="Times New Roman"/>
          <w:color w:val="000000"/>
          <w:sz w:val="20"/>
        </w:rPr>
        <w:t>The Company’s stockholders elected seven directors to hold office until the 2024 Annual Meeting of Stockholders and until their respective successors are duly elected and qualified. The results of the voting were as follows:</w:t>
      </w:r>
    </w:p>
    <w:p>
      <w:pPr>
        <w:pStyle w:val="TextBody"/>
        <w:bidi w:val="0"/>
        <w:jc w:val="left"/>
        <w:rPr/>
      </w:pPr>
      <w:r>
        <w:rPr/>
        <w:t> </w:t>
      </w:r>
    </w:p>
    <w:tbl>
      <w:tblPr>
        <w:tblW w:w="6929" w:type="dxa"/>
        <w:jc w:val="left"/>
        <w:tblInd w:w="0" w:type="dxa"/>
        <w:tblLayout w:type="fixed"/>
        <w:tblCellMar>
          <w:top w:w="28" w:type="dxa"/>
          <w:left w:w="28" w:type="dxa"/>
          <w:bottom w:w="28" w:type="dxa"/>
          <w:right w:w="28" w:type="dxa"/>
        </w:tblCellMar>
      </w:tblPr>
      <w:tblGrid>
        <w:gridCol w:w="1681"/>
        <w:gridCol w:w="146"/>
        <w:gridCol w:w="1036"/>
        <w:gridCol w:w="146"/>
        <w:gridCol w:w="146"/>
        <w:gridCol w:w="785"/>
        <w:gridCol w:w="146"/>
        <w:gridCol w:w="189"/>
        <w:gridCol w:w="742"/>
        <w:gridCol w:w="146"/>
        <w:gridCol w:w="213"/>
        <w:gridCol w:w="1362"/>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Harvey S. Kanter</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41,504,373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173,853</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9,965</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Carmen R. Bauza</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40,972,053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707,568</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 Boyle</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40,803,516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876,000</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Lionel F. Conacher</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41,142,400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537,066</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Willem Mesdag</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40,962,152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717,314</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8,725</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Ivy Ross</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41,331,891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347,702</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8,598</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r>
        <w:trPr/>
        <w:tc>
          <w:tcPr>
            <w:tcW w:w="16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Elaine K. Rubin</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40,826,959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852,449</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8,783</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Proposal 2: Advisory Vote on Compensation of Named Executive Offivers.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compensation of the Company's named executive officers was approved by a non-binding advisory vote based upon the following votes:</w:t>
      </w:r>
    </w:p>
    <w:p>
      <w:pPr>
        <w:pStyle w:val="TextBody"/>
        <w:bidi w:val="0"/>
        <w:spacing w:before="120" w:after="283"/>
        <w:jc w:val="both"/>
        <w:rPr/>
      </w:pPr>
      <w:r>
        <w:rPr/>
        <w:t> </w:t>
      </w:r>
    </w:p>
    <w:tbl>
      <w:tblPr>
        <w:tblW w:w="5555" w:type="dxa"/>
        <w:jc w:val="left"/>
        <w:tblInd w:w="0" w:type="dxa"/>
        <w:tblLayout w:type="fixed"/>
        <w:tblCellMar>
          <w:top w:w="28" w:type="dxa"/>
          <w:left w:w="28" w:type="dxa"/>
          <w:bottom w:w="28" w:type="dxa"/>
          <w:right w:w="28" w:type="dxa"/>
        </w:tblCellMar>
      </w:tblPr>
      <w:tblGrid>
        <w:gridCol w:w="161"/>
        <w:gridCol w:w="1036"/>
        <w:gridCol w:w="146"/>
        <w:gridCol w:w="146"/>
        <w:gridCol w:w="931"/>
        <w:gridCol w:w="146"/>
        <w:gridCol w:w="146"/>
        <w:gridCol w:w="931"/>
        <w:gridCol w:w="146"/>
        <w:gridCol w:w="213"/>
        <w:gridCol w:w="1362"/>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36,322,608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4,325,961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1,039,622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b/>
          <w:color w:val="000000"/>
          <w:sz w:val="20"/>
          <w:u w:val="single"/>
        </w:rPr>
      </w:pPr>
      <w:r>
        <w:rPr>
          <w:rFonts w:ascii="Times New Roman" w:hAnsi="Times New Roman"/>
          <w:b/>
          <w:color w:val="000000"/>
          <w:sz w:val="20"/>
          <w:u w:val="single"/>
        </w:rPr>
        <w:t>Proposal 3: Approval of Amendments to the 2016 Incentive Compensation Plan.</w:t>
      </w:r>
    </w:p>
    <w:p>
      <w:pPr>
        <w:pStyle w:val="TextBody"/>
        <w:bidi w:val="0"/>
        <w:jc w:val="left"/>
        <w:rPr>
          <w:rFonts w:ascii="Times New Roman" w:hAnsi="Times New Roman"/>
          <w:color w:val="000000"/>
          <w:sz w:val="20"/>
        </w:rPr>
      </w:pPr>
      <w:r>
        <w:rPr>
          <w:rFonts w:ascii="Times New Roman" w:hAnsi="Times New Roman"/>
          <w:color w:val="000000"/>
          <w:sz w:val="20"/>
        </w:rPr>
        <w:t>The approval of amendments to our 2016 Incentive Compensation Plan, including the increase in the total number of shares of common stock authorized for issuance under the plan by 6,150,000 shares.:</w:t>
      </w:r>
    </w:p>
    <w:p>
      <w:pPr>
        <w:pStyle w:val="TextBody"/>
        <w:bidi w:val="0"/>
        <w:jc w:val="left"/>
        <w:rPr/>
      </w:pPr>
      <w:r>
        <w:rPr/>
        <w:t> </w:t>
      </w:r>
    </w:p>
    <w:tbl>
      <w:tblPr>
        <w:tblW w:w="5409" w:type="dxa"/>
        <w:jc w:val="left"/>
        <w:tblInd w:w="0" w:type="dxa"/>
        <w:tblLayout w:type="fixed"/>
        <w:tblCellMar>
          <w:top w:w="28" w:type="dxa"/>
          <w:left w:w="28" w:type="dxa"/>
          <w:bottom w:w="28" w:type="dxa"/>
          <w:right w:w="28" w:type="dxa"/>
        </w:tblCellMar>
      </w:tblPr>
      <w:tblGrid>
        <w:gridCol w:w="161"/>
        <w:gridCol w:w="1036"/>
        <w:gridCol w:w="146"/>
        <w:gridCol w:w="146"/>
        <w:gridCol w:w="931"/>
        <w:gridCol w:w="146"/>
        <w:gridCol w:w="146"/>
        <w:gridCol w:w="785"/>
        <w:gridCol w:w="146"/>
        <w:gridCol w:w="213"/>
        <w:gridCol w:w="1362"/>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39,007,855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2,575,460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104,876</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3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5,777,624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Proposal 4: Ratification of Appointment of Independent Registered Public Accountants.</w:t>
      </w:r>
    </w:p>
    <w:p>
      <w:pPr>
        <w:pStyle w:val="TextBody"/>
        <w:bidi w:val="0"/>
        <w:jc w:val="both"/>
        <w:rPr>
          <w:rFonts w:ascii="Times New Roman" w:hAnsi="Times New Roman"/>
          <w:color w:val="000000"/>
          <w:sz w:val="20"/>
        </w:rPr>
      </w:pPr>
      <w:r>
        <w:rPr>
          <w:rFonts w:ascii="Times New Roman" w:hAnsi="Times New Roman"/>
          <w:color w:val="000000"/>
          <w:sz w:val="20"/>
        </w:rPr>
        <w:t>The appointment of KPMG LLP as the Company’s independent registered public accounting firm for fiscal year ending February 1, 2025 was ratified based upon the following votes:</w:t>
      </w:r>
    </w:p>
    <w:p>
      <w:pPr>
        <w:pStyle w:val="TextBody"/>
        <w:bidi w:val="0"/>
        <w:jc w:val="both"/>
        <w:rPr/>
      </w:pPr>
      <w:r>
        <w:rPr/>
        <w:t> </w:t>
      </w:r>
    </w:p>
    <w:tbl>
      <w:tblPr>
        <w:tblW w:w="3542" w:type="dxa"/>
        <w:jc w:val="left"/>
        <w:tblInd w:w="0" w:type="dxa"/>
        <w:tblLayout w:type="fixed"/>
        <w:tblCellMar>
          <w:top w:w="28" w:type="dxa"/>
          <w:left w:w="28" w:type="dxa"/>
          <w:bottom w:w="28" w:type="dxa"/>
          <w:right w:w="28" w:type="dxa"/>
        </w:tblCellMar>
      </w:tblPr>
      <w:tblGrid>
        <w:gridCol w:w="161"/>
        <w:gridCol w:w="1036"/>
        <w:gridCol w:w="146"/>
        <w:gridCol w:w="146"/>
        <w:gridCol w:w="785"/>
        <w:gridCol w:w="146"/>
        <w:gridCol w:w="165"/>
        <w:gridCol w:w="76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ABSTAIN</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1"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47,264,806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120,030</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76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80,979</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21"/>
        <w:gridCol w:w="146"/>
        <w:gridCol w:w="9138"/>
      </w:tblGrid>
      <w:tr>
        <w:trPr/>
        <w:tc>
          <w:tcPr>
            <w:tcW w:w="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38" w:type="dxa"/>
            <w:tcBorders/>
            <w:vAlign w:val="center"/>
          </w:tcPr>
          <w:p>
            <w:pPr>
              <w:pStyle w:val="TableContents"/>
              <w:bidi w:val="0"/>
              <w:spacing w:before="0" w:after="283"/>
              <w:jc w:val="left"/>
              <w:rPr>
                <w:sz w:val="4"/>
                <w:szCs w:val="4"/>
              </w:rPr>
            </w:pPr>
            <w:r>
              <w:rPr>
                <w:sz w:val="4"/>
                <w:szCs w:val="4"/>
              </w:rPr>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Destination XL Group, Inc. Second Amended and Restated 2016 Incentive Compensation Plan</w:t>
            </w:r>
          </w:p>
        </w:tc>
      </w:tr>
      <w:tr>
        <w:trPr/>
        <w:tc>
          <w:tcPr>
            <w:tcW w:w="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Cover Page Interactive Data File – The cover page interactive data file does not appear in the interactive data file because its XBRL tags are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7"/>
        <w:jc w:val="left"/>
        <w:rPr/>
      </w:pPr>
      <w:r>
        <w:rPr/>
        <w:t> </w:t>
      </w:r>
    </w:p>
    <w:tbl>
      <w:tblPr>
        <w:tblW w:w="5224" w:type="dxa"/>
        <w:jc w:val="left"/>
        <w:tblInd w:w="0" w:type="dxa"/>
        <w:tblLayout w:type="fixed"/>
        <w:tblCellMar>
          <w:top w:w="28" w:type="dxa"/>
          <w:left w:w="28" w:type="dxa"/>
          <w:bottom w:w="28" w:type="dxa"/>
          <w:right w:w="28" w:type="dxa"/>
        </w:tblCellMar>
      </w:tblPr>
      <w:tblGrid>
        <w:gridCol w:w="556"/>
        <w:gridCol w:w="1351"/>
        <w:gridCol w:w="451"/>
        <w:gridCol w:w="286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DESTINATION XL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8, 2024</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Robert S. Molloy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Robert S. Molloy</w:t>
              <w:br/>
              <w:t>General Counsel and Secretary</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dxlg-ex10_1.htm"/>
      <w:bookmarkStart w:id="3" w:name="ksdxlgex10_1"/>
      <w:bookmarkEnd w:id="2"/>
      <w:bookmarkEnd w:id="3"/>
      <w:r>
        <w:rPr/>
        <w:t> </w:t>
      </w:r>
      <w:r>
        <w:br w:type="page"/>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Exhibit 10.1</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aps/>
          <w:color w:val="000000"/>
          <w:sz w:val="28"/>
        </w:rPr>
      </w:pPr>
      <w:r>
        <w:rPr>
          <w:rFonts w:ascii="Times New Roman" w:hAnsi="Times New Roman"/>
          <w:b/>
          <w:caps/>
          <w:color w:val="000000"/>
          <w:sz w:val="28"/>
        </w:rPr>
        <w:t>DESTINATION XL GROUP, INC.</w:t>
      </w:r>
    </w:p>
    <w:p>
      <w:pPr>
        <w:pStyle w:val="TextBody"/>
        <w:bidi w:val="0"/>
        <w:jc w:val="center"/>
        <w:rPr>
          <w:rFonts w:ascii="Times New Roman" w:hAnsi="Times New Roman"/>
          <w:b/>
          <w:caps/>
          <w:color w:val="000000"/>
          <w:sz w:val="28"/>
        </w:rPr>
      </w:pPr>
      <w:r>
        <w:rPr>
          <w:rFonts w:ascii="Times New Roman" w:hAnsi="Times New Roman"/>
          <w:b/>
          <w:caps/>
          <w:color w:val="000000"/>
          <w:sz w:val="28"/>
        </w:rPr>
        <w:t>SECOND aMENDED AND RESTATED</w:t>
      </w:r>
    </w:p>
    <w:p>
      <w:pPr>
        <w:pStyle w:val="TextBody"/>
        <w:bidi w:val="0"/>
        <w:jc w:val="center"/>
        <w:rPr>
          <w:rFonts w:ascii="Times New Roman" w:hAnsi="Times New Roman"/>
          <w:b/>
          <w:caps/>
          <w:color w:val="000000"/>
          <w:sz w:val="28"/>
        </w:rPr>
      </w:pPr>
      <w:r>
        <w:rPr>
          <w:rFonts w:ascii="Times New Roman" w:hAnsi="Times New Roman"/>
          <w:b/>
          <w:caps/>
          <w:color w:val="000000"/>
          <w:sz w:val="28"/>
        </w:rPr>
        <w:t>2016 INCENTIVE COMPENSATION PLAN</w:t>
      </w:r>
    </w:p>
    <w:p>
      <w:pPr>
        <w:pStyle w:val="TextBody"/>
        <w:bidi w:val="0"/>
        <w:jc w:val="center"/>
        <w:rPr>
          <w:rFonts w:ascii="Times New Roman" w:hAnsi="Times New Roman"/>
          <w:sz w:val="20"/>
        </w:rPr>
      </w:pPr>
      <w:r>
        <w:rPr>
          <w:rFonts w:ascii="Times New Roman" w:hAnsi="Times New Roman"/>
          <w:b/>
          <w:caps/>
          <w:color w:val="000000"/>
          <w:sz w:val="28"/>
        </w:rPr>
        <w:t>effective august 8, 2024</w:t>
      </w:r>
      <w:r>
        <w:rPr>
          <w:rFonts w:ascii="Times New Roman" w:hAnsi="Times New Roman"/>
          <w:caps/>
          <w:color w:val="000000"/>
          <w:sz w:val="20"/>
        </w:rPr>
        <w:t xml:space="preserve"> </w:t>
      </w:r>
    </w:p>
    <w:p>
      <w:pPr>
        <w:pStyle w:val="TextBody"/>
        <w:bidi w:val="0"/>
        <w:jc w:val="left"/>
        <w:rPr/>
      </w:pPr>
      <w:r>
        <w:rPr/>
        <w:t> </w:t>
      </w:r>
    </w:p>
    <w:p>
      <w:pPr>
        <w:pStyle w:val="TextBody"/>
        <w:bidi w:val="0"/>
        <w:jc w:val="center"/>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DESTINATION XL GROUP, INC.</w:t>
      </w:r>
    </w:p>
    <w:p>
      <w:pPr>
        <w:pStyle w:val="TextBody"/>
        <w:bidi w:val="0"/>
        <w:jc w:val="center"/>
        <w:rPr>
          <w:rFonts w:ascii="Times New Roman" w:hAnsi="Times New Roman"/>
          <w:sz w:val="20"/>
        </w:rPr>
      </w:pPr>
      <w:r>
        <w:rPr>
          <w:rFonts w:ascii="Times New Roman" w:hAnsi="Times New Roman"/>
          <w:b/>
          <w:caps/>
          <w:color w:val="000000"/>
          <w:sz w:val="24"/>
        </w:rPr>
        <w:t>SECOND AMENDED AND RESTATED 2016 INCENTIVE COMPENSATION PLAN</w:t>
      </w:r>
      <w:r>
        <w:rPr>
          <w:rFonts w:ascii="Times New Roman" w:hAnsi="Times New Roman"/>
          <w:caps/>
          <w:color w:val="000000"/>
          <w:sz w:val="20"/>
        </w:rPr>
        <w:t xml:space="preserve"> </w:t>
      </w:r>
    </w:p>
    <w:p>
      <w:pPr>
        <w:pStyle w:val="TextBody"/>
        <w:bidi w:val="0"/>
        <w:jc w:val="left"/>
        <w:rPr/>
      </w:pPr>
      <w:r>
        <w:rPr/>
        <w:t> </w:t>
      </w:r>
    </w:p>
    <w:p>
      <w:pPr>
        <w:pStyle w:val="TextBody"/>
        <w:bidi w:val="0"/>
        <w:spacing w:before="0" w:after="100"/>
        <w:jc w:val="left"/>
        <w:rPr/>
      </w:pPr>
      <w:r>
        <w:rPr/>
        <w:t> </w:t>
      </w:r>
    </w:p>
    <w:tbl>
      <w:tblPr>
        <w:tblW w:w="4638" w:type="dxa"/>
        <w:jc w:val="left"/>
        <w:tblInd w:w="0" w:type="dxa"/>
        <w:tblLayout w:type="fixed"/>
        <w:tblCellMar>
          <w:top w:w="28" w:type="dxa"/>
          <w:left w:w="28" w:type="dxa"/>
          <w:bottom w:w="28" w:type="dxa"/>
          <w:right w:w="28" w:type="dxa"/>
        </w:tblCellMar>
      </w:tblPr>
      <w:tblGrid>
        <w:gridCol w:w="556"/>
        <w:gridCol w:w="3541"/>
        <w:gridCol w:w="541"/>
      </w:tblGrid>
      <w:tr>
        <w:trPr/>
        <w:tc>
          <w:tcPr>
            <w:tcW w:w="556" w:type="dxa"/>
            <w:tcBorders/>
            <w:vAlign w:val="center"/>
          </w:tcPr>
          <w:p>
            <w:pPr>
              <w:pStyle w:val="TableContents"/>
              <w:bidi w:val="0"/>
              <w:spacing w:before="0" w:after="283"/>
              <w:jc w:val="left"/>
              <w:rPr>
                <w:sz w:val="4"/>
                <w:szCs w:val="4"/>
              </w:rPr>
            </w:pPr>
            <w:r>
              <w:rPr>
                <w:sz w:val="4"/>
                <w:szCs w:val="4"/>
              </w:rPr>
            </w:r>
          </w:p>
        </w:tc>
        <w:tc>
          <w:tcPr>
            <w:tcW w:w="3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1.</w:t>
            </w:r>
          </w:p>
        </w:tc>
        <w:tc>
          <w:tcPr>
            <w:tcW w:w="3541" w:type="dxa"/>
            <w:tcBorders/>
            <w:shd w:fill="FFFFFF" w:val="clear"/>
            <w:vAlign w:val="center"/>
          </w:tcPr>
          <w:p>
            <w:pPr>
              <w:pStyle w:val="TableContents"/>
              <w:bidi w:val="0"/>
              <w:spacing w:before="0" w:after="100"/>
              <w:jc w:val="left"/>
              <w:rPr>
                <w:rFonts w:ascii="Times New Roman" w:hAnsi="Times New Roman"/>
                <w:b/>
                <w:i/>
                <w:color w:val="0000FF"/>
                <w:sz w:val="20"/>
              </w:rPr>
            </w:pPr>
            <w:r>
              <w:rPr>
                <w:rFonts w:ascii="Times New Roman" w:hAnsi="Times New Roman"/>
                <w:b/>
                <w:i/>
                <w:color w:val="0000FF"/>
                <w:sz w:val="20"/>
              </w:rPr>
              <w:t>Purpose</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1</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2.</w:t>
            </w:r>
          </w:p>
        </w:tc>
        <w:tc>
          <w:tcPr>
            <w:tcW w:w="3541" w:type="dxa"/>
            <w:tcBorders/>
            <w:shd w:fill="FFFFFF" w:val="clear"/>
            <w:vAlign w:val="center"/>
          </w:tcPr>
          <w:p>
            <w:pPr>
              <w:pStyle w:val="TableContents"/>
              <w:bidi w:val="0"/>
              <w:spacing w:before="0" w:after="100"/>
              <w:jc w:val="left"/>
              <w:rPr>
                <w:rFonts w:ascii="Times New Roman" w:hAnsi="Times New Roman"/>
                <w:b/>
                <w:i/>
                <w:color w:val="0000FF"/>
                <w:sz w:val="20"/>
              </w:rPr>
            </w:pPr>
            <w:r>
              <w:rPr>
                <w:rFonts w:ascii="Times New Roman" w:hAnsi="Times New Roman"/>
                <w:b/>
                <w:i/>
                <w:color w:val="0000FF"/>
                <w:sz w:val="20"/>
              </w:rPr>
              <w:t>Definitions</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1</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3.</w:t>
            </w:r>
          </w:p>
        </w:tc>
        <w:tc>
          <w:tcPr>
            <w:tcW w:w="3541" w:type="dxa"/>
            <w:tcBorders/>
            <w:shd w:fill="FFFFFF" w:val="clear"/>
            <w:vAlign w:val="center"/>
          </w:tcPr>
          <w:p>
            <w:pPr>
              <w:pStyle w:val="TableContents"/>
              <w:bidi w:val="0"/>
              <w:spacing w:before="0" w:after="100"/>
              <w:jc w:val="left"/>
              <w:rPr>
                <w:rFonts w:ascii="Times New Roman" w:hAnsi="Times New Roman"/>
                <w:b/>
                <w:i/>
                <w:color w:val="0000FF"/>
                <w:sz w:val="20"/>
              </w:rPr>
            </w:pPr>
            <w:r>
              <w:rPr>
                <w:rFonts w:ascii="Times New Roman" w:hAnsi="Times New Roman"/>
                <w:b/>
                <w:i/>
                <w:color w:val="0000FF"/>
                <w:sz w:val="20"/>
              </w:rPr>
              <w:t>Administration</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5</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4.</w:t>
            </w:r>
          </w:p>
        </w:tc>
        <w:tc>
          <w:tcPr>
            <w:tcW w:w="3541" w:type="dxa"/>
            <w:tcBorders/>
            <w:shd w:fill="FFFFFF" w:val="clear"/>
            <w:vAlign w:val="center"/>
          </w:tcPr>
          <w:p>
            <w:pPr>
              <w:pStyle w:val="TableContents"/>
              <w:bidi w:val="0"/>
              <w:spacing w:before="0" w:after="100"/>
              <w:jc w:val="left"/>
              <w:rPr>
                <w:rFonts w:ascii="Times New Roman" w:hAnsi="Times New Roman"/>
                <w:b/>
                <w:i/>
                <w:color w:val="0000FF"/>
                <w:sz w:val="20"/>
              </w:rPr>
            </w:pPr>
            <w:r>
              <w:rPr>
                <w:rFonts w:ascii="Times New Roman" w:hAnsi="Times New Roman"/>
                <w:b/>
                <w:i/>
                <w:color w:val="0000FF"/>
                <w:sz w:val="20"/>
              </w:rPr>
              <w:t>Shares Subject to Plan</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5</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5.</w:t>
            </w:r>
          </w:p>
        </w:tc>
        <w:tc>
          <w:tcPr>
            <w:tcW w:w="3541" w:type="dxa"/>
            <w:tcBorders/>
            <w:shd w:fill="FFFFFF" w:val="clear"/>
            <w:vAlign w:val="center"/>
          </w:tcPr>
          <w:p>
            <w:pPr>
              <w:pStyle w:val="TableContents"/>
              <w:bidi w:val="0"/>
              <w:spacing w:before="0" w:after="100"/>
              <w:jc w:val="left"/>
              <w:rPr>
                <w:rFonts w:ascii="Times New Roman" w:hAnsi="Times New Roman"/>
                <w:b/>
                <w:i/>
                <w:color w:val="0000FF"/>
                <w:sz w:val="20"/>
              </w:rPr>
            </w:pPr>
            <w:r>
              <w:rPr>
                <w:rFonts w:ascii="Times New Roman" w:hAnsi="Times New Roman"/>
                <w:b/>
                <w:i/>
                <w:color w:val="0000FF"/>
                <w:sz w:val="20"/>
              </w:rPr>
              <w:t>Eligibility; Per-Participant Limitations</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6</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6.</w:t>
            </w:r>
          </w:p>
        </w:tc>
        <w:tc>
          <w:tcPr>
            <w:tcW w:w="3541" w:type="dxa"/>
            <w:tcBorders/>
            <w:shd w:fill="FFFFFF" w:val="clear"/>
            <w:vAlign w:val="center"/>
          </w:tcPr>
          <w:p>
            <w:pPr>
              <w:pStyle w:val="TableContents"/>
              <w:bidi w:val="0"/>
              <w:spacing w:before="0" w:after="100"/>
              <w:jc w:val="left"/>
              <w:rPr>
                <w:rFonts w:ascii="Times New Roman" w:hAnsi="Times New Roman"/>
                <w:sz w:val="20"/>
              </w:rPr>
            </w:pPr>
            <w:r>
              <w:rPr>
                <w:rFonts w:ascii="Times New Roman" w:hAnsi="Times New Roman"/>
                <w:b/>
                <w:i/>
                <w:color w:val="0000FF"/>
                <w:sz w:val="20"/>
              </w:rPr>
              <w:t>Award Vesting Limitations</w:t>
            </w:r>
            <w:r>
              <w:rPr>
                <w:rFonts w:ascii="Times New Roman" w:hAnsi="Times New Roman"/>
                <w:color w:val="0000FF"/>
                <w:sz w:val="20"/>
              </w:rPr>
              <w:t>. .</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6</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7.</w:t>
            </w:r>
          </w:p>
        </w:tc>
        <w:tc>
          <w:tcPr>
            <w:tcW w:w="3541" w:type="dxa"/>
            <w:tcBorders/>
            <w:shd w:fill="FFFFFF" w:val="clear"/>
            <w:vAlign w:val="center"/>
          </w:tcPr>
          <w:p>
            <w:pPr>
              <w:pStyle w:val="TableContents"/>
              <w:bidi w:val="0"/>
              <w:spacing w:before="0" w:after="100"/>
              <w:jc w:val="left"/>
              <w:rPr>
                <w:rFonts w:ascii="Times New Roman" w:hAnsi="Times New Roman"/>
                <w:sz w:val="20"/>
              </w:rPr>
            </w:pPr>
            <w:r>
              <w:rPr>
                <w:rFonts w:ascii="Times New Roman" w:hAnsi="Times New Roman"/>
                <w:b/>
                <w:i/>
                <w:color w:val="0000FF"/>
                <w:sz w:val="20"/>
              </w:rPr>
              <w:t>Specific Terms of Awards</w:t>
            </w:r>
            <w:r>
              <w:rPr>
                <w:rFonts w:ascii="Times New Roman" w:hAnsi="Times New Roman"/>
                <w:color w:val="0000FF"/>
                <w:sz w:val="20"/>
              </w:rPr>
              <w:t>.</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6</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8.</w:t>
            </w:r>
          </w:p>
        </w:tc>
        <w:tc>
          <w:tcPr>
            <w:tcW w:w="3541" w:type="dxa"/>
            <w:tcBorders/>
            <w:shd w:fill="FFFFFF" w:val="clear"/>
            <w:vAlign w:val="center"/>
          </w:tcPr>
          <w:p>
            <w:pPr>
              <w:pStyle w:val="TableContents"/>
              <w:bidi w:val="0"/>
              <w:spacing w:before="0" w:after="100"/>
              <w:jc w:val="left"/>
              <w:rPr>
                <w:rFonts w:ascii="Times New Roman" w:hAnsi="Times New Roman"/>
                <w:sz w:val="20"/>
              </w:rPr>
            </w:pPr>
            <w:r>
              <w:rPr>
                <w:rFonts w:ascii="Times New Roman" w:hAnsi="Times New Roman"/>
                <w:b/>
                <w:i/>
                <w:color w:val="0000FF"/>
                <w:sz w:val="20"/>
              </w:rPr>
              <w:t>Certain Provisions Applicable to Awards</w:t>
            </w:r>
            <w:r>
              <w:rPr>
                <w:rFonts w:ascii="Times New Roman" w:hAnsi="Times New Roman"/>
                <w:color w:val="0000FF"/>
                <w:sz w:val="20"/>
              </w:rPr>
              <w:t>.</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11</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9.</w:t>
            </w:r>
          </w:p>
        </w:tc>
        <w:tc>
          <w:tcPr>
            <w:tcW w:w="3541" w:type="dxa"/>
            <w:tcBorders/>
            <w:shd w:fill="FFFFFF" w:val="clear"/>
            <w:vAlign w:val="center"/>
          </w:tcPr>
          <w:p>
            <w:pPr>
              <w:pStyle w:val="TableContents"/>
              <w:bidi w:val="0"/>
              <w:spacing w:before="0" w:after="100"/>
              <w:jc w:val="left"/>
              <w:rPr>
                <w:rFonts w:ascii="Times New Roman" w:hAnsi="Times New Roman"/>
                <w:sz w:val="20"/>
              </w:rPr>
            </w:pPr>
            <w:r>
              <w:rPr>
                <w:rFonts w:ascii="Times New Roman" w:hAnsi="Times New Roman"/>
                <w:b/>
                <w:i/>
                <w:color w:val="0000FF"/>
                <w:sz w:val="20"/>
              </w:rPr>
              <w:t>Change in Control</w:t>
            </w:r>
            <w:r>
              <w:rPr>
                <w:rFonts w:ascii="Times New Roman" w:hAnsi="Times New Roman"/>
                <w:color w:val="0000FF"/>
                <w:sz w:val="20"/>
              </w:rPr>
              <w:t>.</w:t>
            </w:r>
          </w:p>
        </w:tc>
        <w:tc>
          <w:tcPr>
            <w:tcW w:w="541" w:type="dxa"/>
            <w:tcBorders/>
            <w:shd w:fill="FFFFFF" w:val="clear"/>
            <w:vAlign w:val="center"/>
          </w:tcPr>
          <w:p>
            <w:pPr>
              <w:pStyle w:val="TableContents"/>
              <w:bidi w:val="0"/>
              <w:spacing w:before="0" w:after="100"/>
              <w:ind w:left="0" w:right="0" w:firstLine="180"/>
              <w:jc w:val="right"/>
              <w:rPr>
                <w:rFonts w:ascii="Times New Roman" w:hAnsi="Times New Roman"/>
                <w:color w:val="000000"/>
                <w:sz w:val="20"/>
              </w:rPr>
            </w:pPr>
            <w:r>
              <w:rPr>
                <w:rFonts w:ascii="Times New Roman" w:hAnsi="Times New Roman"/>
                <w:color w:val="000000"/>
                <w:sz w:val="20"/>
              </w:rPr>
              <w:t>13</w:t>
            </w:r>
          </w:p>
        </w:tc>
      </w:tr>
      <w:tr>
        <w:trPr/>
        <w:tc>
          <w:tcPr>
            <w:tcW w:w="556" w:type="dxa"/>
            <w:tcBorders/>
            <w:shd w:fill="FFFFFF" w:val="clear"/>
            <w:vAlign w:val="center"/>
          </w:tcPr>
          <w:p>
            <w:pPr>
              <w:pStyle w:val="TableContents"/>
              <w:bidi w:val="0"/>
              <w:spacing w:before="0" w:after="100"/>
              <w:ind w:left="180" w:right="0" w:firstLine="180"/>
              <w:jc w:val="left"/>
              <w:rPr>
                <w:rFonts w:ascii="Times New Roman" w:hAnsi="Times New Roman"/>
                <w:color w:val="0000FF"/>
                <w:sz w:val="20"/>
              </w:rPr>
            </w:pPr>
            <w:r>
              <w:rPr>
                <w:rFonts w:ascii="Times New Roman" w:hAnsi="Times New Roman"/>
                <w:color w:val="0000FF"/>
                <w:sz w:val="20"/>
              </w:rPr>
              <w:t>10.</w:t>
            </w:r>
          </w:p>
        </w:tc>
        <w:tc>
          <w:tcPr>
            <w:tcW w:w="3541" w:type="dxa"/>
            <w:tcBorders/>
            <w:shd w:fill="FFFFFF" w:val="clear"/>
            <w:vAlign w:val="center"/>
          </w:tcPr>
          <w:p>
            <w:pPr>
              <w:pStyle w:val="TableContents"/>
              <w:bidi w:val="0"/>
              <w:spacing w:before="0" w:after="100"/>
              <w:jc w:val="left"/>
              <w:rPr>
                <w:rFonts w:ascii="Times New Roman" w:hAnsi="Times New Roman"/>
                <w:sz w:val="20"/>
              </w:rPr>
            </w:pPr>
            <w:r>
              <w:rPr>
                <w:rFonts w:ascii="Times New Roman" w:hAnsi="Times New Roman"/>
                <w:b/>
                <w:i/>
                <w:color w:val="0000FF"/>
                <w:sz w:val="20"/>
              </w:rPr>
              <w:t>General Provisions</w:t>
            </w:r>
            <w:r>
              <w:rPr>
                <w:rFonts w:ascii="Times New Roman" w:hAnsi="Times New Roman"/>
                <w:color w:val="0000FF"/>
                <w:sz w:val="20"/>
              </w:rPr>
              <w:t>.</w:t>
            </w:r>
          </w:p>
        </w:tc>
        <w:tc>
          <w:tcPr>
            <w:tcW w:w="541" w:type="dxa"/>
            <w:tcBorders/>
            <w:shd w:fill="FFFFFF" w:val="clear"/>
            <w:vAlign w:val="center"/>
          </w:tcPr>
          <w:p>
            <w:pPr>
              <w:pStyle w:val="TableContents"/>
              <w:bidi w:val="0"/>
              <w:spacing w:before="0" w:after="100"/>
              <w:jc w:val="right"/>
              <w:rPr>
                <w:rFonts w:ascii="Times New Roman" w:hAnsi="Times New Roman"/>
                <w:color w:val="000000"/>
                <w:sz w:val="20"/>
              </w:rPr>
            </w:pPr>
            <w:r>
              <w:rPr>
                <w:rFonts w:ascii="Times New Roman" w:hAnsi="Times New Roman"/>
                <w:color w:val="000000"/>
                <w:sz w:val="20"/>
              </w:rPr>
              <w:t>15</w:t>
            </w:r>
          </w:p>
        </w:tc>
      </w:tr>
    </w:tbl>
    <w:p>
      <w:pPr>
        <w:pStyle w:val="TextBody"/>
        <w:bidi w:val="0"/>
        <w:jc w:val="left"/>
        <w:rPr/>
      </w:pPr>
      <w:r>
        <w:rPr/>
        <w:t> </w:t>
      </w:r>
    </w:p>
    <w:p>
      <w:pPr>
        <w:pStyle w:val="TextBody"/>
        <w:bidi w:val="0"/>
        <w:jc w:val="center"/>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DESTINATION XL GROUP, INC.</w:t>
      </w:r>
    </w:p>
    <w:p>
      <w:pPr>
        <w:pStyle w:val="TextBody"/>
        <w:bidi w:val="0"/>
        <w:jc w:val="center"/>
        <w:rPr>
          <w:rFonts w:ascii="Times New Roman" w:hAnsi="Times New Roman"/>
          <w:sz w:val="20"/>
        </w:rPr>
      </w:pPr>
      <w:r>
        <w:rPr>
          <w:rFonts w:ascii="Times New Roman" w:hAnsi="Times New Roman"/>
          <w:b/>
          <w:color w:val="000000"/>
          <w:sz w:val="24"/>
        </w:rPr>
        <w:t>SECOND AMENDED AND RESTATED</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2016 INCENTIVE COMPENSATION PLAN</w:t>
      </w:r>
    </w:p>
    <w:p>
      <w:pPr>
        <w:pStyle w:val="TextBody"/>
        <w:bidi w:val="0"/>
        <w:spacing w:before="240" w:after="240"/>
        <w:jc w:val="both"/>
        <w:rPr>
          <w:rFonts w:ascii="Times New Roman" w:hAnsi="Times New Roman"/>
          <w:sz w:val="20"/>
        </w:rPr>
      </w:pPr>
      <w:bookmarkStart w:id="4" w:name="purpose"/>
      <w:bookmarkEnd w:id="4"/>
      <w:r>
        <w:rPr>
          <w:rFonts w:ascii="Times New Roman" w:hAnsi="Times New Roman"/>
          <w:color w:val="000000"/>
          <w:sz w:val="20"/>
        </w:rPr>
        <w:t xml:space="preserve">1. </w:t>
      </w:r>
      <w:r>
        <w:rPr>
          <w:rFonts w:ascii="Times New Roman" w:hAnsi="Times New Roman"/>
          <w:b/>
          <w:i/>
          <w:color w:val="000000"/>
          <w:sz w:val="20"/>
        </w:rPr>
        <w:t>Purpose</w:t>
      </w:r>
      <w:r>
        <w:rPr>
          <w:rFonts w:ascii="Times New Roman" w:hAnsi="Times New Roman"/>
          <w:color w:val="000000"/>
          <w:sz w:val="20"/>
        </w:rPr>
        <w:t>. The purpose of this SECOND AMENDED AND RESTATED DESTINATION XL GROUP, INC. 2016 INCENTIVE COMPENSATION PLAN (the “Plan”) is to assist DESTINATION XL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 The Plan replaced the 2006 Incentive Compensation Plan which was last amended effective as of August 1, 2013. The Plan was originally adopted effective as of August 4, 2016 and was amended effective as of August 8, 2019, August 12, 2020, August 5, 2021 and August 8, 2024.</w:t>
      </w:r>
    </w:p>
    <w:p>
      <w:pPr>
        <w:pStyle w:val="TextBody"/>
        <w:bidi w:val="0"/>
        <w:spacing w:before="240" w:after="240"/>
        <w:jc w:val="both"/>
        <w:rPr>
          <w:rFonts w:ascii="Times New Roman" w:hAnsi="Times New Roman"/>
          <w:sz w:val="20"/>
        </w:rPr>
      </w:pPr>
      <w:bookmarkStart w:id="5" w:name="definitions"/>
      <w:bookmarkEnd w:id="5"/>
      <w:r>
        <w:rPr>
          <w:rFonts w:ascii="Times New Roman" w:hAnsi="Times New Roman"/>
          <w:color w:val="000000"/>
          <w:sz w:val="20"/>
        </w:rPr>
        <w:t xml:space="preserve">2. </w:t>
      </w:r>
      <w:r>
        <w:rPr>
          <w:rFonts w:ascii="Times New Roman" w:hAnsi="Times New Roman"/>
          <w:b/>
          <w:i/>
          <w:color w:val="000000"/>
          <w:sz w:val="20"/>
        </w:rPr>
        <w:t>Definitions</w:t>
      </w:r>
      <w:r>
        <w:rPr>
          <w:rFonts w:ascii="Times New Roman" w:hAnsi="Times New Roman"/>
          <w:color w:val="000000"/>
          <w:sz w:val="20"/>
        </w:rPr>
        <w:t>. For purposes of the Plan, the following terms shall be defined as set forth below, in addition to such terms defined in Section 1 hereof and elsewhere herein.</w:t>
      </w:r>
    </w:p>
    <w:p>
      <w:pPr>
        <w:pStyle w:val="TextBody"/>
        <w:bidi w:val="0"/>
        <w:spacing w:before="0" w:after="240"/>
        <w:jc w:val="both"/>
        <w:rPr>
          <w:rFonts w:ascii="Times New Roman" w:hAnsi="Times New Roman"/>
          <w:sz w:val="20"/>
        </w:rPr>
      </w:pPr>
      <w:r>
        <w:rPr>
          <w:rFonts w:ascii="Times New Roman" w:hAnsi="Times New Roman"/>
          <w:color w:val="000000"/>
          <w:sz w:val="20"/>
        </w:rPr>
        <w:t>(a) “</w:t>
      </w:r>
      <w:r>
        <w:rPr>
          <w:rFonts w:ascii="Times New Roman" w:hAnsi="Times New Roman"/>
          <w:b/>
          <w:i/>
          <w:color w:val="000000"/>
          <w:sz w:val="20"/>
        </w:rPr>
        <w:t>Award</w:t>
      </w:r>
      <w:r>
        <w:rPr>
          <w:rFonts w:ascii="Times New Roman" w:hAnsi="Times New Roman"/>
          <w:color w:val="000000"/>
          <w:sz w:val="20"/>
        </w:rPr>
        <w:t>” means any Option, Stock Appreciation Right, Restricted Stock Award, Deferred Award, Share granted as a bonus or in lieu of another Award, Dividend Equivalent, Other Stock-Based Award or Performance Award, together with any other right or interest relating to Shares or other property (including cash), granted to a Participant under the Plan.</w:t>
      </w:r>
    </w:p>
    <w:p>
      <w:pPr>
        <w:pStyle w:val="TextBody"/>
        <w:bidi w:val="0"/>
        <w:spacing w:before="0" w:after="240"/>
        <w:jc w:val="both"/>
        <w:rPr>
          <w:rFonts w:ascii="Times New Roman" w:hAnsi="Times New Roman"/>
          <w:sz w:val="20"/>
        </w:rPr>
      </w:pPr>
      <w:r>
        <w:rPr>
          <w:rFonts w:ascii="Times New Roman" w:hAnsi="Times New Roman"/>
          <w:color w:val="000000"/>
          <w:sz w:val="20"/>
        </w:rPr>
        <w:t>(b) “</w:t>
      </w:r>
      <w:r>
        <w:rPr>
          <w:rFonts w:ascii="Times New Roman" w:hAnsi="Times New Roman"/>
          <w:b/>
          <w:i/>
          <w:color w:val="000000"/>
          <w:sz w:val="20"/>
        </w:rPr>
        <w:t>Award Agreement</w:t>
      </w:r>
      <w:r>
        <w:rPr>
          <w:rFonts w:ascii="Times New Roman" w:hAnsi="Times New Roman"/>
          <w:color w:val="000000"/>
          <w:sz w:val="20"/>
        </w:rPr>
        <w:t>” means any written agreement, contract or other instrument or document evidencing any Award granted by the Committee hereunder.</w:t>
      </w:r>
    </w:p>
    <w:p>
      <w:pPr>
        <w:pStyle w:val="TextBody"/>
        <w:bidi w:val="0"/>
        <w:spacing w:before="0" w:after="240"/>
        <w:jc w:val="both"/>
        <w:rPr>
          <w:rFonts w:ascii="Times New Roman" w:hAnsi="Times New Roman"/>
          <w:sz w:val="20"/>
        </w:rPr>
      </w:pPr>
      <w:r>
        <w:rPr>
          <w:rFonts w:ascii="Times New Roman" w:hAnsi="Times New Roman"/>
          <w:color w:val="000000"/>
          <w:sz w:val="20"/>
        </w:rPr>
        <w:t>(c) “</w:t>
      </w:r>
      <w:r>
        <w:rPr>
          <w:rFonts w:ascii="Times New Roman" w:hAnsi="Times New Roman"/>
          <w:b/>
          <w:i/>
          <w:color w:val="000000"/>
          <w:sz w:val="20"/>
        </w:rPr>
        <w:t>Beneficiary</w:t>
      </w:r>
      <w:r>
        <w:rPr>
          <w:rFonts w:ascii="Times New Roman" w:hAnsi="Times New Roman"/>
          <w:color w:val="000000"/>
          <w:sz w:val="20"/>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Participant’s estate.</w:t>
      </w:r>
    </w:p>
    <w:p>
      <w:pPr>
        <w:pStyle w:val="TextBody"/>
        <w:bidi w:val="0"/>
        <w:spacing w:before="0" w:after="240"/>
        <w:jc w:val="both"/>
        <w:rPr>
          <w:rFonts w:ascii="Times New Roman" w:hAnsi="Times New Roman"/>
          <w:sz w:val="20"/>
        </w:rPr>
      </w:pPr>
      <w:r>
        <w:rPr>
          <w:rFonts w:ascii="Times New Roman" w:hAnsi="Times New Roman"/>
          <w:color w:val="000000"/>
          <w:sz w:val="20"/>
        </w:rPr>
        <w:t>(d) “</w:t>
      </w:r>
      <w:r>
        <w:rPr>
          <w:rFonts w:ascii="Times New Roman" w:hAnsi="Times New Roman"/>
          <w:b/>
          <w:i/>
          <w:color w:val="000000"/>
          <w:sz w:val="20"/>
        </w:rPr>
        <w:t>Beneficial Owner</w:t>
      </w:r>
      <w:r>
        <w:rPr>
          <w:rFonts w:ascii="Times New Roman" w:hAnsi="Times New Roman"/>
          <w:color w:val="000000"/>
          <w:sz w:val="20"/>
        </w:rPr>
        <w:t>” shall have the meaning ascribed to such term in Rule 13d</w:t>
        <w:noBreakHyphen/>
        <w:t>3 under the Exchange Act and any successor to such Rule.</w:t>
      </w:r>
    </w:p>
    <w:p>
      <w:pPr>
        <w:pStyle w:val="TextBody"/>
        <w:bidi w:val="0"/>
        <w:spacing w:before="0" w:after="240"/>
        <w:jc w:val="both"/>
        <w:rPr>
          <w:rFonts w:ascii="Times New Roman" w:hAnsi="Times New Roman"/>
          <w:sz w:val="20"/>
        </w:rPr>
      </w:pPr>
      <w:r>
        <w:rPr>
          <w:rFonts w:ascii="Times New Roman" w:hAnsi="Times New Roman"/>
          <w:color w:val="000000"/>
          <w:sz w:val="20"/>
        </w:rPr>
        <w:t>(e) “</w:t>
      </w:r>
      <w:r>
        <w:rPr>
          <w:rFonts w:ascii="Times New Roman" w:hAnsi="Times New Roman"/>
          <w:b/>
          <w:i/>
          <w:color w:val="000000"/>
          <w:sz w:val="20"/>
        </w:rPr>
        <w:t>Board</w:t>
      </w:r>
      <w:r>
        <w:rPr>
          <w:rFonts w:ascii="Times New Roman" w:hAnsi="Times New Roman"/>
          <w:color w:val="000000"/>
          <w:sz w:val="20"/>
        </w:rPr>
        <w:t>” means the Company’s Board of Directors.</w:t>
      </w:r>
    </w:p>
    <w:p>
      <w:pPr>
        <w:pStyle w:val="TextBody"/>
        <w:bidi w:val="0"/>
        <w:spacing w:before="0" w:after="240"/>
        <w:jc w:val="both"/>
        <w:rPr>
          <w:rFonts w:ascii="Times New Roman" w:hAnsi="Times New Roman"/>
          <w:sz w:val="20"/>
        </w:rPr>
      </w:pPr>
      <w:r>
        <w:rPr>
          <w:rFonts w:ascii="Times New Roman" w:hAnsi="Times New Roman"/>
          <w:color w:val="000000"/>
          <w:sz w:val="20"/>
        </w:rPr>
        <w:t>(f) “</w:t>
      </w:r>
      <w:r>
        <w:rPr>
          <w:rFonts w:ascii="Times New Roman" w:hAnsi="Times New Roman"/>
          <w:b/>
          <w:i/>
          <w:color w:val="000000"/>
          <w:sz w:val="20"/>
        </w:rPr>
        <w:t>Change in Control</w:t>
      </w:r>
      <w:r>
        <w:rPr>
          <w:rFonts w:ascii="Times New Roman" w:hAnsi="Times New Roman"/>
          <w:color w:val="000000"/>
          <w:sz w:val="20"/>
        </w:rPr>
        <w:t>” means a Change in Control as defined in Section 9(b) of the Plan.</w:t>
      </w:r>
    </w:p>
    <w:p>
      <w:pPr>
        <w:pStyle w:val="TextBody"/>
        <w:bidi w:val="0"/>
        <w:spacing w:before="0" w:after="240"/>
        <w:jc w:val="both"/>
        <w:rPr>
          <w:rFonts w:ascii="Times New Roman" w:hAnsi="Times New Roman"/>
          <w:sz w:val="20"/>
        </w:rPr>
      </w:pPr>
      <w:r>
        <w:rPr>
          <w:rFonts w:ascii="Times New Roman" w:hAnsi="Times New Roman"/>
          <w:color w:val="000000"/>
          <w:sz w:val="20"/>
        </w:rPr>
        <w:t>(g) “</w:t>
      </w:r>
      <w:r>
        <w:rPr>
          <w:rFonts w:ascii="Times New Roman" w:hAnsi="Times New Roman"/>
          <w:b/>
          <w:i/>
          <w:color w:val="000000"/>
          <w:sz w:val="20"/>
        </w:rPr>
        <w:t>Code</w:t>
      </w:r>
      <w:r>
        <w:rPr>
          <w:rFonts w:ascii="Times New Roman" w:hAnsi="Times New Roman"/>
          <w:color w:val="000000"/>
          <w:sz w:val="20"/>
        </w:rPr>
        <w:t>” means the Internal Revenue Code of 1986, as amended from time to time, including regulations thereunder and successor provisions and regulations thereto.</w:t>
      </w:r>
    </w:p>
    <w:p>
      <w:pPr>
        <w:pStyle w:val="TextBody"/>
        <w:bidi w:val="0"/>
        <w:spacing w:before="0" w:after="240"/>
        <w:jc w:val="both"/>
        <w:rPr>
          <w:rFonts w:ascii="Times New Roman" w:hAnsi="Times New Roman"/>
          <w:sz w:val="20"/>
        </w:rPr>
      </w:pPr>
      <w:r>
        <w:rPr>
          <w:rFonts w:ascii="Times New Roman" w:hAnsi="Times New Roman"/>
          <w:color w:val="000000"/>
          <w:sz w:val="20"/>
        </w:rPr>
        <w:t>(h) “</w:t>
      </w:r>
      <w:r>
        <w:rPr>
          <w:rFonts w:ascii="Times New Roman" w:hAnsi="Times New Roman"/>
          <w:b/>
          <w:i/>
          <w:color w:val="000000"/>
          <w:sz w:val="20"/>
        </w:rPr>
        <w:t>Committee</w:t>
      </w:r>
      <w:r>
        <w:rPr>
          <w:rFonts w:ascii="Times New Roman" w:hAnsi="Times New Roman"/>
          <w:color w:val="000000"/>
          <w:sz w:val="20"/>
        </w:rPr>
        <w:t>” means a committee designated by the Board to administer the Plan; provided, however, that if the Board fails to designate a committee or if there are no longer any members on the committee so designated by the Board, or for any other reason determined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and (ii) “Independent”; provided, however, the failure of the Committee to be so comprised shall not invalidate any Award that otherwise satisfies the terms of the Plan.</w:t>
      </w:r>
    </w:p>
    <w:p>
      <w:pPr>
        <w:pStyle w:val="TextBody"/>
        <w:bidi w:val="0"/>
        <w:spacing w:before="0" w:after="240"/>
        <w:jc w:val="both"/>
        <w:rPr>
          <w:rFonts w:ascii="Times New Roman" w:hAnsi="Times New Roman"/>
          <w:sz w:val="20"/>
        </w:rPr>
      </w:pPr>
      <w:r>
        <w:rPr>
          <w:rFonts w:ascii="Times New Roman" w:hAnsi="Times New Roman"/>
          <w:color w:val="000000"/>
          <w:sz w:val="20"/>
        </w:rPr>
        <w:t>(i) “</w:t>
      </w:r>
      <w:r>
        <w:rPr>
          <w:rFonts w:ascii="Times New Roman" w:hAnsi="Times New Roman"/>
          <w:b/>
          <w:i/>
          <w:color w:val="000000"/>
          <w:sz w:val="20"/>
        </w:rPr>
        <w:t>Consultant</w:t>
      </w:r>
      <w:r>
        <w:rPr>
          <w:rFonts w:ascii="Times New Roman" w:hAnsi="Times New Roman"/>
          <w:color w:val="000000"/>
          <w:sz w:val="20"/>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pStyle w:val="TextBody"/>
        <w:bidi w:val="0"/>
        <w:spacing w:before="0" w:after="240"/>
        <w:jc w:val="both"/>
        <w:rPr>
          <w:rFonts w:ascii="Times New Roman" w:hAnsi="Times New Roman"/>
          <w:sz w:val="20"/>
        </w:rPr>
      </w:pPr>
      <w:r>
        <w:rPr>
          <w:rFonts w:ascii="Times New Roman" w:hAnsi="Times New Roman"/>
          <w:color w:val="000000"/>
          <w:sz w:val="20"/>
        </w:rPr>
        <w:t>(j) “</w:t>
      </w:r>
      <w:r>
        <w:rPr>
          <w:rFonts w:ascii="Times New Roman" w:hAnsi="Times New Roman"/>
          <w:b/>
          <w:i/>
          <w:color w:val="000000"/>
          <w:sz w:val="20"/>
        </w:rPr>
        <w:t>Continuous Service</w:t>
      </w:r>
      <w:r>
        <w:rPr>
          <w:rFonts w:ascii="Times New Roman" w:hAnsi="Times New Roman"/>
          <w:color w:val="000000"/>
          <w:sz w:val="20"/>
        </w:rPr>
        <w:t xml:space="preserve">” means the uninterrupted provision of services to the Company or any Related Entity in any capacity of Employee, Director, Consultant or other service provider. Continuous Service shall not be considered to be interrupted in the case of (i) any approved leave of absence, (ii) 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otherwise provided in the Award Agreement). An approved leave of absence shall include sick leave, military leave, or any other authorized personal leave.</w:t>
      </w:r>
    </w:p>
    <w:p>
      <w:pPr>
        <w:pStyle w:val="TextBody"/>
        <w:bidi w:val="0"/>
        <w:spacing w:before="0" w:after="240"/>
        <w:jc w:val="both"/>
        <w:rPr>
          <w:rFonts w:ascii="Times New Roman" w:hAnsi="Times New Roman"/>
          <w:sz w:val="20"/>
        </w:rPr>
      </w:pPr>
      <w:r>
        <w:rPr>
          <w:rFonts w:ascii="Times New Roman" w:hAnsi="Times New Roman"/>
          <w:color w:val="000000"/>
          <w:sz w:val="20"/>
        </w:rPr>
        <w:t>(k) “</w:t>
      </w:r>
      <w:r>
        <w:rPr>
          <w:rFonts w:ascii="Times New Roman" w:hAnsi="Times New Roman"/>
          <w:b/>
          <w:i/>
          <w:color w:val="000000"/>
          <w:sz w:val="20"/>
        </w:rPr>
        <w:t>Deferred Stock</w:t>
      </w:r>
      <w:r>
        <w:rPr>
          <w:rFonts w:ascii="Times New Roman" w:hAnsi="Times New Roman"/>
          <w:color w:val="000000"/>
          <w:sz w:val="20"/>
        </w:rPr>
        <w:t>” means a right to receive Shares, cash measured based upon the value of Shares or a combination thereof, at the end of a specified deferral period, which right is not subject to a substantial risk of forfeiture (other than the potential clawback of benefits under Section 8(f) hereof).</w:t>
      </w:r>
    </w:p>
    <w:p>
      <w:pPr>
        <w:pStyle w:val="TextBody"/>
        <w:bidi w:val="0"/>
        <w:spacing w:before="0" w:after="240"/>
        <w:jc w:val="both"/>
        <w:rPr>
          <w:rFonts w:ascii="Times New Roman" w:hAnsi="Times New Roman"/>
          <w:sz w:val="20"/>
        </w:rPr>
      </w:pPr>
      <w:r>
        <w:rPr>
          <w:rFonts w:ascii="Times New Roman" w:hAnsi="Times New Roman"/>
          <w:color w:val="000000"/>
          <w:sz w:val="20"/>
        </w:rPr>
        <w:t>(l) “</w:t>
      </w:r>
      <w:r>
        <w:rPr>
          <w:rFonts w:ascii="Times New Roman" w:hAnsi="Times New Roman"/>
          <w:b/>
          <w:i/>
          <w:color w:val="000000"/>
          <w:sz w:val="20"/>
        </w:rPr>
        <w:t>Deferred Award</w:t>
      </w:r>
      <w:r>
        <w:rPr>
          <w:rFonts w:ascii="Times New Roman" w:hAnsi="Times New Roman"/>
          <w:color w:val="000000"/>
          <w:sz w:val="20"/>
        </w:rPr>
        <w:t>” means an Award of Deferred Stock or Restricted Stock Units granted to a Participant under Section 7(e) hereof.</w:t>
      </w:r>
    </w:p>
    <w:p>
      <w:pPr>
        <w:pStyle w:val="TextBody"/>
        <w:bidi w:val="0"/>
        <w:spacing w:before="0" w:after="240"/>
        <w:jc w:val="both"/>
        <w:rPr>
          <w:rFonts w:ascii="Times New Roman" w:hAnsi="Times New Roman"/>
          <w:sz w:val="20"/>
        </w:rPr>
      </w:pPr>
      <w:r>
        <w:rPr>
          <w:rFonts w:ascii="Times New Roman" w:hAnsi="Times New Roman"/>
          <w:color w:val="000000"/>
          <w:sz w:val="20"/>
        </w:rPr>
        <w:t>(m) “</w:t>
      </w:r>
      <w:r>
        <w:rPr>
          <w:rFonts w:ascii="Times New Roman" w:hAnsi="Times New Roman"/>
          <w:b/>
          <w:i/>
          <w:color w:val="000000"/>
          <w:sz w:val="20"/>
        </w:rPr>
        <w:t>Director</w:t>
      </w:r>
      <w:r>
        <w:rPr>
          <w:rFonts w:ascii="Times New Roman" w:hAnsi="Times New Roman"/>
          <w:color w:val="000000"/>
          <w:sz w:val="20"/>
        </w:rPr>
        <w:t>” means a member of the Board or the board of directors of any Related Entity.</w:t>
      </w:r>
    </w:p>
    <w:p>
      <w:pPr>
        <w:pStyle w:val="TextBody"/>
        <w:bidi w:val="0"/>
        <w:spacing w:before="0" w:after="240"/>
        <w:jc w:val="both"/>
        <w:rPr>
          <w:rFonts w:ascii="Times New Roman" w:hAnsi="Times New Roman"/>
          <w:sz w:val="20"/>
        </w:rPr>
      </w:pPr>
      <w:r>
        <w:rPr>
          <w:rFonts w:ascii="Times New Roman" w:hAnsi="Times New Roman"/>
          <w:color w:val="000000"/>
          <w:sz w:val="20"/>
        </w:rPr>
        <w:t>(n) “</w:t>
      </w:r>
      <w:r>
        <w:rPr>
          <w:rFonts w:ascii="Times New Roman" w:hAnsi="Times New Roman"/>
          <w:b/>
          <w:i/>
          <w:color w:val="000000"/>
          <w:sz w:val="20"/>
        </w:rPr>
        <w:t>Disability</w:t>
      </w:r>
      <w:r>
        <w:rPr>
          <w:rFonts w:ascii="Times New Roman" w:hAnsi="Times New Roman"/>
          <w:color w:val="000000"/>
          <w:sz w:val="20"/>
        </w:rPr>
        <w:t>” means a permanent and total disability (within the meaning of Section 22(e) of the Code), as determined by a medical doctor satisfactory to the Committee.</w:t>
      </w:r>
    </w:p>
    <w:p>
      <w:pPr>
        <w:pStyle w:val="TextBody"/>
        <w:bidi w:val="0"/>
        <w:spacing w:before="0" w:after="240"/>
        <w:jc w:val="both"/>
        <w:rPr>
          <w:rFonts w:ascii="Times New Roman" w:hAnsi="Times New Roman"/>
          <w:sz w:val="20"/>
        </w:rPr>
      </w:pPr>
      <w:r>
        <w:rPr>
          <w:rFonts w:ascii="Times New Roman" w:hAnsi="Times New Roman"/>
          <w:color w:val="000000"/>
          <w:sz w:val="20"/>
        </w:rPr>
        <w:t>(o) “</w:t>
      </w:r>
      <w:r>
        <w:rPr>
          <w:rFonts w:ascii="Times New Roman" w:hAnsi="Times New Roman"/>
          <w:b/>
          <w:i/>
          <w:color w:val="000000"/>
          <w:sz w:val="20"/>
        </w:rPr>
        <w:t>Dividend Equivalent</w:t>
      </w:r>
      <w:r>
        <w:rPr>
          <w:rFonts w:ascii="Times New Roman" w:hAnsi="Times New Roman"/>
          <w:color w:val="000000"/>
          <w:sz w:val="20"/>
        </w:rPr>
        <w:t>” means a right, granted to a Participant under Section 7(g) hereof, to receive cash, Shares, other Awards or other property equal in value to dividends paid with respect to a specified number of Shares, or other periodic payments.</w:t>
      </w:r>
    </w:p>
    <w:p>
      <w:pPr>
        <w:pStyle w:val="TextBody"/>
        <w:bidi w:val="0"/>
        <w:spacing w:before="0" w:after="240"/>
        <w:jc w:val="both"/>
        <w:rPr>
          <w:rFonts w:ascii="Times New Roman" w:hAnsi="Times New Roman"/>
          <w:sz w:val="20"/>
        </w:rPr>
      </w:pPr>
      <w:r>
        <w:rPr>
          <w:rFonts w:ascii="Times New Roman" w:hAnsi="Times New Roman"/>
          <w:color w:val="000000"/>
          <w:sz w:val="20"/>
        </w:rPr>
        <w:t>(p) “</w:t>
      </w:r>
      <w:r>
        <w:rPr>
          <w:rFonts w:ascii="Times New Roman" w:hAnsi="Times New Roman"/>
          <w:b/>
          <w:i/>
          <w:color w:val="000000"/>
          <w:sz w:val="20"/>
        </w:rPr>
        <w:t>Effective Date</w:t>
      </w:r>
      <w:r>
        <w:rPr>
          <w:rFonts w:ascii="Times New Roman" w:hAnsi="Times New Roman"/>
          <w:color w:val="000000"/>
          <w:sz w:val="20"/>
        </w:rPr>
        <w:t>” means the effective date of the Plan, which shall be the Shareholder Approval Date.</w:t>
      </w:r>
    </w:p>
    <w:p>
      <w:pPr>
        <w:pStyle w:val="TextBody"/>
        <w:bidi w:val="0"/>
        <w:spacing w:before="0" w:after="240"/>
        <w:jc w:val="both"/>
        <w:rPr>
          <w:rFonts w:ascii="Times New Roman" w:hAnsi="Times New Roman"/>
          <w:sz w:val="20"/>
        </w:rPr>
      </w:pPr>
      <w:r>
        <w:rPr>
          <w:rFonts w:ascii="Times New Roman" w:hAnsi="Times New Roman"/>
          <w:color w:val="000000"/>
          <w:sz w:val="20"/>
        </w:rPr>
        <w:t>(q) “</w:t>
      </w:r>
      <w:r>
        <w:rPr>
          <w:rFonts w:ascii="Times New Roman" w:hAnsi="Times New Roman"/>
          <w:b/>
          <w:i/>
          <w:color w:val="000000"/>
          <w:sz w:val="20"/>
        </w:rPr>
        <w:t>Eligible Person</w:t>
      </w:r>
      <w:r>
        <w:rPr>
          <w:rFonts w:ascii="Times New Roman" w:hAnsi="Times New Roman"/>
          <w:color w:val="000000"/>
          <w:sz w:val="20"/>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in the discretion of the Committee, be considered as still in the employ of the Company or a Related Entity for purposes of eligibility for participation in the Plan. Notwithstanding the foregoing, a Person shall not be an Eligible Person if the identity of such person would preclude the Company from offering or selling securities to such person pursuant to the Plan in reliance on registration on a Form S-8 Registration Statement under the Securities Act of 1933.</w:t>
      </w:r>
    </w:p>
    <w:p>
      <w:pPr>
        <w:pStyle w:val="TextBody"/>
        <w:bidi w:val="0"/>
        <w:spacing w:before="0" w:after="240"/>
        <w:jc w:val="both"/>
        <w:rPr>
          <w:rFonts w:ascii="Times New Roman" w:hAnsi="Times New Roman"/>
          <w:sz w:val="20"/>
        </w:rPr>
      </w:pPr>
      <w:r>
        <w:rPr>
          <w:rFonts w:ascii="Times New Roman" w:hAnsi="Times New Roman"/>
          <w:color w:val="000000"/>
          <w:sz w:val="20"/>
        </w:rPr>
        <w:t>(r) “</w:t>
      </w:r>
      <w:r>
        <w:rPr>
          <w:rFonts w:ascii="Times New Roman" w:hAnsi="Times New Roman"/>
          <w:b/>
          <w:i/>
          <w:color w:val="000000"/>
          <w:sz w:val="20"/>
        </w:rPr>
        <w:t>Employee</w:t>
      </w:r>
      <w:r>
        <w:rPr>
          <w:rFonts w:ascii="Times New Roman" w:hAnsi="Times New Roman"/>
          <w:color w:val="000000"/>
          <w:sz w:val="20"/>
        </w:rPr>
        <w:t>” means any person, including an officer or Director, who is an employee of the Company or any Related Entity, or is a prospective employee of the Company or any Related Entity (conditioned upon and effective not earlier than, such person becoming an employee of the Company or any Related Entity). The payment of a director’s fee by the Company or a Related Entity shall not be sufficient to constitute “employment” by the Company.</w:t>
      </w:r>
    </w:p>
    <w:p>
      <w:pPr>
        <w:pStyle w:val="TextBody"/>
        <w:bidi w:val="0"/>
        <w:spacing w:before="0" w:after="240"/>
        <w:jc w:val="both"/>
        <w:rPr>
          <w:rFonts w:ascii="Times New Roman" w:hAnsi="Times New Roman"/>
          <w:sz w:val="20"/>
        </w:rPr>
      </w:pPr>
      <w:r>
        <w:rPr>
          <w:rFonts w:ascii="Times New Roman" w:hAnsi="Times New Roman"/>
          <w:color w:val="000000"/>
          <w:sz w:val="20"/>
        </w:rPr>
        <w:t>(s) “</w:t>
      </w:r>
      <w:r>
        <w:rPr>
          <w:rFonts w:ascii="Times New Roman" w:hAnsi="Times New Roman"/>
          <w:b/>
          <w:i/>
          <w:color w:val="000000"/>
          <w:sz w:val="20"/>
        </w:rPr>
        <w:t>Exchange Act</w:t>
      </w:r>
      <w:r>
        <w:rPr>
          <w:rFonts w:ascii="Times New Roman" w:hAnsi="Times New Roman"/>
          <w:color w:val="000000"/>
          <w:sz w:val="20"/>
        </w:rPr>
        <w:t>” means the Securities Exchange Act of 1934, as amended from time to time, including rules thereunder and successor provisions and rules thereto.</w:t>
      </w:r>
    </w:p>
    <w:p>
      <w:pPr>
        <w:pStyle w:val="TextBody"/>
        <w:bidi w:val="0"/>
        <w:spacing w:before="0" w:after="240"/>
        <w:jc w:val="both"/>
        <w:rPr>
          <w:rFonts w:ascii="Times New Roman" w:hAnsi="Times New Roman"/>
          <w:sz w:val="20"/>
        </w:rPr>
      </w:pPr>
      <w:r>
        <w:rPr>
          <w:rFonts w:ascii="Times New Roman" w:hAnsi="Times New Roman"/>
          <w:color w:val="000000"/>
          <w:sz w:val="20"/>
        </w:rPr>
        <w:t>(t) “</w:t>
      </w:r>
      <w:r>
        <w:rPr>
          <w:rFonts w:ascii="Times New Roman" w:hAnsi="Times New Roman"/>
          <w:b/>
          <w:i/>
          <w:color w:val="000000"/>
          <w:sz w:val="20"/>
        </w:rPr>
        <w:t>Fair Market Value</w:t>
      </w:r>
      <w:r>
        <w:rPr>
          <w:rFonts w:ascii="Times New Roman" w:hAnsi="Times New Roman"/>
          <w:color w:val="000000"/>
          <w:sz w:val="20"/>
        </w:rPr>
        <w:t>” means the fair market value of Shares, Awards or other property on the date as of which the value is being determined, as determined by the Committee, or under procedures established by the Committee. Unless otherwise determined by the Committee, the Fair Market Value of a Share as of any given date shall be the closing sale price per Share reported on the principal stock exchange or market on which Shares are traded on the date immediately preceding the date as of which such value is being determined or, if there is no sale on that date, then on the last previous day on which a sale was reported.</w:t>
      </w:r>
    </w:p>
    <w:p>
      <w:pPr>
        <w:pStyle w:val="TextBody"/>
        <w:bidi w:val="0"/>
        <w:spacing w:before="0" w:after="240"/>
        <w:jc w:val="both"/>
        <w:rPr>
          <w:rFonts w:ascii="Times New Roman" w:hAnsi="Times New Roman"/>
          <w:sz w:val="20"/>
        </w:rPr>
      </w:pPr>
      <w:r>
        <w:rPr>
          <w:rFonts w:ascii="Times New Roman" w:hAnsi="Times New Roman"/>
          <w:color w:val="000000"/>
          <w:sz w:val="20"/>
        </w:rPr>
        <w:t>(u) “</w:t>
      </w:r>
      <w:r>
        <w:rPr>
          <w:rFonts w:ascii="Times New Roman" w:hAnsi="Times New Roman"/>
          <w:b/>
          <w:i/>
          <w:color w:val="000000"/>
          <w:sz w:val="20"/>
        </w:rPr>
        <w:t>Full Value Award</w:t>
      </w:r>
      <w:r>
        <w:rPr>
          <w:rFonts w:ascii="Times New Roman" w:hAnsi="Times New Roman"/>
          <w:color w:val="000000"/>
          <w:sz w:val="20"/>
        </w:rPr>
        <w:t>” means any Award other than an option or a Stock Appreciation Right and that is settled in Shares.</w:t>
      </w:r>
    </w:p>
    <w:p>
      <w:pPr>
        <w:pStyle w:val="TextBody"/>
        <w:bidi w:val="0"/>
        <w:spacing w:before="0" w:after="240"/>
        <w:jc w:val="both"/>
        <w:rPr>
          <w:rFonts w:ascii="Times New Roman" w:hAnsi="Times New Roman"/>
          <w:sz w:val="20"/>
        </w:rPr>
      </w:pPr>
      <w:r>
        <w:rPr>
          <w:rFonts w:ascii="Times New Roman" w:hAnsi="Times New Roman"/>
          <w:color w:val="000000"/>
          <w:sz w:val="20"/>
        </w:rPr>
        <w:t>(v) “</w:t>
      </w:r>
      <w:r>
        <w:rPr>
          <w:rFonts w:ascii="Times New Roman" w:hAnsi="Times New Roman"/>
          <w:b/>
          <w:i/>
          <w:color w:val="000000"/>
          <w:sz w:val="20"/>
        </w:rPr>
        <w:t>Good Reason</w:t>
      </w:r>
      <w:r>
        <w:rPr>
          <w:rFonts w:ascii="Times New Roman" w:hAnsi="Times New Roman"/>
          <w:color w:val="000000"/>
          <w:sz w:val="20"/>
        </w:rPr>
        <w:t xml:space="preserve">” means the same definition of Good Reason, or any substantially similar term, in the Participant’s employment agreement with the Company, if any, that is in effect at the time the determination is being made. If the Participant does not have an employment agreement with the Company at that time, or there is no definition of Good Reason, or any substantially similar term, in the Participant’s employment agreement at that time, or the Committee determines, in its sole and absolute discretion, that the right to any payment or benefit under this Plan that is subject to Section 409A of the Code pursuant to a termination of Continuous Service by a Participant for Good Reason would not be treated as a right to a payment or benefit pursuant to an involuntary separation from service for purposes of Section 409A of the Code if the definition of Good Reason, or any substantially similar term, in the Participant’s employment agreement at that time is applied to the Participant’s termination of Continuous Service, then Good Reason means the occurrence of any of the following in the absence of Justifiable Cause by the Company: (i) a material diminution in the Participant’s base salary, unless such material diminution in the Participant’s base salary is made pursuant to a reduction in base salary that affects all similarly situated employees in a similar manner and is made at least six months prior to a Change in Control, in which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case such material diminution in the Participant’s base salary shall not constitute Good Reason; (ii) a material change in the geographic location at which the Participant must perform his or her job functions to which the Participant does not agree; or (iii) solely in the case of a Section 16 Officer, a material diminution in the Participant’s authority, duties, or responsibilities. For purposes of this Plan, Good Reason shall not be deemed to exist unless the termination of Continuous Service by a Participant for Good Reason occurs within 180 days following the initial existence of one of the conditions specified in clauses (i) through (iii) above, the Participant provides the Company with written notice of the existence of such condition within 90 days after the initial existence of the condition, and the Company fails to remedy the condition within 30 days after its receipt of such notice.</w:t>
      </w:r>
    </w:p>
    <w:p>
      <w:pPr>
        <w:pStyle w:val="TextBody"/>
        <w:bidi w:val="0"/>
        <w:spacing w:before="0" w:after="240"/>
        <w:jc w:val="both"/>
        <w:rPr>
          <w:rFonts w:ascii="Times New Roman" w:hAnsi="Times New Roman"/>
          <w:sz w:val="20"/>
        </w:rPr>
      </w:pPr>
      <w:r>
        <w:rPr>
          <w:rFonts w:ascii="Times New Roman" w:hAnsi="Times New Roman"/>
          <w:color w:val="000000"/>
          <w:sz w:val="20"/>
        </w:rPr>
        <w:t>(w) “</w:t>
      </w:r>
      <w:r>
        <w:rPr>
          <w:rFonts w:ascii="Times New Roman" w:hAnsi="Times New Roman"/>
          <w:b/>
          <w:i/>
          <w:color w:val="000000"/>
          <w:sz w:val="20"/>
        </w:rPr>
        <w:t>Incentive Stock Option</w:t>
      </w:r>
      <w:r>
        <w:rPr>
          <w:rFonts w:ascii="Times New Roman" w:hAnsi="Times New Roman"/>
          <w:color w:val="000000"/>
          <w:sz w:val="20"/>
        </w:rPr>
        <w:t>” means any Option intended to be designated as an incentive stock option within the meaning of Section 422 of the Code or any successor provision thereto.</w:t>
      </w:r>
    </w:p>
    <w:p>
      <w:pPr>
        <w:pStyle w:val="TextBody"/>
        <w:bidi w:val="0"/>
        <w:spacing w:before="0" w:after="240"/>
        <w:jc w:val="both"/>
        <w:rPr>
          <w:rFonts w:ascii="Times New Roman" w:hAnsi="Times New Roman"/>
          <w:sz w:val="20"/>
        </w:rPr>
      </w:pPr>
      <w:r>
        <w:rPr>
          <w:rFonts w:ascii="Times New Roman" w:hAnsi="Times New Roman"/>
          <w:color w:val="000000"/>
          <w:sz w:val="20"/>
        </w:rPr>
        <w:t>(x) “</w:t>
      </w:r>
      <w:r>
        <w:rPr>
          <w:rFonts w:ascii="Times New Roman" w:hAnsi="Times New Roman"/>
          <w:b/>
          <w:i/>
          <w:color w:val="000000"/>
          <w:sz w:val="20"/>
        </w:rPr>
        <w:t>Independent</w:t>
      </w:r>
      <w:r>
        <w:rPr>
          <w:rFonts w:ascii="Times New Roman" w:hAnsi="Times New Roman"/>
          <w:color w:val="000000"/>
          <w:sz w:val="20"/>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pStyle w:val="TextBody"/>
        <w:bidi w:val="0"/>
        <w:spacing w:before="0" w:after="240"/>
        <w:jc w:val="both"/>
        <w:rPr>
          <w:rFonts w:ascii="Times New Roman" w:hAnsi="Times New Roman"/>
          <w:sz w:val="20"/>
        </w:rPr>
      </w:pPr>
      <w:r>
        <w:rPr>
          <w:rFonts w:ascii="Times New Roman" w:hAnsi="Times New Roman"/>
          <w:color w:val="000000"/>
          <w:sz w:val="20"/>
        </w:rPr>
        <w:t>(y) “</w:t>
      </w:r>
      <w:r>
        <w:rPr>
          <w:rFonts w:ascii="Times New Roman" w:hAnsi="Times New Roman"/>
          <w:b/>
          <w:i/>
          <w:color w:val="000000"/>
          <w:sz w:val="20"/>
        </w:rPr>
        <w:t>Incumbent Board</w:t>
      </w:r>
      <w:r>
        <w:rPr>
          <w:rFonts w:ascii="Times New Roman" w:hAnsi="Times New Roman"/>
          <w:color w:val="000000"/>
          <w:sz w:val="20"/>
        </w:rPr>
        <w:t>” means the Incumbent Board as defined in Section 9(b)(ii) of the Plan.</w:t>
      </w:r>
    </w:p>
    <w:p>
      <w:pPr>
        <w:pStyle w:val="TextBody"/>
        <w:bidi w:val="0"/>
        <w:spacing w:before="0" w:after="240"/>
        <w:jc w:val="both"/>
        <w:rPr>
          <w:rFonts w:ascii="Times New Roman" w:hAnsi="Times New Roman"/>
          <w:sz w:val="20"/>
        </w:rPr>
      </w:pPr>
      <w:r>
        <w:rPr>
          <w:rFonts w:ascii="Times New Roman" w:hAnsi="Times New Roman"/>
          <w:color w:val="000000"/>
          <w:sz w:val="20"/>
        </w:rPr>
        <w:t>(z) “</w:t>
      </w:r>
      <w:r>
        <w:rPr>
          <w:rFonts w:ascii="Times New Roman" w:hAnsi="Times New Roman"/>
          <w:b/>
          <w:i/>
          <w:color w:val="000000"/>
          <w:sz w:val="20"/>
        </w:rPr>
        <w:t>Justifiable Cause</w:t>
      </w:r>
      <w:r>
        <w:rPr>
          <w:rFonts w:ascii="Times New Roman" w:hAnsi="Times New Roman"/>
          <w:color w:val="000000"/>
          <w:sz w:val="20"/>
        </w:rPr>
        <w:t>” means the same definition as used in the Participant’s employment agreement, if any, that is in effect at the time the determination is being made. If the Participant does not have an employment agreement at that time, or there is no definition of Justifiable Cause, or any substantially similar term, in the Participant’s employment agreement at that time, then Justifiable Cause means any material failure by the Participant in performing his or her necessary job functions; any breach of any material written policies, rules or regulations which have been adopted by the Company; the Participant’s performance of any act or failure to act, as to which if the Participant was prosecuted and convicted, a crime or offense involving money or property of the Company or any Related Entity, or a crime or offense constituting a felony in the jurisdiction involved, would have occurred; the Participant’s embezzlement of funds or assets of the Company or any of its Subsidiaries or Affiliates; the Participant’s conviction of, pleas of guilty to, or pleas of nolo contendere to any felony; the Participant’s unauthorized disclosure to any person, firm or corporation of any confidential information of the Company or any Related Entity; the Participant’s usurpation of a corporate opportunity of the Company or any of its Related Entity; or the Participant’s engaging in any business other than the business of the Company or any Related Entity which materially interferes with the performance of his or her duties.</w:t>
      </w:r>
    </w:p>
    <w:p>
      <w:pPr>
        <w:pStyle w:val="TextBody"/>
        <w:bidi w:val="0"/>
        <w:spacing w:before="0" w:after="240"/>
        <w:jc w:val="both"/>
        <w:rPr>
          <w:rFonts w:ascii="Times New Roman" w:hAnsi="Times New Roman"/>
          <w:sz w:val="20"/>
        </w:rPr>
      </w:pPr>
      <w:r>
        <w:rPr>
          <w:rFonts w:ascii="Times New Roman" w:hAnsi="Times New Roman"/>
          <w:color w:val="000000"/>
          <w:sz w:val="20"/>
        </w:rPr>
        <w:t>(aa) “</w:t>
      </w:r>
      <w:r>
        <w:rPr>
          <w:rFonts w:ascii="Times New Roman" w:hAnsi="Times New Roman"/>
          <w:b/>
          <w:i/>
          <w:color w:val="000000"/>
          <w:sz w:val="20"/>
        </w:rPr>
        <w:t>Listing Market</w:t>
      </w:r>
      <w:r>
        <w:rPr>
          <w:rFonts w:ascii="Times New Roman" w:hAnsi="Times New Roman"/>
          <w:color w:val="000000"/>
          <w:sz w:val="20"/>
        </w:rPr>
        <w:t>” means the Nasdaq Stock Market or any national securities exchange on which the Company’s securities are listed for trading and, if not listed for trading on the Nasdaq Stock Market or a national securities exchange, then the Nasdaq Stock Market.</w:t>
      </w:r>
    </w:p>
    <w:p>
      <w:pPr>
        <w:pStyle w:val="TextBody"/>
        <w:bidi w:val="0"/>
        <w:spacing w:before="0" w:after="240"/>
        <w:jc w:val="both"/>
        <w:rPr>
          <w:rFonts w:ascii="Times New Roman" w:hAnsi="Times New Roman"/>
          <w:sz w:val="20"/>
        </w:rPr>
      </w:pPr>
      <w:r>
        <w:rPr>
          <w:rFonts w:ascii="Times New Roman" w:hAnsi="Times New Roman"/>
          <w:color w:val="000000"/>
          <w:sz w:val="20"/>
        </w:rPr>
        <w:t>(bb) “</w:t>
      </w:r>
      <w:r>
        <w:rPr>
          <w:rFonts w:ascii="Times New Roman" w:hAnsi="Times New Roman"/>
          <w:b/>
          <w:i/>
          <w:color w:val="000000"/>
          <w:sz w:val="20"/>
        </w:rPr>
        <w:t>Option</w:t>
      </w:r>
      <w:r>
        <w:rPr>
          <w:rFonts w:ascii="Times New Roman" w:hAnsi="Times New Roman"/>
          <w:color w:val="000000"/>
          <w:sz w:val="20"/>
        </w:rPr>
        <w:t>” means a right granted to a Participant under Section 7(b) hereof, to purchase Shares or other Awards at a specified price during specified time periods.</w:t>
      </w:r>
    </w:p>
    <w:p>
      <w:pPr>
        <w:pStyle w:val="TextBody"/>
        <w:bidi w:val="0"/>
        <w:spacing w:before="0" w:after="240"/>
        <w:jc w:val="both"/>
        <w:rPr>
          <w:rFonts w:ascii="Times New Roman" w:hAnsi="Times New Roman"/>
          <w:sz w:val="20"/>
        </w:rPr>
      </w:pPr>
      <w:r>
        <w:rPr>
          <w:rFonts w:ascii="Times New Roman" w:hAnsi="Times New Roman"/>
          <w:color w:val="000000"/>
          <w:sz w:val="20"/>
        </w:rPr>
        <w:t>(cc) “</w:t>
      </w:r>
      <w:r>
        <w:rPr>
          <w:rFonts w:ascii="Times New Roman" w:hAnsi="Times New Roman"/>
          <w:b/>
          <w:i/>
          <w:color w:val="000000"/>
          <w:sz w:val="20"/>
        </w:rPr>
        <w:t>Optionee</w:t>
      </w:r>
      <w:r>
        <w:rPr>
          <w:rFonts w:ascii="Times New Roman" w:hAnsi="Times New Roman"/>
          <w:color w:val="000000"/>
          <w:sz w:val="20"/>
        </w:rPr>
        <w:t>” means a person to whom an Option is granted under this Plan or any person who succeeds to the rights of such person under this Plan.</w:t>
      </w:r>
    </w:p>
    <w:p>
      <w:pPr>
        <w:pStyle w:val="TextBody"/>
        <w:bidi w:val="0"/>
        <w:spacing w:before="0" w:after="240"/>
        <w:jc w:val="both"/>
        <w:rPr>
          <w:rFonts w:ascii="Times New Roman" w:hAnsi="Times New Roman"/>
          <w:sz w:val="20"/>
        </w:rPr>
      </w:pPr>
      <w:r>
        <w:rPr>
          <w:rFonts w:ascii="Times New Roman" w:hAnsi="Times New Roman"/>
          <w:color w:val="000000"/>
          <w:sz w:val="20"/>
        </w:rPr>
        <w:t>(dd) “</w:t>
      </w:r>
      <w:r>
        <w:rPr>
          <w:rFonts w:ascii="Times New Roman" w:hAnsi="Times New Roman"/>
          <w:b/>
          <w:i/>
          <w:color w:val="000000"/>
          <w:sz w:val="20"/>
        </w:rPr>
        <w:t>Other Stock-Based Awards</w:t>
      </w:r>
      <w:r>
        <w:rPr>
          <w:rFonts w:ascii="Times New Roman" w:hAnsi="Times New Roman"/>
          <w:color w:val="000000"/>
          <w:sz w:val="20"/>
        </w:rPr>
        <w:t>” means Awards granted to a Participant under Section 7(i) hereof.</w:t>
      </w:r>
    </w:p>
    <w:p>
      <w:pPr>
        <w:pStyle w:val="TextBody"/>
        <w:bidi w:val="0"/>
        <w:spacing w:before="0" w:after="240"/>
        <w:jc w:val="both"/>
        <w:rPr>
          <w:rFonts w:ascii="Times New Roman" w:hAnsi="Times New Roman"/>
          <w:sz w:val="20"/>
        </w:rPr>
      </w:pPr>
      <w:r>
        <w:rPr>
          <w:rFonts w:ascii="Times New Roman" w:hAnsi="Times New Roman"/>
          <w:color w:val="000000"/>
          <w:sz w:val="20"/>
        </w:rPr>
        <w:t>(ee) “</w:t>
      </w:r>
      <w:r>
        <w:rPr>
          <w:rFonts w:ascii="Times New Roman" w:hAnsi="Times New Roman"/>
          <w:b/>
          <w:i/>
          <w:color w:val="000000"/>
          <w:sz w:val="20"/>
        </w:rPr>
        <w:t>Participant</w:t>
      </w:r>
      <w:r>
        <w:rPr>
          <w:rFonts w:ascii="Times New Roman" w:hAnsi="Times New Roman"/>
          <w:color w:val="000000"/>
          <w:sz w:val="20"/>
        </w:rPr>
        <w:t>” means a person who has been granted an Award under the Plan which remains outstanding, including a person who is no longer an Eligible Person.</w:t>
      </w:r>
    </w:p>
    <w:p>
      <w:pPr>
        <w:pStyle w:val="TextBody"/>
        <w:bidi w:val="0"/>
        <w:spacing w:before="0" w:after="240"/>
        <w:jc w:val="both"/>
        <w:rPr>
          <w:rFonts w:ascii="Times New Roman" w:hAnsi="Times New Roman"/>
          <w:sz w:val="20"/>
        </w:rPr>
      </w:pPr>
      <w:r>
        <w:rPr>
          <w:rFonts w:ascii="Times New Roman" w:hAnsi="Times New Roman"/>
          <w:color w:val="000000"/>
          <w:sz w:val="20"/>
        </w:rPr>
        <w:t>(ff) “</w:t>
      </w:r>
      <w:r>
        <w:rPr>
          <w:rFonts w:ascii="Times New Roman" w:hAnsi="Times New Roman"/>
          <w:b/>
          <w:i/>
          <w:color w:val="000000"/>
          <w:sz w:val="20"/>
        </w:rPr>
        <w:t>Performance Award</w:t>
      </w:r>
      <w:r>
        <w:rPr>
          <w:rFonts w:ascii="Times New Roman" w:hAnsi="Times New Roman"/>
          <w:color w:val="000000"/>
          <w:sz w:val="20"/>
        </w:rPr>
        <w:t>” means any Award of Performance Shares or Performance Units granted pursuant to Section 7(h).</w:t>
      </w:r>
    </w:p>
    <w:p>
      <w:pPr>
        <w:pStyle w:val="TextBody"/>
        <w:bidi w:val="0"/>
        <w:spacing w:before="0" w:after="240"/>
        <w:jc w:val="both"/>
        <w:rPr>
          <w:rFonts w:ascii="Times New Roman" w:hAnsi="Times New Roman"/>
          <w:sz w:val="20"/>
        </w:rPr>
      </w:pPr>
      <w:r>
        <w:rPr>
          <w:rFonts w:ascii="Times New Roman" w:hAnsi="Times New Roman"/>
          <w:color w:val="000000"/>
          <w:sz w:val="20"/>
        </w:rPr>
        <w:t>(gg) “</w:t>
      </w:r>
      <w:r>
        <w:rPr>
          <w:rFonts w:ascii="Times New Roman" w:hAnsi="Times New Roman"/>
          <w:b/>
          <w:i/>
          <w:color w:val="000000"/>
          <w:sz w:val="20"/>
        </w:rPr>
        <w:t>Performance Period</w:t>
      </w:r>
      <w:r>
        <w:rPr>
          <w:rFonts w:ascii="Times New Roman" w:hAnsi="Times New Roman"/>
          <w:color w:val="000000"/>
          <w:sz w:val="20"/>
        </w:rPr>
        <w:t>” means that period established by the Committee at the time any Performance Award is granted or at any time thereafter during which any performance goals specified by the Committee with respect to such Award are to be measured.</w:t>
      </w:r>
    </w:p>
    <w:p>
      <w:pPr>
        <w:pStyle w:val="TextBody"/>
        <w:bidi w:val="0"/>
        <w:spacing w:before="0" w:after="240"/>
        <w:jc w:val="both"/>
        <w:rPr>
          <w:rFonts w:ascii="Times New Roman" w:hAnsi="Times New Roman"/>
          <w:sz w:val="20"/>
        </w:rPr>
      </w:pPr>
      <w:r>
        <w:rPr>
          <w:rFonts w:ascii="Times New Roman" w:hAnsi="Times New Roman"/>
          <w:color w:val="000000"/>
          <w:sz w:val="20"/>
        </w:rPr>
        <w:t>(hh) “</w:t>
      </w:r>
      <w:r>
        <w:rPr>
          <w:rFonts w:ascii="Times New Roman" w:hAnsi="Times New Roman"/>
          <w:b/>
          <w:i/>
          <w:color w:val="000000"/>
          <w:sz w:val="20"/>
        </w:rPr>
        <w:t>Performance Share</w:t>
      </w:r>
      <w:r>
        <w:rPr>
          <w:rFonts w:ascii="Times New Roman" w:hAnsi="Times New Roman"/>
          <w:color w:val="000000"/>
          <w:sz w:val="20"/>
        </w:rPr>
        <w:t>” means any grant pursuant to Section 7(h)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(ii) “</w:t>
      </w:r>
      <w:r>
        <w:rPr>
          <w:rFonts w:ascii="Times New Roman" w:hAnsi="Times New Roman"/>
          <w:b/>
          <w:i/>
          <w:color w:val="000000"/>
          <w:sz w:val="20"/>
        </w:rPr>
        <w:t>Performance Unit</w:t>
      </w:r>
      <w:r>
        <w:rPr>
          <w:rFonts w:ascii="Times New Roman" w:hAnsi="Times New Roman"/>
          <w:color w:val="000000"/>
          <w:sz w:val="20"/>
        </w:rPr>
        <w:t>” means any grant pursuant to Section 7(h)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pStyle w:val="TextBody"/>
        <w:bidi w:val="0"/>
        <w:spacing w:before="0" w:after="240"/>
        <w:jc w:val="both"/>
        <w:rPr>
          <w:rFonts w:ascii="Times New Roman" w:hAnsi="Times New Roman"/>
          <w:sz w:val="20"/>
        </w:rPr>
      </w:pPr>
      <w:r>
        <w:rPr>
          <w:rFonts w:ascii="Times New Roman" w:hAnsi="Times New Roman"/>
          <w:color w:val="000000"/>
          <w:sz w:val="20"/>
        </w:rPr>
        <w:t>(jj) “</w:t>
      </w:r>
      <w:r>
        <w:rPr>
          <w:rFonts w:ascii="Times New Roman" w:hAnsi="Times New Roman"/>
          <w:b/>
          <w:i/>
          <w:color w:val="000000"/>
          <w:sz w:val="20"/>
        </w:rPr>
        <w:t>Person</w:t>
      </w:r>
      <w:r>
        <w:rPr>
          <w:rFonts w:ascii="Times New Roman" w:hAnsi="Times New Roman"/>
          <w:color w:val="000000"/>
          <w:sz w:val="20"/>
        </w:rPr>
        <w:t>” shall have the meaning ascribed to such term in Section 3(a)(9) of the Exchange Act and used in Sections 13(d) and 14(d) thereof, and shall include a “group” as defined in Section 13(d) thereof.</w:t>
      </w:r>
    </w:p>
    <w:p>
      <w:pPr>
        <w:pStyle w:val="TextBody"/>
        <w:bidi w:val="0"/>
        <w:spacing w:before="0" w:after="240"/>
        <w:jc w:val="both"/>
        <w:rPr>
          <w:rFonts w:ascii="Times New Roman" w:hAnsi="Times New Roman"/>
          <w:sz w:val="20"/>
        </w:rPr>
      </w:pPr>
      <w:r>
        <w:rPr>
          <w:rFonts w:ascii="Times New Roman" w:hAnsi="Times New Roman"/>
          <w:color w:val="000000"/>
          <w:sz w:val="20"/>
        </w:rPr>
        <w:t>(kk) “</w:t>
      </w:r>
      <w:r>
        <w:rPr>
          <w:rFonts w:ascii="Times New Roman" w:hAnsi="Times New Roman"/>
          <w:b/>
          <w:i/>
          <w:color w:val="000000"/>
          <w:sz w:val="20"/>
        </w:rPr>
        <w:t>Prior Plan</w:t>
      </w:r>
      <w:r>
        <w:rPr>
          <w:rFonts w:ascii="Times New Roman" w:hAnsi="Times New Roman"/>
          <w:color w:val="000000"/>
          <w:sz w:val="20"/>
        </w:rPr>
        <w:t>” means the Company’s 2006 Incentive Compensation Plan.</w:t>
      </w:r>
    </w:p>
    <w:p>
      <w:pPr>
        <w:pStyle w:val="TextBody"/>
        <w:bidi w:val="0"/>
        <w:spacing w:before="0" w:after="240"/>
        <w:jc w:val="both"/>
        <w:rPr>
          <w:rFonts w:ascii="Times New Roman" w:hAnsi="Times New Roman"/>
          <w:sz w:val="20"/>
        </w:rPr>
      </w:pPr>
      <w:r>
        <w:rPr>
          <w:rFonts w:ascii="Times New Roman" w:hAnsi="Times New Roman"/>
          <w:color w:val="000000"/>
          <w:sz w:val="20"/>
        </w:rPr>
        <w:t>(ll) “</w:t>
      </w:r>
      <w:r>
        <w:rPr>
          <w:rFonts w:ascii="Times New Roman" w:hAnsi="Times New Roman"/>
          <w:b/>
          <w:i/>
          <w:color w:val="000000"/>
          <w:sz w:val="20"/>
        </w:rPr>
        <w:t>Related Entity</w:t>
      </w:r>
      <w:r>
        <w:rPr>
          <w:rFonts w:ascii="Times New Roman" w:hAnsi="Times New Roman"/>
          <w:color w:val="000000"/>
          <w:sz w:val="20"/>
        </w:rPr>
        <w:t>” means any Subsidiary, and any business, corporation, partnership, limited liability company or other entity designated by the Committee in which the Company, or a Subsidiary holds a substantial ownership interest, directly or indirectly and with respect to which the Company may offer or sell securities pursuant to the Plan in reliance upon either Rule 701 under the Securities Act of 1933 or, if the Company is required to file reports pursuant to Section 13 or 15(d) of the Exchange Act, registration on a Form S-8 Registration Statement under the Securities Act of 1933.</w:t>
      </w:r>
    </w:p>
    <w:p>
      <w:pPr>
        <w:pStyle w:val="TextBody"/>
        <w:bidi w:val="0"/>
        <w:spacing w:before="0" w:after="240"/>
        <w:jc w:val="both"/>
        <w:rPr>
          <w:rFonts w:ascii="Times New Roman" w:hAnsi="Times New Roman"/>
          <w:sz w:val="20"/>
        </w:rPr>
      </w:pPr>
      <w:r>
        <w:rPr>
          <w:rFonts w:ascii="Times New Roman" w:hAnsi="Times New Roman"/>
          <w:color w:val="000000"/>
          <w:sz w:val="20"/>
        </w:rPr>
        <w:t>(mm) “</w:t>
      </w:r>
      <w:r>
        <w:rPr>
          <w:rFonts w:ascii="Times New Roman" w:hAnsi="Times New Roman"/>
          <w:b/>
          <w:i/>
          <w:color w:val="000000"/>
          <w:sz w:val="20"/>
        </w:rPr>
        <w:t>Restricted Stock</w:t>
      </w:r>
      <w:r>
        <w:rPr>
          <w:rFonts w:ascii="Times New Roman" w:hAnsi="Times New Roman"/>
          <w:color w:val="000000"/>
          <w:sz w:val="20"/>
        </w:rPr>
        <w:t>” means any Share issued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pStyle w:val="TextBody"/>
        <w:bidi w:val="0"/>
        <w:spacing w:before="0" w:after="240"/>
        <w:jc w:val="both"/>
        <w:rPr>
          <w:rFonts w:ascii="Times New Roman" w:hAnsi="Times New Roman"/>
          <w:sz w:val="20"/>
        </w:rPr>
      </w:pPr>
      <w:r>
        <w:rPr>
          <w:rFonts w:ascii="Times New Roman" w:hAnsi="Times New Roman"/>
          <w:color w:val="000000"/>
          <w:sz w:val="20"/>
        </w:rPr>
        <w:t>(nn) “</w:t>
      </w:r>
      <w:r>
        <w:rPr>
          <w:rFonts w:ascii="Times New Roman" w:hAnsi="Times New Roman"/>
          <w:b/>
          <w:i/>
          <w:color w:val="000000"/>
          <w:sz w:val="20"/>
        </w:rPr>
        <w:t>Restricted Stock Award</w:t>
      </w:r>
      <w:r>
        <w:rPr>
          <w:rFonts w:ascii="Times New Roman" w:hAnsi="Times New Roman"/>
          <w:color w:val="000000"/>
          <w:sz w:val="20"/>
        </w:rPr>
        <w:t>” means an Award of Restricted Stock granted to a Participant under Section 7(d) hereof.</w:t>
      </w:r>
    </w:p>
    <w:p>
      <w:pPr>
        <w:pStyle w:val="TextBody"/>
        <w:bidi w:val="0"/>
        <w:spacing w:before="0" w:after="240"/>
        <w:jc w:val="both"/>
        <w:rPr>
          <w:rFonts w:ascii="Times New Roman" w:hAnsi="Times New Roman"/>
          <w:sz w:val="20"/>
        </w:rPr>
      </w:pPr>
      <w:r>
        <w:rPr>
          <w:rFonts w:ascii="Times New Roman" w:hAnsi="Times New Roman"/>
          <w:color w:val="000000"/>
          <w:sz w:val="20"/>
        </w:rPr>
        <w:t>(oo) “</w:t>
      </w:r>
      <w:r>
        <w:rPr>
          <w:rFonts w:ascii="Times New Roman" w:hAnsi="Times New Roman"/>
          <w:b/>
          <w:i/>
          <w:color w:val="000000"/>
          <w:sz w:val="20"/>
        </w:rPr>
        <w:t>Restricted Stock Unit</w:t>
      </w:r>
      <w:r>
        <w:rPr>
          <w:rFonts w:ascii="Times New Roman" w:hAnsi="Times New Roman"/>
          <w:color w:val="000000"/>
          <w:sz w:val="20"/>
        </w:rPr>
        <w:t>” means a right to receive Shares, including Restricted Stock, cash measured based upon the value of Shares or a combination thereof, at the end of a specified deferral period, which right is subject to a risk of forfeiture.</w:t>
      </w:r>
    </w:p>
    <w:p>
      <w:pPr>
        <w:pStyle w:val="TextBody"/>
        <w:bidi w:val="0"/>
        <w:spacing w:before="0" w:after="240"/>
        <w:jc w:val="both"/>
        <w:rPr>
          <w:rFonts w:ascii="Times New Roman" w:hAnsi="Times New Roman"/>
          <w:sz w:val="20"/>
        </w:rPr>
      </w:pPr>
      <w:r>
        <w:rPr>
          <w:rFonts w:ascii="Times New Roman" w:hAnsi="Times New Roman"/>
          <w:color w:val="000000"/>
          <w:sz w:val="20"/>
        </w:rPr>
        <w:t>(pp) “</w:t>
      </w:r>
      <w:r>
        <w:rPr>
          <w:rFonts w:ascii="Times New Roman" w:hAnsi="Times New Roman"/>
          <w:b/>
          <w:i/>
          <w:color w:val="000000"/>
          <w:sz w:val="20"/>
        </w:rPr>
        <w:t>Restricted Stock Unit Award</w:t>
      </w:r>
      <w:r>
        <w:rPr>
          <w:rFonts w:ascii="Times New Roman" w:hAnsi="Times New Roman"/>
          <w:color w:val="000000"/>
          <w:sz w:val="20"/>
        </w:rPr>
        <w:t>” means an Award of Restricted Stock Unit granted to a Participant under Section 7(e) hereof.</w:t>
      </w:r>
    </w:p>
    <w:p>
      <w:pPr>
        <w:pStyle w:val="TextBody"/>
        <w:bidi w:val="0"/>
        <w:spacing w:before="0" w:after="240"/>
        <w:jc w:val="both"/>
        <w:rPr>
          <w:rFonts w:ascii="Times New Roman" w:hAnsi="Times New Roman"/>
          <w:sz w:val="20"/>
        </w:rPr>
      </w:pPr>
      <w:r>
        <w:rPr>
          <w:rFonts w:ascii="Times New Roman" w:hAnsi="Times New Roman"/>
          <w:color w:val="000000"/>
          <w:sz w:val="20"/>
        </w:rPr>
        <w:t>(qq) “</w:t>
      </w:r>
      <w:r>
        <w:rPr>
          <w:rFonts w:ascii="Times New Roman" w:hAnsi="Times New Roman"/>
          <w:b/>
          <w:i/>
          <w:color w:val="000000"/>
          <w:sz w:val="20"/>
        </w:rPr>
        <w:t>Rule 16b-3</w:t>
      </w:r>
      <w:r>
        <w:rPr>
          <w:rFonts w:ascii="Times New Roman" w:hAnsi="Times New Roman"/>
          <w:color w:val="000000"/>
          <w:sz w:val="20"/>
        </w:rPr>
        <w:t>” means Rule 16b-3, as from time to time in effect and applicable to the Plan and Participants, promulgated by the Securities and Exchange Commission under Section 16 of the Exchange Act.</w:t>
      </w:r>
    </w:p>
    <w:p>
      <w:pPr>
        <w:pStyle w:val="TextBody"/>
        <w:bidi w:val="0"/>
        <w:spacing w:before="0" w:after="240"/>
        <w:jc w:val="both"/>
        <w:rPr>
          <w:rFonts w:ascii="Times New Roman" w:hAnsi="Times New Roman"/>
          <w:sz w:val="20"/>
        </w:rPr>
      </w:pPr>
      <w:r>
        <w:rPr>
          <w:rFonts w:ascii="Times New Roman" w:hAnsi="Times New Roman"/>
          <w:color w:val="000000"/>
          <w:sz w:val="20"/>
        </w:rPr>
        <w:t>(rr) “</w:t>
      </w:r>
      <w:r>
        <w:rPr>
          <w:rFonts w:ascii="Times New Roman" w:hAnsi="Times New Roman"/>
          <w:b/>
          <w:i/>
          <w:color w:val="000000"/>
          <w:sz w:val="20"/>
        </w:rPr>
        <w:t>Shareholder Approval Date</w:t>
      </w:r>
      <w:r>
        <w:rPr>
          <w:rFonts w:ascii="Times New Roman" w:hAnsi="Times New Roman"/>
          <w:color w:val="000000"/>
          <w:sz w:val="20"/>
        </w:rPr>
        <w:t>” means the date on which this Plan is approved by shareholders of the Company eligible to vote in the election of directors, by a vote sufficient to meet the requirements of 422 of the Code, Rule 16b-3 under the Exchange Act and applicable requirements under the rules of the Listing Market.</w:t>
      </w:r>
    </w:p>
    <w:p>
      <w:pPr>
        <w:pStyle w:val="TextBody"/>
        <w:bidi w:val="0"/>
        <w:spacing w:before="0" w:after="240"/>
        <w:jc w:val="both"/>
        <w:rPr>
          <w:rFonts w:ascii="Times New Roman" w:hAnsi="Times New Roman"/>
          <w:sz w:val="20"/>
        </w:rPr>
      </w:pPr>
      <w:r>
        <w:rPr>
          <w:rFonts w:ascii="Times New Roman" w:hAnsi="Times New Roman"/>
          <w:color w:val="000000"/>
          <w:sz w:val="20"/>
        </w:rPr>
        <w:t>(ss) “</w:t>
      </w:r>
      <w:r>
        <w:rPr>
          <w:rFonts w:ascii="Times New Roman" w:hAnsi="Times New Roman"/>
          <w:b/>
          <w:i/>
          <w:color w:val="000000"/>
          <w:sz w:val="20"/>
        </w:rPr>
        <w:t>Shares</w:t>
      </w:r>
      <w:r>
        <w:rPr>
          <w:rFonts w:ascii="Times New Roman" w:hAnsi="Times New Roman"/>
          <w:color w:val="000000"/>
          <w:sz w:val="20"/>
        </w:rPr>
        <w:t>” means the shares of common stock of the Company, par value $.01 per share, and such other securities as may be substituted (or resubstituted) for Shares pursuant to Section 10(c) hereof.</w:t>
      </w:r>
    </w:p>
    <w:p>
      <w:pPr>
        <w:pStyle w:val="TextBody"/>
        <w:bidi w:val="0"/>
        <w:spacing w:before="0" w:after="240"/>
        <w:jc w:val="both"/>
        <w:rPr>
          <w:rFonts w:ascii="Times New Roman" w:hAnsi="Times New Roman"/>
          <w:sz w:val="20"/>
        </w:rPr>
      </w:pPr>
      <w:r>
        <w:rPr>
          <w:rFonts w:ascii="Times New Roman" w:hAnsi="Times New Roman"/>
          <w:color w:val="000000"/>
          <w:sz w:val="20"/>
        </w:rPr>
        <w:t>(tt) “</w:t>
      </w:r>
      <w:r>
        <w:rPr>
          <w:rFonts w:ascii="Times New Roman" w:hAnsi="Times New Roman"/>
          <w:b/>
          <w:i/>
          <w:color w:val="000000"/>
          <w:sz w:val="20"/>
        </w:rPr>
        <w:t>Stock Appreciation Right</w:t>
      </w:r>
      <w:r>
        <w:rPr>
          <w:rFonts w:ascii="Times New Roman" w:hAnsi="Times New Roman"/>
          <w:color w:val="000000"/>
          <w:sz w:val="20"/>
        </w:rPr>
        <w:t>” means a right granted to a Participant under Section 7(c) hereof.</w:t>
      </w:r>
    </w:p>
    <w:p>
      <w:pPr>
        <w:pStyle w:val="TextBody"/>
        <w:bidi w:val="0"/>
        <w:spacing w:before="0" w:after="240"/>
        <w:jc w:val="both"/>
        <w:rPr>
          <w:rFonts w:ascii="Times New Roman" w:hAnsi="Times New Roman"/>
          <w:sz w:val="20"/>
        </w:rPr>
      </w:pPr>
      <w:r>
        <w:rPr>
          <w:rFonts w:ascii="Times New Roman" w:hAnsi="Times New Roman"/>
          <w:color w:val="000000"/>
          <w:sz w:val="20"/>
        </w:rPr>
        <w:t>(uu) “</w:t>
      </w:r>
      <w:r>
        <w:rPr>
          <w:rFonts w:ascii="Times New Roman" w:hAnsi="Times New Roman"/>
          <w:b/>
          <w:i/>
          <w:color w:val="000000"/>
          <w:sz w:val="20"/>
        </w:rPr>
        <w:t>Subsidiary</w:t>
      </w:r>
      <w:r>
        <w:rPr>
          <w:rFonts w:ascii="Times New Roman" w:hAnsi="Times New Roman"/>
          <w:color w:val="000000"/>
          <w:sz w:val="20"/>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pStyle w:val="TextBody"/>
        <w:bidi w:val="0"/>
        <w:spacing w:before="0" w:after="240"/>
        <w:jc w:val="both"/>
        <w:rPr>
          <w:rFonts w:ascii="Times New Roman" w:hAnsi="Times New Roman"/>
          <w:sz w:val="20"/>
        </w:rPr>
      </w:pPr>
      <w:r>
        <w:rPr>
          <w:rFonts w:ascii="Times New Roman" w:hAnsi="Times New Roman"/>
          <w:color w:val="000000"/>
          <w:sz w:val="20"/>
        </w:rPr>
        <w:t>(vv) “</w:t>
      </w:r>
      <w:r>
        <w:rPr>
          <w:rFonts w:ascii="Times New Roman" w:hAnsi="Times New Roman"/>
          <w:b/>
          <w:i/>
          <w:color w:val="000000"/>
          <w:sz w:val="20"/>
        </w:rPr>
        <w:t>Substitute Awards</w:t>
      </w:r>
      <w:r>
        <w:rPr>
          <w:rFonts w:ascii="Times New Roman" w:hAnsi="Times New Roman"/>
          <w:color w:val="000000"/>
          <w:sz w:val="20"/>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pStyle w:val="TextBody"/>
        <w:bidi w:val="0"/>
        <w:spacing w:before="240" w:after="240"/>
        <w:jc w:val="both"/>
        <w:rPr>
          <w:rFonts w:ascii="Times New Roman" w:hAnsi="Times New Roman"/>
          <w:sz w:val="20"/>
        </w:rPr>
      </w:pPr>
      <w:bookmarkStart w:id="6" w:name="administration"/>
      <w:bookmarkEnd w:id="6"/>
      <w:r>
        <w:rPr>
          <w:rFonts w:ascii="Times New Roman" w:hAnsi="Times New Roman"/>
          <w:color w:val="000000"/>
          <w:sz w:val="20"/>
        </w:rPr>
        <w:t xml:space="preserve">3. </w:t>
      </w:r>
      <w:r>
        <w:rPr>
          <w:rFonts w:ascii="Times New Roman" w:hAnsi="Times New Roman"/>
          <w:b/>
          <w:i/>
          <w:color w:val="000000"/>
          <w:sz w:val="20"/>
        </w:rPr>
        <w:t>Administration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Authority of the Committee</w:t>
      </w:r>
      <w:r>
        <w:rPr>
          <w:rFonts w:ascii="Times New Roman" w:hAnsi="Times New Roman"/>
          <w:color w:val="000000"/>
          <w:sz w:val="20"/>
        </w:rPr>
        <w:t xml:space="preserve">. The Plan shall be administered by the Committee, except to the extent the Board elects to administer the Plan, in 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Manner of Exercise of Committee Authority</w:t>
      </w:r>
      <w:r>
        <w:rPr>
          <w:rFonts w:ascii="Times New Roman" w:hAnsi="Times New Roman"/>
          <w:color w:val="000000"/>
          <w:sz w:val="20"/>
        </w:rPr>
        <w:t>. The Committee, and not the Board, shall exercise sole and exclusive discretion (i) on any matter relating to a Participant then subject to Section 16 of the Exchange Act with respect to the Company to the extent necessary in order that transactions by such Participant shall be exempt under Rule 16b-3 under the Exchange Act; and (ii) with respect to any Award to an Independent Director. Any action of the Committee shall be final, conclusive and binding on all persons, including the Company, its Related Entities, Eligible Persons,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members of the Board, or officers or managers of the Company or any Related Entity, or committees thereof, the authority, subject to such terms and limitations as the Committee shall determine, to perform such functions, including administrative functions as the Committee may determine to the extent that such delegation will not result in the loss of an exemption under Rule 16b-3(d)(1) for Awards granted to Participants subject to Section 16 of the Exchange Act in respect of the Company. The Committee may appoint agents to assist it in administering the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Limitation of Liability</w:t>
      </w:r>
      <w:r>
        <w:rPr>
          <w:rFonts w:ascii="Times New Roman" w:hAnsi="Times New Roman"/>
          <w:color w:val="000000"/>
          <w:sz w:val="20"/>
        </w:rPr>
        <w:t>. The Committee and the Board, and each member thereof, shall be entitled to, in good faith, rely or act upon any report or 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pStyle w:val="TextBody"/>
        <w:bidi w:val="0"/>
        <w:spacing w:before="240" w:after="240"/>
        <w:jc w:val="both"/>
        <w:rPr>
          <w:rFonts w:ascii="Times New Roman" w:hAnsi="Times New Roman"/>
          <w:sz w:val="20"/>
        </w:rPr>
      </w:pPr>
      <w:bookmarkStart w:id="7" w:name="shares_subject_to_plan"/>
      <w:bookmarkEnd w:id="7"/>
      <w:r>
        <w:rPr>
          <w:rFonts w:ascii="Times New Roman" w:hAnsi="Times New Roman"/>
          <w:color w:val="000000"/>
          <w:sz w:val="20"/>
        </w:rPr>
        <w:t xml:space="preserve">4. </w:t>
      </w:r>
      <w:r>
        <w:rPr>
          <w:rFonts w:ascii="Times New Roman" w:hAnsi="Times New Roman"/>
          <w:b/>
          <w:i/>
          <w:color w:val="000000"/>
          <w:sz w:val="20"/>
        </w:rPr>
        <w:t>Shares Subject to Plan</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Limitation on Overall Number of Shares Available for Delivery Under Plan</w:t>
      </w:r>
      <w:r>
        <w:rPr>
          <w:rFonts w:ascii="Times New Roman" w:hAnsi="Times New Roman"/>
          <w:color w:val="000000"/>
          <w:sz w:val="20"/>
        </w:rPr>
        <w:t>. Subject to adjustment as provided in Section 10(c) hereof, the aggregate number of Shares reserved and available for delivery under the Plan shall be equal to the sum of (i) 20,745,000 Shares plus (ii) the number of Shares available for issuance but not granted under the Prior Plan, and (iii) the number of Shares that are credited back to the maximum Share limitation under Section 4(c)(i) hereof. Shares issued in respect of any Full Value Award granted under the Plan shall be counted against the share limit as 1.9 Shares of stock for every one Share actually issued in connection with such Full Value Award. Each Share issued in respect of Options and SARs shall be counted against the share limit as one Share. Any Shares delivered under the Plan may consist, in whole or in part, of authorized and unissued shares or treasury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Application of Limitation to Grants of Award</w:t>
      </w:r>
      <w:r>
        <w:rPr>
          <w:rFonts w:ascii="Times New Roman" w:hAnsi="Times New Roman"/>
          <w:color w:val="000000"/>
          <w:sz w:val="20"/>
        </w:rPr>
        <w:t>. No Award may be granted if the number of Shares that would be counted against the Share limit in Section 4(a) hereof as a result of such an Award exceeds the number of Shares remaining available for Award under the Plan.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Availability of Shares Not Delivered under Awards and Adjustments to Limits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If any Shares subject to an Option or SAR granted under the Plan or the Prior Plan are forfeited or such Option or SAR is settled in cash or otherwise expires or terminates without the delivery of such Shares, the maximum Share limitation of Section 4(a) hereof shall be credited with one Share for each Share subject to such Option or SAR and such number of credited Shares may again be made available for Awards under the Plan, subject to Section 4(c)(iv) below. If any Shares subject to a Full Value Award granted under the Plan or the Prior Plan are forfeited or such Full Value Award is settled in cash or otherwise expires or terminates without the delivery of such Shares, the maximum share limitation of Section 4(a) hereof shall be credited with 1.9 Shares for each Share subject to such Full Value Award, and such number of credited Shares may again be made available for Awards under the Plan, subject to Section 4(c)(iv)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 Awards that are settled or exercised through the payment of Shares shall be counted against the number of Shares available for award under the Plan in accordance with Section 4(a) hereof, regardless of the number of Shares actually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issued upon settlement or exercise of any such Award. Awards that are settled in cash shall not be counted against the number of Shares available for Award under this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 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if and to the extent that the use of such Shares would not require approval of the Company’s shareholders under the rules of the Listing Market.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 Notwithstanding anything in this Section 4(c) to the contrary but subject to adjustment as provided in Section 10(c) hereof, the maximum aggregate number of Shares that may be delivered under the Plan as a result of the exercise of the Incentive Stock Options shall be 20,745,000 Shares. In no event shall any Incentive Stock Options be granted under the Plan after the tenth anniversary of the date on which the Board adopts the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(v) Notwithstanding anything in this Section 4 to the contrary, but subject to adjustment as provided in Section 10(c) hereof, in any fiscal year of the Company during any part of which the Plan is in effect, no Participant who is a Director but is not also an Employee or Consultant may be granted any Awards that have a “fair value” as of the date of grant, as determined in accordance with FASB ASC Topic 718 (or any other applicable accounting guidance), that exceed $300,000 in the aggregate.</w:t>
      </w:r>
    </w:p>
    <w:p>
      <w:pPr>
        <w:pStyle w:val="TextBody"/>
        <w:bidi w:val="0"/>
        <w:spacing w:before="240" w:after="283"/>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No Further Awards Under Prior Plan</w:t>
      </w:r>
      <w:r>
        <w:rPr>
          <w:rFonts w:ascii="Times New Roman" w:hAnsi="Times New Roman"/>
          <w:color w:val="000000"/>
          <w:sz w:val="20"/>
        </w:rPr>
        <w:t>. No further awards shall be made under the Prior Plan after July 31, 2016.</w:t>
      </w:r>
    </w:p>
    <w:p>
      <w:pPr>
        <w:pStyle w:val="TextBody"/>
        <w:bidi w:val="0"/>
        <w:spacing w:before="240" w:after="240"/>
        <w:jc w:val="both"/>
        <w:rPr>
          <w:rFonts w:ascii="Times New Roman" w:hAnsi="Times New Roman"/>
          <w:sz w:val="20"/>
        </w:rPr>
      </w:pPr>
      <w:bookmarkStart w:id="8" w:name="eligibility_perparticipant_limitations"/>
      <w:bookmarkEnd w:id="8"/>
      <w:r>
        <w:rPr>
          <w:rFonts w:ascii="Times New Roman" w:hAnsi="Times New Roman"/>
          <w:color w:val="000000"/>
          <w:sz w:val="20"/>
        </w:rPr>
        <w:t xml:space="preserve">5. </w:t>
      </w:r>
      <w:r>
        <w:rPr>
          <w:rFonts w:ascii="Times New Roman" w:hAnsi="Times New Roman"/>
          <w:b/>
          <w:i/>
          <w:color w:val="000000"/>
          <w:sz w:val="20"/>
        </w:rPr>
        <w:t>Eligibility; Per-Participant Limitations</w:t>
      </w:r>
      <w:r>
        <w:rPr>
          <w:rFonts w:ascii="Times New Roman" w:hAnsi="Times New Roman"/>
          <w:color w:val="000000"/>
          <w:sz w:val="20"/>
        </w:rPr>
        <w:t>. Awards may be granted under the Plan only to Eligible Persons. Subject to adjustment as provided in Section 10(c) of this Plan, in any fiscal year of the Company during any part of which the Plan is in effect, no Participant may be granted (i) Options and/or Stock Appreciation Rights with respect to more than 1,000,000 Shares or (ii) Performance Shares, with respect to more than 1,000,000 Shares. In addition, the maximum dollar value payable to any one Participant with respect to Performance Units is (x) $3,000,000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$3,000,000 multiplied by the number of full 12 months periods that are in the Performance Period.</w:t>
      </w:r>
    </w:p>
    <w:p>
      <w:pPr>
        <w:pStyle w:val="TextBody"/>
        <w:bidi w:val="0"/>
        <w:spacing w:before="240" w:after="240"/>
        <w:jc w:val="both"/>
        <w:rPr>
          <w:rFonts w:ascii="Times New Roman" w:hAnsi="Times New Roman"/>
          <w:sz w:val="20"/>
        </w:rPr>
      </w:pPr>
      <w:bookmarkStart w:id="9" w:name="award_vesting_limitations"/>
      <w:bookmarkEnd w:id="9"/>
      <w:r>
        <w:rPr>
          <w:rFonts w:ascii="Times New Roman" w:hAnsi="Times New Roman"/>
          <w:color w:val="000000"/>
          <w:sz w:val="20"/>
        </w:rPr>
        <w:t xml:space="preserve">6. </w:t>
      </w:r>
      <w:r>
        <w:rPr>
          <w:rFonts w:ascii="Times New Roman" w:hAnsi="Times New Roman"/>
          <w:b/>
          <w:i/>
          <w:color w:val="000000"/>
          <w:sz w:val="20"/>
        </w:rPr>
        <w:t>Award Vesting Limitations</w:t>
      </w:r>
      <w:r>
        <w:rPr>
          <w:rFonts w:ascii="Times New Roman" w:hAnsi="Times New Roman"/>
          <w:color w:val="000000"/>
          <w:sz w:val="20"/>
        </w:rPr>
        <w:t>. Notwithstanding any other provision of the Plan to the contrary, but subject to Section 9 of the Plan, Awards granted under the Plan shall vest no earlier than the first anniversary of the date the Award is granted; provided, however, that, notwithstanding the foregoing, Awards that result in the issuance of an aggregate of up to 5% of the Shares available pursuant to Section 4(a) may be granted to any one or more Eligible Persons without respect to such minimum vesting provisions. Nothing in this Section 6 shall preclude the Committee from taking action, in its sole discretion, to accelerate the vesting of any Award in connection with or following a Participant’s death, disability, termination of Continuous Service or the consummation of a Change in Control.</w:t>
      </w:r>
    </w:p>
    <w:p>
      <w:pPr>
        <w:pStyle w:val="TextBody"/>
        <w:bidi w:val="0"/>
        <w:spacing w:before="240" w:after="240"/>
        <w:jc w:val="both"/>
        <w:rPr>
          <w:rFonts w:ascii="Times New Roman" w:hAnsi="Times New Roman"/>
          <w:sz w:val="20"/>
        </w:rPr>
      </w:pPr>
      <w:bookmarkStart w:id="10" w:name="specific_terms_of_awards"/>
      <w:bookmarkEnd w:id="10"/>
      <w:r>
        <w:rPr>
          <w:rFonts w:ascii="Times New Roman" w:hAnsi="Times New Roman"/>
          <w:color w:val="000000"/>
          <w:sz w:val="20"/>
        </w:rPr>
        <w:t xml:space="preserve">7. </w:t>
      </w:r>
      <w:r>
        <w:rPr>
          <w:rFonts w:ascii="Times New Roman" w:hAnsi="Times New Roman"/>
          <w:b/>
          <w:i/>
          <w:color w:val="000000"/>
          <w:sz w:val="20"/>
        </w:rPr>
        <w:t>Specific Terms of Awards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General</w:t>
      </w:r>
      <w:r>
        <w:rPr>
          <w:rFonts w:ascii="Times New Roman" w:hAnsi="Times New Roman"/>
          <w:color w:val="000000"/>
          <w:sz w:val="20"/>
        </w:rPr>
        <w:t>. Awards may be granted on the terms and conditions set forth in this Section 7. In addition, the Committee may impose on any Award or 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Except as otherwise expressly provided herein,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Options</w:t>
      </w:r>
      <w:r>
        <w:rPr>
          <w:rFonts w:ascii="Times New Roman" w:hAnsi="Times New Roman"/>
          <w:color w:val="000000"/>
          <w:sz w:val="20"/>
        </w:rPr>
        <w:t>. The Committee is authorized to grant Options to any Eligible Person on the following terms and conditions: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Exercise Price</w:t>
      </w:r>
      <w:r>
        <w:rPr>
          <w:rFonts w:ascii="Times New Roman" w:hAnsi="Times New Roman"/>
          <w:color w:val="000000"/>
          <w:sz w:val="20"/>
        </w:rPr>
        <w:t>. Other than in connection with Substitute Awards, the exercise price per Share purchasable under an Option shall be 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(A) the terms of outstanding Options may not be amended to reduce the exercise price per Share of such Options, (B) an outstanding Option may not be cancelled, exchanged, substituted, bought out or surrendered in exchange for (i) cash or other Awards, in each case, having a Fair Market Value in excess of the amount by which the Fair Market Value of the Shares underlying such Option exceeds the aggregate exercise price of such Option or (ii) Options with an exercise price per Share that is less than the exercise price per Share of the original Option and (C) the Committee shall not be permitted to take any other action with respect to an Option that may be treated as a repricing, in each case, without approval of the Company’s shareholders.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Time and Method of Exercise</w:t>
      </w:r>
      <w:r>
        <w:rPr>
          <w:rFonts w:ascii="Times New Roman" w:hAnsi="Times New Roman"/>
          <w:color w:val="000000"/>
          <w:sz w:val="20"/>
        </w:rPr>
        <w:t>. Subject to the maximum term of any Option set forth in Section 7(b), the Committee shall determine the time or times at which or the circumstances under which an Option may be exercised in whole or in part (including based on achievement of performance goals and/or future service requirements), the method by which notice of exercise is to be given and the form of exercise notice to be used,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(including without limitation the withholding of Shares otherwise deliverable pursuant to the Award), other Awards or Awards granted under other plans of the Company or a Related Entity, or other property (including notes or other contractual obligations of Participants to make payment on a deferred basis provided that such deferred payments are not in violation of Section 13(k) of the Exchange Act, or any rule or regulation adopted thereunder or any other applicable law), and the methods by or forms in which Shares will be delivered or deemed to be delivered to Participants.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i/>
          <w:color w:val="000000"/>
          <w:sz w:val="20"/>
        </w:rPr>
        <w:t>Form of Settlement</w:t>
      </w:r>
      <w:r>
        <w:rPr>
          <w:rFonts w:ascii="Times New Roman" w:hAnsi="Times New Roman"/>
          <w:color w:val="000000"/>
          <w:sz w:val="20"/>
        </w:rPr>
        <w:t>. The Committee may, in its sole discretion, provide that the Shares to be issued upon exercise of an Option shall be in the form of Restricted Stock or other similar securities.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(iv) </w:t>
      </w:r>
      <w:r>
        <w:rPr>
          <w:rFonts w:ascii="Times New Roman" w:hAnsi="Times New Roman"/>
          <w:b/>
          <w:i/>
          <w:color w:val="000000"/>
          <w:sz w:val="20"/>
        </w:rPr>
        <w:t>Incentive Stock Options</w:t>
      </w:r>
      <w:r>
        <w:rPr>
          <w:rFonts w:ascii="Times New Roman" w:hAnsi="Times New Roman"/>
          <w:color w:val="000000"/>
          <w:sz w:val="20"/>
        </w:rPr>
        <w:t>. The terms of any Incentive Stock Option granted under the Plan shall comply in all respects with the provisions 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the Option shall not be exercisable for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that become exercisable for the first time by the Participant during any calendar year shall not (to the extent required by the Code at the time of the grant) exceed $100,000;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if shares acquired by exercise of an Incentive Stock Option are disposed of within two years following the date the Incentive Stock Option is granted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Committee may reasonably require.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Stock Appreciation Rights</w:t>
      </w:r>
      <w:r>
        <w:rPr>
          <w:rFonts w:ascii="Times New Roman" w:hAnsi="Times New Roman"/>
          <w:color w:val="000000"/>
          <w:sz w:val="20"/>
        </w:rPr>
        <w:t>. The Committee may grant Stock Appreciation Rights to any Eligible Person (a “Freestanding Stock Appreciation Right”), upon such terms and conditions as the Committee may establish in its sole discretion, not inconsistent with the provisions of the Plan, including the following: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Right to Payment</w:t>
      </w:r>
      <w:r>
        <w:rPr>
          <w:rFonts w:ascii="Times New Roman" w:hAnsi="Times New Roman"/>
          <w:color w:val="000000"/>
          <w:sz w:val="20"/>
        </w:rPr>
        <w:t>. A Stock Appreciation Right shall confer on the Participant to whom it is granted a right to receive, upon exercise thereof, the excess of (A) the Fair Market Value of one Share on the date of exercise over (B) the grant price of the Stock Appreciation Right as determined by the Committee. The grant price of a Stock Appreciation Right shall not be less than 100% of the Fair Market Value of a Share on the date of grant, in the case of a Freestanding Stock Appreciation Right, or less than the associated Option exercise price, in the case of a tandem Stock Appreciation Right. Other than pursuant to Section 10(c), (A) the terms of outstanding Stock Appreciation Rights may not be amended to reduce the grant price per Share of such Stock Appreciation Rights, (B) an outstanding Stock Appreciation Right may not be cancelled, exchanged, substituted, bought out or surrendered in exchange for (i) cash or other Awards, in each case, having a Fair Market Value in excess of the amount by which the Fair Market Value of the Shares underlying such Stock Appreciation Right exceeds the aggregate grant price of such Stock Appreciation Right or (ii) Stock Appreciation Rights with a grant price per Share that is less than the grant price per Share of the original Stock Appreciation Right and (C) the Committee shall not be permitted to take any other action with respect to a Stock Appreciation Right that may be treated as a repricing, in each case, without approval of the Company’s shareholders.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Other Terms</w:t>
      </w:r>
      <w:r>
        <w:rPr>
          <w:rFonts w:ascii="Times New Roman" w:hAnsi="Times New Roman"/>
          <w:color w:val="000000"/>
          <w:sz w:val="20"/>
        </w:rPr>
        <w:t>. Subject to the maximum term of any Stock Appreciation Right set forth in Section 7(c), the Committee shall determine at the date of grant or thereafter, the time or times at which and the circumstances under which a Stock Appreciation Right may be exercised in whole or in part (including based on achievement of performance goals and/or future service 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Restricted Stock Awards</w:t>
      </w:r>
      <w:r>
        <w:rPr>
          <w:rFonts w:ascii="Times New Roman" w:hAnsi="Times New Roman"/>
          <w:color w:val="000000"/>
          <w:sz w:val="20"/>
        </w:rPr>
        <w:t>. The Committee is authorized to grant Restricted Stock Awards to any Eligible Person on the following terms and conditions: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Grant and Restrictions</w:t>
      </w:r>
      <w:r>
        <w:rPr>
          <w:rFonts w:ascii="Times New Roman" w:hAnsi="Times New Roman"/>
          <w:color w:val="000000"/>
          <w:sz w:val="20"/>
        </w:rPr>
        <w:t>. Restricted Stock Awards shall be subject to such restrictions on transferability, risk of forfeiture and other 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period that the Restricted Stock Award is subject to a risk of forfeiture, subject to Section 10(b) below and except as otherwise provided in the Award Agreement, the Restricted Stock may not be sold, transferred, pledged, hypothecated, margined or otherwise encumbered by the Participant or Beneficiary.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Forfeiture</w:t>
      </w:r>
      <w:r>
        <w:rPr>
          <w:rFonts w:ascii="Times New Roman" w:hAnsi="Times New Roman"/>
          <w:color w:val="000000"/>
          <w:sz w:val="20"/>
        </w:rPr>
        <w:t>. Except as otherwise determined by the Committee, upon termination of a Participant’s Continuous Service during the applicable Restriction Period, the Participant’s Restricted Stock that is at that time subject to a risk of forfeiture that has not lapsed or otherwise been satisfied shall be forfeited and reacquired by the Company; provided that, subject to the limitations set forth in Section 6 hereof, the Committee may provide, by resolution or other action or in any Award Agreement, or may determine in any individual case, that forfeiture conditions relating to Restricted Stock Awards shall be waived in whole or in part in the event of terminations resulting from specified causes, and subject to the limitations in Section 6 hereof, the Committee may in other cases waive in whole or in part the forfeiture of Restricted Stock.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i/>
          <w:color w:val="000000"/>
          <w:sz w:val="20"/>
        </w:rPr>
        <w:t>Certificates for Stock</w:t>
      </w:r>
      <w:r>
        <w:rPr>
          <w:rFonts w:ascii="Times New Roman" w:hAnsi="Times New Roman"/>
          <w:color w:val="000000"/>
          <w:sz w:val="20"/>
        </w:rPr>
        <w:t>. Restricted Stock granted under the Plan may be evidenced in such manner as the Committee shall determine. If 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(iv) </w:t>
      </w:r>
      <w:r>
        <w:rPr>
          <w:rFonts w:ascii="Times New Roman" w:hAnsi="Times New Roman"/>
          <w:b/>
          <w:i/>
          <w:color w:val="000000"/>
          <w:sz w:val="20"/>
        </w:rPr>
        <w:t>Dividends and Splits</w:t>
      </w:r>
      <w:r>
        <w:rPr>
          <w:rFonts w:ascii="Times New Roman" w:hAnsi="Times New Roman"/>
          <w:color w:val="000000"/>
          <w:sz w:val="20"/>
        </w:rPr>
        <w:t xml:space="preserve">. As a condition to the grant of a Restricted Stock Award, the Committee may require or permit a Participant to elect that any cash dividends paid on a Share of Restricted Stock be automatically reinvested in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additional Shares of Restricted Stock or applied to the purchase of additional Awards under the Plan, or except as otherwise provided in Section 7(h)(v) hereof, may require that payment be delayed (with or without interest at such rate, if any, as the Committee shall determine) and remain subject to restrictions and a risk of forfeiture to the same extent as the Restricted Stock with respect to which such cash dividend is payable, in each case in a manner that does not violate the requirements of Section 409A of the Code. Notwithstanding any provision herein to the contrary,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b/>
          <w:i/>
          <w:color w:val="000000"/>
          <w:sz w:val="20"/>
        </w:rPr>
        <w:t>Deferred Award</w:t>
      </w:r>
      <w:r>
        <w:rPr>
          <w:rFonts w:ascii="Times New Roman" w:hAnsi="Times New Roman"/>
          <w:color w:val="000000"/>
          <w:sz w:val="20"/>
        </w:rPr>
        <w:t>. The Committee is authorized to grant “Deferred Awards,” which include Deferred Stock and Restricted Stock Unit Awards, to any Eligible Person on the following terms and conditions.</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Award and Restrictions</w:t>
      </w:r>
      <w:r>
        <w:rPr>
          <w:rFonts w:ascii="Times New Roman" w:hAnsi="Times New Roman"/>
          <w:color w:val="000000"/>
          <w:sz w:val="20"/>
        </w:rPr>
        <w:t>. Satisfaction of a Deferred Award shall occur upon expiration of the deferral period specified for such Deferred Award by the Committee (or, if permitted by the Committee, as elected by the Participant in a manner that does not violate the requirements of Section 409A of the Code). In addition, a Restricted Stock Unit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Award may be satisfied by delivery of Shares, cash equal to the Fair Market Value of the specified number of Shares covered by the Deferred Award, or a combination thereof, as determined by the Committee at the date of grant or thereafter. Prior to satisfaction of a Deferred Award, a Deferred Award carries no voting or dividend or other rights associated with Share ownership. Prior to satisfaction of a Deferred Award, except as otherwise provided in an Award Agreement and as permitted under Section 409A of the Code, a Deferred Award may not be sold, transferred, pledged, hypothecated, margined or otherwise encumbered by the Participant or any Beneficiary.</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Forfeiture</w:t>
      </w:r>
      <w:r>
        <w:rPr>
          <w:rFonts w:ascii="Times New Roman" w:hAnsi="Times New Roman"/>
          <w:color w:val="000000"/>
          <w:sz w:val="20"/>
        </w:rPr>
        <w:t>. Except as otherwise determined by the Committee, upon termination of a Participant’s Continuous Service during the applicable deferral period or portion thereof to which forfeiture conditions apply (as provided in the Award Agreement evidencing the Restricted Stock Unit Award), the Participant’s Restricted Stock Unit Award that is at that time subject to a risk of forfeiture that has not lapsed or otherwise been satisfied shall be forfeited; provided that, subject to the limitations set forth in Section 7 hereof, the Committee may provide, by resolution or other action or in any Award Agreement, or may determine in any individual case, that forfeiture conditions relating to a Restricted Stock Unit Award shall be waived in whole or in part in the event of terminations resulting from specified causes, and, subject to the limitations in Section 6 hereof, the Committee may in other cases waive in whole or in part the forfeiture of any Restricted Stock Unit Award.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i/>
          <w:color w:val="000000"/>
          <w:sz w:val="20"/>
        </w:rPr>
        <w:t>Dividend Equivalents</w:t>
      </w:r>
      <w:r>
        <w:rPr>
          <w:rFonts w:ascii="Times New Roman" w:hAnsi="Times New Roman"/>
          <w:color w:val="000000"/>
          <w:sz w:val="20"/>
        </w:rPr>
        <w:t>. Unless otherwise determined by the Committee at the date of grant, and except as otherwise provided in Section 7(h)(v) hereof, any Dividend Equivalents that are granted with respect to any Deferred Award shall be either (A) paid with respect to such Deferred Award at the dividend payment date in cash or in Shares of unrestricted stock having a Fair Market Value equal to the amount of such dividends, but only to the extent such Deferred Award is then vested, or (B) deferred with respect to such Deferred Award and the amount or value thereof automatically deemed reinvested in additional Deferred Award, other Awards or other investment vehicles, as the Committee shall determine or permit the Participant to elect. The applicable Award Agreement shall specify whether any Dividend Equivalents shall be paid at the dividend payment date (subject to the limitation described above), deferred or deferred at the election of the Participant. If the Participant may elect to defer the Dividend Equivalents, such election shall be made within 30 days after the grant date of the Deferred Award, but in no event later than 12 months before the first date on which any portion of such Deferred Award vests (or at such other times prescribed by the Committee as shall not result in a violation of Section 409A of the Code).</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b/>
          <w:i/>
          <w:color w:val="000000"/>
          <w:sz w:val="20"/>
        </w:rPr>
        <w:t>Bonus Stock and Awards in Lieu of Obligations</w:t>
      </w:r>
      <w:r>
        <w:rPr>
          <w:rFonts w:ascii="Times New Roman" w:hAnsi="Times New Roman"/>
          <w:color w:val="000000"/>
          <w:sz w:val="20"/>
        </w:rPr>
        <w:t>. The Committee is authorized to grant Shares to any Eligible Persons as a bonus, or to grant 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b/>
          <w:i/>
          <w:color w:val="000000"/>
          <w:sz w:val="20"/>
        </w:rPr>
        <w:t>Dividend Equivalents</w:t>
      </w:r>
      <w:r>
        <w:rPr>
          <w:rFonts w:ascii="Times New Roman" w:hAnsi="Times New Roman"/>
          <w:color w:val="000000"/>
          <w:sz w:val="20"/>
        </w:rPr>
        <w:t xml:space="preserve">. The Committee is authorized to grant Dividend Equivalents to any Eligible Person entitling the Eligible Person to receive cash, Shares, other Awards, or other property equal in value to the dividends paid with respect to a specified number of Shares, or other periodic payments. Dividend Equivalents may be awarded on a free-standing basis or in connection with another Award. Except as otherwise provided in Section 7(h)(v) hereof, the Committee may provide that Dividend Equivalents shall be paid or distributed when accrued or at some later date, or whether such Dividend Equivalents shall be deemed to have been reinvested in additional Shares, Awards, or other investment vehicles, and subject to such restrictions on transferability and risks of forfeiture, as the Committee may specify, provided that Dividend Equivalents granted in connection with another Award shall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not be paid or distributed prior to the vesting date of the related Award (or portion thereof giving rise to the Dividend Equivalent). Any such determination by the Committee shall be made at the grant date of the applicable Award. Notwithstanding the foregoing, Dividend Equivalents credited in connection with an Award that vests based on the achievement of performance goals shall be subject to restrictions and risk of forfeiture to the same extent as the Award with respect to which such Dividend Equivalents have been credited.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b/>
          <w:i/>
          <w:color w:val="000000"/>
          <w:sz w:val="20"/>
        </w:rPr>
        <w:t>Performance Awards</w:t>
      </w:r>
      <w:r>
        <w:rPr>
          <w:rFonts w:ascii="Times New Roman" w:hAnsi="Times New Roman"/>
          <w:color w:val="000000"/>
          <w:sz w:val="20"/>
        </w:rPr>
        <w:t xml:space="preserve">. The Committee is authorized to grant Performance Awards to any Eligible Person payable in cash, Shares, or other Awards, on terms and conditions established by the Committee.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The performance criteria to be achieved during any Performance Period and the length of the Performance Period shall be determined by the Committee upon the grant of each Performance Award. The Committee shall determine the circumstances in which Awards shall be paid, if at all, or forfeited in the event of termination of Continuous Service by the Participant prior to the end of a Performance Period or settlement of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(ii) Except as may be provided in an Award Agreement, Performance Awards will be distributed or settled only after the end of the relevant Performance Period.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 The performance goals to be achieved for each Performance Period shall be conclusively determined by the Committee and may be based upon any criteria that the Committee, in its sole discretion, shall determine should be used for that purpose. Achievement of performance goals in respect of Performance Awards shall generally be measured over a Performance Period of at least 12 months and not longer than 5 years, as specified by the Committee. Generally, performance goals shall be established within 90 days after the beginning of any Performance Period applicable to Performance Awards.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(iv) The Committee will determine, by resolution or other appropriate action, whether the performance criteria and any other material terms previously established by the Committee or set forth in the Plan have been satisfied. The amount of the Award to be distributed shall be conclusively determined by the Committee. Except as otherwise specified by the Committee, the Committee shall exclude the impact of: (i) restructurings, discontinued operations, extraordinary items, and other unusual or non-recurring charges, (ii) an event either not directly related to the operations of the Company or not within the reasonable control of the Company’s management, (iii) a change in accounting standards required by generally accepted accounting principles, or (iv) any other item or event deemed advisable by the Committee. The Committee may, in its discretion, reduce the amount of a settlement otherwise to be made in connection with Awards.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(v) Performance Awards may be paid in a lump sum or in installments following the close of the Performance Period or, in accordance with procedures established by the Committee, on a deferred basis in a manner that does not violate the requirements of Section 409A of the Code.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(vi) </w:t>
      </w:r>
      <w:r>
        <w:rPr>
          <w:rFonts w:ascii="Times New Roman" w:hAnsi="Times New Roman"/>
          <w:b/>
          <w:i/>
          <w:color w:val="000000"/>
          <w:sz w:val="20"/>
        </w:rPr>
        <w:t>Other Stock-Based Awards</w:t>
      </w:r>
      <w:r>
        <w:rPr>
          <w:rFonts w:ascii="Times New Roman" w:hAnsi="Times New Roman"/>
          <w:color w:val="000000"/>
          <w:sz w:val="20"/>
        </w:rPr>
        <w:t>. The Committee is authorized, subject to limitations under applicable law, to grant to any Eligible Person such other 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Except as otherwise provided in Section 7(h)(v) hereof, the Committee shall determine the terms and conditions of such Awards. Shares delivered pursuant to an Award in the nature of a purchase right granted under this Section 7(i)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pStyle w:val="TextBody"/>
        <w:bidi w:val="0"/>
        <w:spacing w:before="240" w:after="240"/>
        <w:jc w:val="both"/>
        <w:rPr>
          <w:rFonts w:ascii="Times New Roman" w:hAnsi="Times New Roman"/>
          <w:sz w:val="20"/>
        </w:rPr>
      </w:pPr>
      <w:bookmarkStart w:id="11" w:name="certain_provisions"/>
      <w:bookmarkEnd w:id="11"/>
      <w:r>
        <w:rPr>
          <w:rFonts w:ascii="Times New Roman" w:hAnsi="Times New Roman"/>
          <w:color w:val="000000"/>
          <w:sz w:val="20"/>
        </w:rPr>
        <w:t xml:space="preserve">8. </w:t>
      </w:r>
      <w:r>
        <w:rPr>
          <w:rFonts w:ascii="Times New Roman" w:hAnsi="Times New Roman"/>
          <w:b/>
          <w:i/>
          <w:color w:val="000000"/>
          <w:sz w:val="20"/>
        </w:rPr>
        <w:t>Certain Provisions Applicable to Awards</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Stand-Alone, Additional, Tandem, and Substitute Awards</w:t>
      </w:r>
      <w:r>
        <w:rPr>
          <w:rFonts w:ascii="Times New Roman" w:hAnsi="Times New Roman"/>
          <w:color w:val="000000"/>
          <w:sz w:val="20"/>
        </w:rPr>
        <w:t xml:space="preserve">. Awards granted under the Plan may, in the discretion of the Committee, be granted 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Shares minus the value of the cash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compensation surrendered (for example, Options or Stock Appreciation Right granted with an exercise price or grant price “discounted” by the amount of the cash compensation surrendered), provided that any such determination to grant an Award in lieu of cash compensation must be made in a manner intended to be exempt from or comply with Section 409A of the Code.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Term of Awards</w:t>
      </w:r>
      <w:r>
        <w:rPr>
          <w:rFonts w:ascii="Times New Roman" w:hAnsi="Times New Roman"/>
          <w:color w:val="000000"/>
          <w:sz w:val="20"/>
        </w:rPr>
        <w:t>. The term of each Award shall be for such period as may be determined by the Committee; provided that in no event shall the term of any Option or Stock Appreciation Right exceed a period of ten years (or in the case of an Incentive Stock Option such shorter term as may be required under Section 422 of the Code).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Form and Timing of Payment Under Awards; Deferrals</w:t>
      </w:r>
      <w:r>
        <w:rPr>
          <w:rFonts w:ascii="Times New Roman" w:hAnsi="Times New Roman"/>
          <w:color w:val="000000"/>
          <w:sz w:val="20"/>
        </w:rPr>
        <w:t>. Subject to the terms of the Plan and any applicable Award Agreement, payments to be 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provided that any determination to pay in installments or on a deferred basis shall be made by the Committee at the date of grant. Any installment or deferral provided for in the preceding sentence shall, however, subject to the terms of the Plan, be subject to the Company’s compliance with the provisions of the Sarbanes-Oxley Act of 2002, as amended, the rules and regulations adopted by the Securities and Exchange Commission thereunder, all applicable rules of the Listing Market and any other applicable law, and in a manner intended to be exempt from or otherwise satisfy the requirements of Section 409A of the Code. Any such settlement shall be at a value determined by the Committee in its sole discretion, which, without limitation, may in the case of an Option or Stock Appreciation Right be limited to the amount if any by which the Fair Market Value of a Share on the settlement date exceeds the exercise or grant price. Installment or deferred payments may be required by the Committee (subject to Section 10(e) of this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Exemptions from Section 16(b) Liability</w:t>
      </w:r>
      <w:r>
        <w:rPr>
          <w:rFonts w:ascii="Times New Roman" w:hAnsi="Times New Roman"/>
          <w:color w:val="000000"/>
          <w:sz w:val="20"/>
        </w:rPr>
        <w:t>. It is the intent of the Company that the grant of any Awards to or other transaction by a Participant who 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b/>
          <w:i/>
          <w:color w:val="000000"/>
          <w:sz w:val="20"/>
        </w:rPr>
        <w:t>Code Section 409A</w:t>
      </w:r>
      <w:r>
        <w:rPr>
          <w:rFonts w:ascii="Times New Roman" w:hAnsi="Times New Roman"/>
          <w:color w:val="000000"/>
          <w:sz w:val="20"/>
        </w:rPr>
        <w:t>. The following provisions shall apply to any Award that is or may potentially be subject to the requirements of Section 409A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The Award Agreement for any Award that the Committee reasonably determines to constitute a “non-qualified deferred compensation plan” under Section 409A of the Code (a “Section 409A Plan”), and the provisions of the Plan applicable to that Award, shall be construed in a manner consistent with, the applicable requirements of Section 409A of the Code, and the Committee, in its sole discretion and without the consent of any Participant, may amend any Award Agreement (and the provisions of the Plan applicable thereto) if and to the extent that the Committee determines that such amendment is necessary or appropriate to comply with the requirements of Section 409A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If any Award constitutes a Section 409A Plan, then the Award shall be subject to the following additional requirements, if and to the extent required to comply with Section 409A of the Code: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 Payments under the Section 409A Plan may be made only upon (u) the Participant’s “separation from service”, (v) the date the Participant becomes “disabled”, (w) the Participant’s death, (x) a “specified time (or pursuant to a fixed schedule)” specified in the Award Agreement at the date of the deferral of such compensation, (y) a “change in the ownership or effective control of the corporation, or in the ownership of a substantial portion of the assets” of the Company, or (z) the occurrence of an “unforeseeable emergency”;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The time or schedule for any payment of the deferred compensation may not be accelerated, except to the extent provided in applicable Treasury Regulations or other applicable guidance issued by the Internal Revenue Service;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 Any elections with respect to the deferral of such compensation or the time and form of distribution of such deferred compensation shall comply with the requirements of Section 409A(a)(4) of the Code; and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 In the case of any Participant who is “specified employee”, a distribution on account of a “separation from service” may not be made before the date which is six months after the date of the Participant’s “separation from service” (or, if earlier, the date of the Participant’s death).</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purposes of the foregoing, the terms in quotations shall have the same meanings as those terms have for purposes of Section 409A of the Code, and the limitations set forth herein shall be applied in such manner (and only to the extent) as shall be necessary to comply with any requirements of Section 409A of the Code that are applicable to the Award.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 Notwithstanding the foregoing, or any provision of this Plan or any Award Agreement, the Company does not make any representation to any Participant or Beneficiary that any Awards made pursuant to this Plan are exempt from, or satisfy, the requirements of Section 409A of the Code, and the Company shall have no liability or other obligation to indemnify or hold harmless the Participant or any Beneficiary for any tax, additional tax, interest or penalties that the Participant or any Beneficiary may incur in the event that any provision of this Plan, or any Award Agreement, or any amendment or modification thereof, or any other action taken with respect thereto, is deemed to violate any of the requirements of Section 409A of the Code.</w:t>
      </w:r>
    </w:p>
    <w:p>
      <w:pPr>
        <w:pStyle w:val="TextBody"/>
        <w:bidi w:val="0"/>
        <w:spacing w:before="24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b/>
          <w:i/>
          <w:color w:val="000000"/>
          <w:sz w:val="20"/>
        </w:rPr>
        <w:t>Clawback of Certain Compensation and Benefits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The Company may (A) cause the cancellation of any Award, (B) require reimbursement of any Award by a Participant or Beneficiary, and (C) effect any other right of recoupment of equity or other compensation provided under this Plan or otherwise in accordance with any Company policies that currently exist or that may from time to time be adopted or modified in the future by the Company and/or applicable law (each, a “Clawback Policy”). In addition, a Participant may be required to repay to the Company certain previously paid compensation, whether provided under this Plan or an Award Agreement or otherwise, in accordance with any Clawback Policy. By accepting an Award, a Participant is also agreeing to be bound by any existing or future Clawback Policy adopted by the Company, or any amendments that may from time to time be made to the Clawback Policy in the future by the Company in its discretion (including without limitation any Clawback Policy adopted or amended to comply with applicable laws or stock exchange requirements) and is further agreeing that all of the Participant’s Award Agreements (and/or awards issued under the Prior Plan) may be unilaterally amended by the Company, without the Participant’s consent, to the extent that the Company in its discretion determines to be necessary or appropriate to comply with any Clawback Policy.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If the Participant, without the consent of the Company, while employed by or providing services to the Company or any Subsidiary or after termination of such employment or service, violates a non-competition, non-solicitation or non-disclosure covenant or agreement or otherwise engages in activity that is in conflict with or adverse to the interest of the Company or any Subsidiary, as determined by the Committee in its sole discretion, then (i) any outstanding, vested or unvested, earned or unearned portion of the Award may, at the Committee’s discretion, be canceled and (ii) the Committee, in its discretion, may require the Participant or other person to whom any payment has been made or Shares or other property have been transferred in connection with the Award to forfeit and pay over to the Company, on demand, all or any portion of the gain (whether or not taxable) realized upon the exercise of any Option or Stock Appreciation Right and the value realized (whether or not taxable) on the vesting or payment of any other Award during the time period specified in the Award Agreement or otherwise specified by the Committee.</w:t>
      </w:r>
    </w:p>
    <w:p>
      <w:pPr>
        <w:pStyle w:val="TextBody"/>
        <w:bidi w:val="0"/>
        <w:spacing w:before="240" w:after="240"/>
        <w:jc w:val="both"/>
        <w:rPr>
          <w:rFonts w:ascii="Times New Roman" w:hAnsi="Times New Roman"/>
          <w:sz w:val="20"/>
        </w:rPr>
      </w:pPr>
      <w:bookmarkStart w:id="12" w:name="change_in_control"/>
      <w:bookmarkEnd w:id="12"/>
      <w:r>
        <w:rPr>
          <w:rFonts w:ascii="Times New Roman" w:hAnsi="Times New Roman"/>
          <w:color w:val="000000"/>
          <w:sz w:val="20"/>
        </w:rPr>
        <w:t xml:space="preserve">9. </w:t>
      </w:r>
      <w:r>
        <w:rPr>
          <w:rFonts w:ascii="Times New Roman" w:hAnsi="Times New Roman"/>
          <w:b/>
          <w:i/>
          <w:color w:val="000000"/>
          <w:sz w:val="20"/>
        </w:rPr>
        <w:t>Change in Control</w:t>
      </w:r>
      <w:r>
        <w:rPr>
          <w:rFonts w:ascii="Times New Roman" w:hAnsi="Times New Roman"/>
          <w:color w:val="000000"/>
          <w:sz w:val="20"/>
        </w:rPr>
        <w: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Effect of “Change in Control”</w:t>
      </w:r>
      <w:r>
        <w:rPr>
          <w:rFonts w:ascii="Times New Roman" w:hAnsi="Times New Roman"/>
          <w:color w:val="000000"/>
          <w:sz w:val="20"/>
        </w:rPr>
        <w:t xml:space="preserve">. Unless otherwise provided in any employment or other agreement between the Participant and the Company or any Related Entity, or in any Award Agreement, or to the extent otherwise determined by the Committee in effect immediately preceding the Change in Control, in its sole discretion and without any requirement that each Participant be treated consistently, in the event of a Change in Control and within 6 months before or 18 months after the Change in Control, the Participant’s Continuous Service is terminated by the Company or any Related Entity without Justifiable Cause or by the Participant for Good Reason, or there is a termination of Continuous Service because of the Participant’s death or Disability, the following shall occur: (i) if the portion of the Participant’s Award(s) or any award(s) that is substituted therefor that is subject only to time-based vesting has not previously been vested or paid to the Participant, then such portion shall immediately vest (in the case of any Award or substitute therefor that is subject to vesting) and any cash payable as a result of such vesting shall be paid to the Participant, as soon as practicable (but in no event more than 5 business days) after the later of the Change in Control or the termination of the Participant’s Continuous Service; and (ii) if the portion of the Participant’s Award(s) or any award(s) that is substituted therefor that is subject to performance-based vesting has not previously been vested or paid to the Participant, then the pro-rata portion for the time elapsed in the ongoing performance period(s) of the Award or substitute therefor, shall immediately vest and any cash payable as a result of such vesting shall be paid to the Participant, as soon as practicable (but in no event more than 5 business days) after the later of the Change in Control or the termination of the Participant’s Continuous Service. Each Share that is received upon the exercise, vesting or settlement of an Award or substitute therefor that vests pursuant to this Section 9(a) shall be immediately redeemed by the Company (or its successor) for cash payable by the Company (or its successor) in an amount (the “Redemption Price Per Share”) equal to, as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applicable, (x) if the Shares have not been cancelled, exchanged or converted into other securities or property as a result of the Change in Control and are publicly-traded, the Fair Market Value of a Share on the date of the termination of the Participant’s Continuous Service, or (y) if the Shares have been cancelled, exchanged or converted into other securities or property as a result of the Change in Control, the greater of (i) the fair market value per Share of the consideration received pursuant to the Change in Control by the holders of Shares on the date of the Change in Control and (ii) if the consideration received by the holders of Shares pursuant to the Change in Control consisted, in whole or in part, of other securities which are publicly traded, the sum of (A) the fair market value of the number of such securities received for each Share pursuant to the Change in Control on the date of the termination of the Participant’s Continuous Service and (B) the fair market value of any other consideration received for each Share pursuant to the Change of Control. Each Option that vests pursuant to this Section 9(a) shall be immediately cancelled in exchange for cash payable by the Company for each Share subject to the cancelled Option equal to the amount, if any, by which the Redemption Price Per Share exceeds the exercise price per Share of the Option.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Definition of “Change in Control”</w:t>
      </w:r>
      <w:r>
        <w:rPr>
          <w:rFonts w:ascii="Times New Roman" w:hAnsi="Times New Roman"/>
          <w:color w:val="000000"/>
          <w:sz w:val="20"/>
        </w:rPr>
        <w:t>. Unless otherwise specified in any employment or other agreement for services between the Participant and the Company or any Subsidiary, or in an Award Agreement, a “Change in Control” shall mean the occurrence of any of the following:</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The acquisition by any Person of Beneficial Ownership (within the meaning of Rule 13d-3 promulgated under the Exchange Act) of more than fifty percent (50%) of either (A) the value of then outstanding equity securities of the Company (the “Outstanding Company Stock”) or (B) 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in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entity pursuant to a transaction which complies with clauses (1), (2) and (3) of subsection (iii) below;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 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(iii) Consummation of (A) a reorganization, merger, statutory share exchange or consolidation or similar transaction involving (x) the Company or (y) or any of its Subsidiaries, or (B) a sale or other disposition of all or substantially all of the assets of the Company, or the acquisition of assets or equity securities of another entity by the Company or any of its Subsidiaries (each an “Asset Sale”), in each case, unless, following such Business Combination, (1) all or substantially all of the individuals and entities who were the Beneficial Owners, respectively, of the Outstanding Company Stock and Outstanding Company Voting Securities immediately prior to such Business Combination beneficially own, directly or indirectly, more than fifty percent (50%) of the value of the then outstanding equity securities and the combined voting power of the then outstanding voting securities entitled to vote generally in the election of members of the board of directors (or comparable governing body of an entity that does not have such a board), as the case may be, of the entity resulting from such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Stock and Outstanding Company Voting Securities, as the case may be (2) no Person (excluding any employee benefit plan (or related trust) of the Company or such entity resulting from such Business Combination or any Person that as of the Effective Date owns Beneficial Ownership of a Controlling Interest) beneficially owns, directly or indirectly, fifty percent (50%) or more of the value of the then outstanding equity securities of the entity resulting from such Business Combination or the combined voting power of the then outstanding voting securities of such entity resulting from such Business Combination except to the extent that such ownership existed prior to the Business Combination and (3) at least a majority of the members of the Board of Directors or other governing body of the entity resulting from such Business Combination were members of the Incumbent Board at the time of the execution of the initial agreement, or of the action of the Board, providing for such Business Combination; or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(iv) Approval by the shareholders of the Company of a complete liquidation or dissolution of the Company.</w:t>
      </w:r>
    </w:p>
    <w:p>
      <w:pPr>
        <w:pStyle w:val="TextBody"/>
        <w:bidi w:val="0"/>
        <w:spacing w:before="240" w:after="240"/>
        <w:jc w:val="both"/>
        <w:rPr>
          <w:rFonts w:ascii="Times New Roman" w:hAnsi="Times New Roman"/>
          <w:sz w:val="20"/>
        </w:rPr>
      </w:pPr>
      <w:bookmarkStart w:id="13" w:name="general_provisions"/>
      <w:bookmarkEnd w:id="13"/>
      <w:r>
        <w:rPr>
          <w:rFonts w:ascii="Times New Roman" w:hAnsi="Times New Roman"/>
          <w:color w:val="000000"/>
          <w:sz w:val="20"/>
        </w:rPr>
        <w:t xml:space="preserve">10. </w:t>
      </w:r>
      <w:r>
        <w:rPr>
          <w:rFonts w:ascii="Times New Roman" w:hAnsi="Times New Roman"/>
          <w:b/>
          <w:i/>
          <w:color w:val="000000"/>
          <w:sz w:val="20"/>
        </w:rPr>
        <w:t>General Provisions</w:t>
      </w:r>
      <w:r>
        <w:rPr>
          <w:rFonts w:ascii="Times New Roman" w:hAnsi="Times New Roman"/>
          <w:color w:val="000000"/>
          <w:sz w:val="20"/>
        </w:rPr>
        <w: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w:t>
      </w:r>
      <w:r>
        <w:rPr>
          <w:rFonts w:ascii="Times New Roman" w:hAnsi="Times New Roman"/>
          <w:b/>
          <w:i/>
          <w:color w:val="000000"/>
          <w:sz w:val="20"/>
        </w:rPr>
        <w:t>Compliance With Legal and Other Requirements</w:t>
      </w:r>
      <w:r>
        <w:rPr>
          <w:rFonts w:ascii="Times New Roman" w:hAnsi="Times New Roman"/>
          <w:color w:val="000000"/>
          <w:sz w:val="20"/>
        </w:rPr>
        <w:t>. The Company may, to the extent deemed necessary or advisable by the Committee, postpone the issuance or delivery of Shares or payment of other benefits under any Award until completion of such registration or qualification of such Shares or other required action under any federal or state law, rule or regulation, listing or other required action with respect to the Listing Market,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 </w:t>
      </w:r>
      <w:r>
        <w:rPr>
          <w:rFonts w:ascii="Times New Roman" w:hAnsi="Times New Roman"/>
          <w:b/>
          <w:i/>
          <w:color w:val="000000"/>
          <w:sz w:val="20"/>
        </w:rPr>
        <w:t>Limits on Transferability; Beneficiaries</w:t>
      </w:r>
      <w:r>
        <w:rPr>
          <w:rFonts w:ascii="Times New Roman" w:hAnsi="Times New Roman"/>
          <w:color w:val="000000"/>
          <w:sz w:val="20"/>
        </w:rPr>
        <w:t>. No Award or other right or interest granted under the Plan shall be pledged, hypothecated or otherwise 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are by gift or pursuant to a domestic relations order, and are to a “Permitted Assignee” that is a permissible transferee under the applicable rules of the Securities and Exchange Commission for registration of shares of stock on a Form S-8 registration statement. For this purpose, a Permitted Assignee shall mean (i) the Participant’s spouse, children or grandchildren (including any adopted and step children or grandchildren), parents, grandparents or siblings, (ii) a trust for the benefit of one or more of the Participant or the persons referred to in clause (i), (iii) a partnership, limited liability company or corporation in which the Participant or the persons referred to in clause (i) are the only partners, members or shareholders, or (iv) a foundation in which any person or entity designated in clauses (i), (ii) or (iii) above control the management of assets.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w:t>
      </w:r>
      <w:r>
        <w:rPr>
          <w:rFonts w:ascii="Times New Roman" w:hAnsi="Times New Roman"/>
          <w:b/>
          <w:i/>
          <w:color w:val="000000"/>
          <w:sz w:val="20"/>
        </w:rPr>
        <w:t>Adjustments</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Adjustments to Awards</w:t>
      </w:r>
      <w:r>
        <w:rPr>
          <w:rFonts w:ascii="Times New Roman" w:hAnsi="Times New Roman"/>
          <w:color w:val="000000"/>
          <w:sz w:val="20"/>
        </w:rPr>
        <w:t>. In the event that any extraordinary dividend or other distribution (whether in the form of cash, Shares, or other 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then the Committee shall, in such manner as it may deem appropriate and equitable, substitute, exchange or adjust any or all of (A) the number and kind of Shares which may be delivered in connection with Awards granted thereafter, (B) the number and kind of Shares by which annual per-person Award limitations are measured under Section 5 hereof, (C) the number and kind of Shares 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 in order to prevent the reduction or enlargement of benefits under any Award. Notwithstanding the foregoing, in the case of any “equity restructuring” (within the meaning of Financial Accounting Standards Board Accounting Standards Codification Topic 718, Compensation - Stock Compensation, formerly known as Financial Accounting Standards Board Statement of Financial Accounting Standards No. 123 (revised 2004) or any other applicable accounting standard), the Committee shall make such adjustments to Awards on account of such equity restructuring as shall be necessary in order that the “fair value” of the adjusted Award immediately following the equity restructuring shall be equal to the “fair value” of the original Award immediately prior to the equity restructuring, based on the Share price and other pertinent factors on the effective date of the equity restructuring. For purposes of the preceding sentence, “fair value” shall be determined in accordance with the provisions of Financial Accounting Standards Board Accounting Standards Codification Topic 718, Compensation - Stock Compensation or any other applicable accounting standard.</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 </w:t>
      </w:r>
      <w:r>
        <w:rPr>
          <w:rFonts w:ascii="Times New Roman" w:hAnsi="Times New Roman"/>
          <w:b/>
          <w:i/>
          <w:color w:val="000000"/>
          <w:sz w:val="20"/>
        </w:rPr>
        <w:t>Adjustments in Case of Certain Transactions</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 In the event of any merger, consolidation or other reorganization in which the Company does not survive, or in the event of any Change in Control (and subject to the provisions of Section 9 of this Plan relating to the vesting of Awards in the event of any Change in Control), any outstanding Awards may be dealt with in accordance with any of the following approaches, without the requirement of obtaining any consent or agreement of a Participant as such, as determined by the agreement effectuating the transaction or, if and to the extent not so determined, as determined by the Committee: (1) the continuation of the outstanding Awards by the Company, if the Company is a surviving entity, (2) the assumption or substitution for, as those terms are defined below, the outstanding Awards by the surviving entity or its parent or subsidiary, (3) full exercisability or vesting and accelerated expiration of the outstanding Awards, or (4) settlement of the value of the outstanding Awards in cash or cash equivalents or other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 For purposes of this Section 10(c)(ii), an Option, Stock Appreciation Right, Restricted Stock Award, Deferred Award or Other Stock-Based Award shall be considered assumed or substituted for if following the Change in Control the Award confers the right to purchase or receive, for each Share subject to the Option, Stock Appreciation Right, Restricted Stock Award, Deferred Award or Other Stock-Based Award immediately prior to the Change in Control, on substantially the same vesting and other terms and conditions as were applicable to the Award immediately prior to the Change in Control, the consideration (whether stock, cash or other securities or property) received in the transaction constituting a Change in Control by holders of Shares for each Share held on the effective date of such transaction (and if holders were offered a choice of consideration, the type of consideration chosen by the holders of a majority of the outstanding shares); provided, however, that if such consideration received in the transaction constituting a Change in Control is not solely common stock of the successor company or its parent or subsidiary, the Committee may, with the consent of the successor company or its parent or subsidiary, provide that the consideration to be received upon the exercise or vesting of an Option, Stock Appreciation Right, Restricted Stock Award, Deferred Award or Other Stock-Based Award, for each Share subject thereto, will be solely common stock of the successor company or its parent or subsidiary substantially equal in fair market value to the per share consideration received by holders of Shares in the transaction constituting a Change in Control. The determination of such substantial equality of value of consideration shall be made by the Committee in its sole discretion and its determination shall be conclusive and binding.</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(iii) </w:t>
      </w:r>
      <w:r>
        <w:rPr>
          <w:rFonts w:ascii="Times New Roman" w:hAnsi="Times New Roman"/>
          <w:b/>
          <w:i/>
          <w:color w:val="000000"/>
          <w:sz w:val="20"/>
        </w:rPr>
        <w:t>Other Adjustments</w:t>
      </w:r>
      <w:r>
        <w:rPr>
          <w:rFonts w:ascii="Times New Roman" w:hAnsi="Times New Roman"/>
          <w:color w:val="000000"/>
          <w:sz w:val="20"/>
        </w:rPr>
        <w:t>. The Committee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(d) </w:t>
      </w:r>
      <w:r>
        <w:rPr>
          <w:rFonts w:ascii="Times New Roman" w:hAnsi="Times New Roman"/>
          <w:b/>
          <w:i/>
          <w:color w:val="000000"/>
          <w:sz w:val="20"/>
        </w:rPr>
        <w:t>Award Agreements</w:t>
      </w:r>
      <w:r>
        <w:rPr>
          <w:rFonts w:ascii="Times New Roman" w:hAnsi="Times New Roman"/>
          <w:color w:val="000000"/>
          <w:sz w:val="20"/>
        </w:rPr>
        <w:t>. Each Award Agreement shall either be (i) in writing in a form approved by the Committee and executed by the Company by an officer duly authorized to act on its behalf, or (ii) an electronic notice in a form approved by the Committee and recorded by the Company (or its designee) in an electronic recordkeeping system used for the purpose of tracking one or more types of Awards as the Committee may provide; in each case and if required by the Committee, the Award Agreement shall be executed or otherwise electronically accepted by the recipient of the Award in such form and manner as the Committee may require. The Committee may authorize any officer of the Company to execute any or all Award Agreements on behalf of the Company. The Award Agreement shall set forth the material terms and conditions of the Award as established by the Committee consistent with the provisions of the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(e) </w:t>
      </w:r>
      <w:r>
        <w:rPr>
          <w:rFonts w:ascii="Times New Roman" w:hAnsi="Times New Roman"/>
          <w:b/>
          <w:i/>
          <w:color w:val="000000"/>
          <w:sz w:val="20"/>
        </w:rPr>
        <w:t>Taxes</w:t>
      </w:r>
      <w:r>
        <w:rPr>
          <w:rFonts w:ascii="Times New Roman" w:hAnsi="Times New Roman"/>
          <w:color w:val="000000"/>
          <w:sz w:val="20"/>
        </w:rPr>
        <w:t>. The Company and any Related Entity are authorized to withhold from any Award granted, any payment relating to an Award under the 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equal in value to the Shares withheld or received from the Participant in satisfaction of a Participant’s tax obligations, either on a mandatory or elective basis in the discretion of the Committee. The amount of withholding tax paid with respect to an Award by the withholding of Shares otherwise deliverable pursuant to the Award or by delivering Shares already owned shall not exceed the maximum statutory withholding required with respect to that Award.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(f) </w:t>
      </w:r>
      <w:r>
        <w:rPr>
          <w:rFonts w:ascii="Times New Roman" w:hAnsi="Times New Roman"/>
          <w:b/>
          <w:i/>
          <w:color w:val="000000"/>
          <w:sz w:val="20"/>
        </w:rPr>
        <w:t>Changes to the Plan and Awards</w:t>
      </w:r>
      <w:r>
        <w:rPr>
          <w:rFonts w:ascii="Times New Roman" w:hAnsi="Times New Roman"/>
          <w:color w:val="000000"/>
          <w:sz w:val="20"/>
        </w:rPr>
        <w:t xml:space="preserve">. The Board may amend, alter, suspend, discontinue or terminate the Plan, or the Committee’s authority to grant 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the rules of the Listing Market,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Agreement relating thereto, except as otherwise provided in the Plan; provided that, without the consent of an affected Participant, no such Committee or the Board action may materially and adversely affect the rights of such Participant under such Award.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(g) </w:t>
      </w:r>
      <w:r>
        <w:rPr>
          <w:rFonts w:ascii="Times New Roman" w:hAnsi="Times New Roman"/>
          <w:b/>
          <w:i/>
          <w:color w:val="000000"/>
          <w:sz w:val="20"/>
        </w:rPr>
        <w:t>Limitation on Rights Conferred Under Plan</w:t>
      </w:r>
      <w:r>
        <w:rPr>
          <w:rFonts w:ascii="Times New Roman" w:hAnsi="Times New Roman"/>
          <w:color w:val="000000"/>
          <w:sz w:val="20"/>
        </w:rPr>
        <w:t>. Neither the Plan nor any action taken hereunder or under any Award shall be construed as (i) giving any Eligible Person or Participant the right to continue as an Eligible Person or Participant or in the employ or service of the Company or a Related Entity; (ii) 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or any Related Entity including, without limitation, any right to receive dividends or distributions, any right to vote or act by written consent, any right to attend meetings of shareholders or any right to receive any information concerning the Company’s or any Related Entity’s business, financial condition, results of operation or prospects, unless and until such time as the Participant is duly issued Shares on the stock books of the Company or any Related Entity’s in accordance with the terms of an Award. None of the Company, its officers or its directors shall have any fiduciary obligation to the Participant with respect to any Shares awarded pursuant to this Plan unless and until the Participant is duly issued Shares pursuant to the Award on the stock books of the Company in accordance with the terms of an Award. Neither the Company, nor any Related Entity, nor any of their respective officers, directors, representatives or agents are granting any rights under the Plan to the Participant whatsoever, oral or written, express or implied, other than those rights expressly set forth in this Plan or the Award Agreement.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(h) </w:t>
      </w:r>
      <w:r>
        <w:rPr>
          <w:rFonts w:ascii="Times New Roman" w:hAnsi="Times New Roman"/>
          <w:b/>
          <w:i/>
          <w:color w:val="000000"/>
          <w:sz w:val="20"/>
        </w:rPr>
        <w:t>Unfunded Status of Awards; Creation of Trusts</w:t>
      </w:r>
      <w:r>
        <w:rPr>
          <w:rFonts w:ascii="Times New Roman" w:hAnsi="Times New Roman"/>
          <w:color w:val="000000"/>
          <w:sz w:val="20"/>
        </w:rPr>
        <w:t>. The Plan is intended to constitute an “unfunded” plan for incentive and deferred compensation. With respect to any payments not yet made to a Participant or obligation to deliver Shares pursuant to an Award, nothing contained in the Plan or any Award Agreement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 </w:t>
      </w:r>
      <w:r>
        <w:rPr>
          <w:rFonts w:ascii="Times New Roman" w:hAnsi="Times New Roman"/>
          <w:b/>
          <w:i/>
          <w:color w:val="000000"/>
          <w:sz w:val="20"/>
        </w:rPr>
        <w:t>Nonexclusivity of the Plan</w:t>
      </w:r>
      <w:r>
        <w:rPr>
          <w:rFonts w:ascii="Times New Roman" w:hAnsi="Times New Roman"/>
          <w:color w:val="000000"/>
          <w:sz w:val="20"/>
        </w:rPr>
        <w:t>. Neither the adoption of the Plan by the Board nor its submission to the shareholders of the Company for approval shall be construed as creating any limitations on the power of the Board or a committee thereof to adopt such other incentive arrangements as it may deem desirable.</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(j) </w:t>
      </w:r>
      <w:r>
        <w:rPr>
          <w:rFonts w:ascii="Times New Roman" w:hAnsi="Times New Roman"/>
          <w:b/>
          <w:i/>
          <w:color w:val="000000"/>
          <w:sz w:val="20"/>
        </w:rPr>
        <w:t>Payments in the Event of Forfeitures; Fractional Shares</w:t>
      </w:r>
      <w:r>
        <w:rPr>
          <w:rFonts w:ascii="Times New Roman" w:hAnsi="Times New Roman"/>
          <w:color w:val="000000"/>
          <w:sz w:val="20"/>
        </w:rPr>
        <w:t>. Unless otherwise determined by the Committee, in the event of a forfeiture of an Award with respect to which a Participant paid cash or other consideration, the Participant shall be repaid the amount of such cash or other consideration.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(k) </w:t>
      </w:r>
      <w:r>
        <w:rPr>
          <w:rFonts w:ascii="Times New Roman" w:hAnsi="Times New Roman"/>
          <w:b/>
          <w:i/>
          <w:color w:val="000000"/>
          <w:sz w:val="20"/>
        </w:rPr>
        <w:t>Governing Law</w:t>
      </w:r>
      <w:r>
        <w:rPr>
          <w:rFonts w:ascii="Times New Roman" w:hAnsi="Times New Roman"/>
          <w:color w:val="000000"/>
          <w:sz w:val="20"/>
        </w:rPr>
        <w:t>. Except as otherwise provided in any Award Agreement, the validity, construction and effect of the Plan, any rules and regulations under the Plan, and any Award Agreement shall be determined in accordance with the laws of the State of Delaware without giving effect to principles of conflict of laws, and applicable federal law.</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(l) </w:t>
      </w:r>
      <w:r>
        <w:rPr>
          <w:rFonts w:ascii="Times New Roman" w:hAnsi="Times New Roman"/>
          <w:b/>
          <w:i/>
          <w:color w:val="000000"/>
          <w:sz w:val="20"/>
        </w:rPr>
        <w:t>Non-U.S. Laws</w:t>
      </w:r>
      <w:r>
        <w:rPr>
          <w:rFonts w:ascii="Times New Roman" w:hAnsi="Times New Roman"/>
          <w:color w:val="000000"/>
          <w:sz w:val="20"/>
        </w:rPr>
        <w:t>. The Committee shall have the authority to adopt such modifications, procedures, and subplans as may be necessary or desirable 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 </w:t>
      </w:r>
      <w:r>
        <w:rPr>
          <w:rFonts w:ascii="Times New Roman" w:hAnsi="Times New Roman"/>
          <w:b/>
          <w:i/>
          <w:color w:val="000000"/>
          <w:sz w:val="20"/>
        </w:rPr>
        <w:t>Plan Effective Date and Shareholder Approval; Termination of Plan</w:t>
      </w:r>
      <w:r>
        <w:rPr>
          <w:rFonts w:ascii="Times New Roman" w:hAnsi="Times New Roman"/>
          <w:color w:val="000000"/>
          <w:sz w:val="20"/>
        </w:rPr>
        <w:t xml:space="preserve">. The Plan shall </w:t>
      </w:r>
      <w:r>
        <w:rPr>
          <w:rFonts w:ascii="Times New Roman" w:hAnsi="Times New Roman"/>
          <w:color w:val="000000"/>
          <w:sz w:val="20"/>
          <w:u w:val="single"/>
        </w:rPr>
        <w:t>become effective on the Effective Date</w:t>
      </w:r>
      <w:r>
        <w:rPr>
          <w:rFonts w:ascii="Times New Roman" w:hAnsi="Times New Roman"/>
          <w:color w:val="000000"/>
          <w:sz w:val="20"/>
        </w:rPr>
        <w:t xml:space="preserve"> which is the date the Plan was approved by shareholders of the Company eligible to vote in the election of directors, by a vote sufficient to meet the requirements of Code Section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(n) </w:t>
      </w:r>
      <w:r>
        <w:rPr>
          <w:rFonts w:ascii="Times New Roman" w:hAnsi="Times New Roman"/>
          <w:b/>
          <w:i/>
          <w:color w:val="000000"/>
          <w:sz w:val="20"/>
        </w:rPr>
        <w:t>Construction and Interpretation</w:t>
      </w:r>
      <w:r>
        <w:rPr>
          <w:rFonts w:ascii="Times New Roman" w:hAnsi="Times New Roman"/>
          <w:color w:val="000000"/>
          <w:sz w:val="20"/>
        </w:rPr>
        <w:t>. Whenever used herein, nouns in the singular shall include the plural, and the masculine pronoun shall include the feminine gender. Headings of Articles and Sections hereof are inserted for convenience and reference and constitute no part of the Plan.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(o) </w:t>
      </w:r>
      <w:r>
        <w:rPr>
          <w:rFonts w:ascii="Times New Roman" w:hAnsi="Times New Roman"/>
          <w:b/>
          <w:i/>
          <w:color w:val="000000"/>
          <w:sz w:val="20"/>
        </w:rPr>
        <w:t>Severability</w:t>
      </w:r>
      <w:r>
        <w:rPr>
          <w:rFonts w:ascii="Times New Roman" w:hAnsi="Times New Roman"/>
          <w:color w:val="000000"/>
          <w:sz w:val="20"/>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16067</Words>
  <Characters>82903</Characters>
  <CharactersWithSpaces>98873</CharactersWithSpaces>
  <Paragraphs>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