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On November 30, 2018, Destination XL Group, Inc. (the “Company”) issued a press release announcing the Company’s operating results for the third quarter of fiscal 2018 and an update to its 2018 guidance. A copy of this press release is attached hereto as Exhibit 99.1.</w:t>
      </w:r>
    </w:p>
    <w:p>
      <w:pPr>
        <w:spacing w:after="0" w:line="186"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An audio webcast to discuss the Company’s operating results for the third quarter of fiscal 2018 and fiscal 2018 outlook will be held today, November 30, 2018, at 9:00 a.m. ET. Interested parties can access the webcast on the Company's website at www.destinationxl.com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November 30, 2018</w:t>
              </w:r>
            </w:hyperlink>
          </w:p>
        </w:tc>
      </w:tr>
      <w:tr>
        <w:trPr>
          <w:trHeight w:val="1486"/>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540" w:type="dxa"/>
            <w:vAlign w:val="bottom"/>
            <w:tcBorders>
              <w:top w:val="single" w:sz="8" w:color="0000EE"/>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30,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Robert S. Molloy</w:t>
      </w:r>
    </w:p>
    <w:p>
      <w:pPr>
        <w:jc w:val="center"/>
        <w:ind w:left="670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70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20"/>
          </w:cols>
          <w:pgMar w:left="240" w:top="334" w:right="339" w:bottom="1440" w:gutter="0" w:footer="0" w:header="0"/>
        </w:sectPr>
      </w:pPr>
    </w:p>
    <w:bookmarkStart w:id="3" w:name="page4"/>
    <w:bookmarkEnd w:id="3"/>
    <w:p>
      <w:pPr>
        <w:ind w:left="32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205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0520" cy="266065"/>
                    </a:xfrm>
                    <a:prstGeom prst="rect">
                      <a:avLst/>
                    </a:prstGeom>
                    <a:noFill/>
                  </pic:spPr>
                </pic:pic>
              </a:graphicData>
            </a:graphic>
          </wp:anchor>
        </w:drawing>
        <w:t>Exhibit 99.1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Strong Sales momentum continues with +3.4% third quarter comparable sales increase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Raises fiscal 2018 guidance</w:t>
      </w:r>
    </w:p>
    <w:p>
      <w:pPr>
        <w:spacing w:after="0" w:line="37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 xml:space="preserve">CANTON, Mass., November 30, 2018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third quarter of fiscal 2018.</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41"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third quarter of $107.1 million, up $3.4 million or 3.2% from $103.7 million in the prior-year third quarter.</w:t>
      </w:r>
    </w:p>
    <w:p>
      <w:pPr>
        <w:spacing w:after="0" w:line="27" w:lineRule="exact"/>
        <w:rPr>
          <w:rFonts w:ascii="Arial" w:cs="Arial" w:eastAsia="Arial" w:hAnsi="Arial"/>
          <w:sz w:val="19"/>
          <w:szCs w:val="19"/>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3.4% for the third quarter.</w:t>
      </w:r>
    </w:p>
    <w:p>
      <w:pPr>
        <w:ind w:left="880" w:right="2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quarter was $(2.0) million, or $(0.04) per diluted share, as compared to prior-year quarter’s net loss of $(5.7) million, or $(0.12) per diluted share.</w:t>
      </w:r>
    </w:p>
    <w:p>
      <w:pPr>
        <w:spacing w:after="0" w:line="1" w:lineRule="exact"/>
        <w:rPr>
          <w:rFonts w:ascii="Arial" w:cs="Arial" w:eastAsia="Arial" w:hAnsi="Arial"/>
          <w:sz w:val="20"/>
          <w:szCs w:val="20"/>
          <w:color w:val="auto"/>
        </w:rPr>
      </w:pPr>
    </w:p>
    <w:p>
      <w:pPr>
        <w:ind w:left="880" w:right="54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adjusted net loss for the third quarter was ($0.02) per diluted share, as compared to adjusted net loss of ($0.09) per diluted share for the prior-year third quarter.</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third quarter was $6.6 million compared to $2.8 million in the prior-year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“This was our fourth consecutive quarter of solid performance and progress in our business. Our sales momentum from the fourth quarter of last year has continued through the spring, summer and fall selling seasons. We registered another quarter of meaningful earnings improvement, while successfully executing against our strategic initiatives,” said David Levin, President and Chief Executive Officer.</w:t>
      </w:r>
    </w:p>
    <w:p>
      <w:pPr>
        <w:spacing w:after="0" w:line="4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“This was another strong quarter with positive comp, lower promotional activity and well-managed expenses that resulted in adjusted EBITDA that is more than double third quarter last year. We also launched our enhanced e-commerce website and we continue to strengthen the DXL brand with a focus on comfort, style and fit. Our merchandise assortment is well positioned for the all-important holiday season and we are confident our momentum will continue into 2019,” Levin concluded.</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Results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color w:val="auto"/>
        </w:rPr>
        <w:t>Total sales for the third quarter of fiscal 2018 increased 3.2% to $107.1 million from $103.7 million in the third quarter of fiscal 2017. The increase of $3.4 million in total sales was due to a comparable sales increase of 3.4%, or $3.4 million, an increase of $0.7 million in non-comparable sales from DXL stores open less than 13 months, an increase of $0.3 million in other revenue and a $0.7 million shift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calendar weeks due to the 53</w:t>
      </w:r>
      <w:r>
        <w:rPr>
          <w:rFonts w:ascii="Arial" w:cs="Arial" w:eastAsia="Arial" w:hAnsi="Arial"/>
          <w:sz w:val="16"/>
          <w:szCs w:val="16"/>
          <w:color w:val="auto"/>
        </w:rPr>
        <w:t>rd</w:t>
      </w:r>
      <w:r>
        <w:rPr>
          <w:rFonts w:ascii="Arial" w:cs="Arial" w:eastAsia="Arial" w:hAnsi="Arial"/>
          <w:sz w:val="20"/>
          <w:szCs w:val="20"/>
          <w:color w:val="auto"/>
        </w:rPr>
        <w:t xml:space="preserve"> week in fiscal 2017. These increases were partially offset by closed stores of $1.7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2018, our gross margin rate, inclusive of occupancy costs, was 44.0% as compared to a gross margin rate of</w:t>
      </w:r>
    </w:p>
    <w:p>
      <w:pPr>
        <w:spacing w:after="0" w:line="39" w:lineRule="exact"/>
        <w:rPr>
          <w:sz w:val="20"/>
          <w:szCs w:val="20"/>
          <w:color w:val="auto"/>
        </w:rPr>
      </w:pPr>
    </w:p>
    <w:p>
      <w:pPr>
        <w:jc w:val="both"/>
        <w:ind w:right="40"/>
        <w:spacing w:after="0" w:line="258" w:lineRule="auto"/>
        <w:rPr>
          <w:sz w:val="20"/>
          <w:szCs w:val="20"/>
          <w:color w:val="auto"/>
        </w:rPr>
      </w:pPr>
      <w:r>
        <w:rPr>
          <w:rFonts w:ascii="Arial" w:cs="Arial" w:eastAsia="Arial" w:hAnsi="Arial"/>
          <w:sz w:val="19"/>
          <w:szCs w:val="19"/>
          <w:color w:val="auto"/>
        </w:rPr>
        <w:t>43.2% for the third quarter of fiscal 2017. The 80 basis point improvement was due to a 90 basis point decrease in occupancy costs as a percent of sales partially offset by a 10 basis point decrease in merchandise margins. The decrease in merchandise margin was related to a lower sales penetration in private label and a greater penetration in designer brands. Occupancy costs, as a percentage of sales, improved from leverage on a higher sales base and a decrease of $0.3 million related to closed stores.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As a percentage of sales, SG&amp;A (selling, general and administrative) expenses for the third quarter of fiscal 2018 were 37.8% as compared to 40.5% for the third quarter of fiscal 2017. On a dollar basis, SG&amp;A decreased by $1.5 million for the third quarter of fiscal 2018 due to a reduction in payroll and payroll-related costs.</w:t>
      </w:r>
    </w:p>
    <w:p>
      <w:pPr>
        <w:spacing w:after="0" w:line="119"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21.6% of sales in the third quarter of fiscal 2018 as compared to 22.4% of sales in the third quarter of last year. Corporate Support Costs, which include the distribution center and corporate overhead costs, represented 16.2% of sales in the third quarter of fiscal 2018 compared to 18.1% of sales in the third quarter of last year.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Restructuring</w:t>
      </w:r>
    </w:p>
    <w:p>
      <w:pPr>
        <w:spacing w:after="0" w:line="135"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May 2018, the Company executed a corporate restructuring to accelerate the Company's path to profitability by better aligning its expense structure with its revenues. The Company eliminated 56 positions, which represented approximately 15% of our corporate work force, or 2% of our total work force. Of the 56 positions, 36 positions were terminations and 20 positions were open positions that were not filled. As a result, the Company incurred an aggregate charge of $1.9 million, of which $0.3 million was incurred in the third quarter of fiscal 2018, for employee severance and one-time termination benefits, as well as other employee-related costs. Approximately $1.5 million of the $1.9 million was cash expenditures.</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a result of this restructuring, the Company expects to realize savings of approximately $5.6 million in SG&amp;A expenses in fiscal 2018, which is reflected in our earnings guidance. The savings primarily relate to corporate payroll, travel, benefits and non-essential project expenses, and are expected to be approximately $10.3 million on an annualized basis. The majority of the actions necessary to realize these savings were completed during the second quarter of fiscal 2018. The Company will continue to address its SG&amp;A cost structure to improve its EBITDA margins and overall profitability.</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1"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Net Loss</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For the third quarter of fiscal 2018, we had a net loss of $(2.0) million, or $(0.04) per diluted share, compared with a net loss of $(5.7) million, or $(0.12) per diluted share, for the third quarter of fiscal 2017.</w:t>
      </w:r>
    </w:p>
    <w:p>
      <w:pPr>
        <w:spacing w:after="0" w:line="6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On a non-GAAP basis, adjusting for the restructuring and CEO transition costs of $0.7 million in the third quarter of fiscal 2018, adjusted net loss per share, assuming a normalized tax rate of 26%, was ($0.02) per diluted share, as compared to adjusted net loss of ($0.09) per diluted share for the third quarter 2017.</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Adjusted earnings before interest, taxes, depreciation and amortization (Adjusted EBITDA), a non-GAAP measure, for the third quarter of fiscal 2018 were $6.6 million, compared to $2.8 million for the third quarter of fiscal 2017, driven by comparable sales growth as well as reduced SG&amp;A expenses related to lower payroll related costs, as a result of the restructuring. Adjusted EBITDA excludes restructuring charges and CEO transition costs.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4500" w:type="dxa"/>
            <w:vAlign w:val="bottom"/>
            <w:gridSpan w:val="6"/>
          </w:tcPr>
          <w:p>
            <w:pPr>
              <w:jc w:val="right"/>
              <w:ind w:right="16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1"/>
        </w:trPr>
        <w:tc>
          <w:tcPr>
            <w:tcW w:w="664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November 3, 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October 28, 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08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28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280" w:type="dxa"/>
            <w:vAlign w:val="bottom"/>
          </w:tcPr>
          <w:p>
            <w:pPr>
              <w:spacing w:after="0"/>
              <w:rPr>
                <w:sz w:val="15"/>
                <w:szCs w:val="15"/>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Free Cash Flow (non-GAAP basis)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2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(11.1)</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Cash flow from operations for the first nine months of fiscal 2018 was $(1.3) million, compared to $5.2 million for the first nine months of fiscal 2017. The decrease in cash flow from operations was primarily due to the prior year benefiting from inventory reduction initiatives that have now annualized resulting in a $10.6 million swing as well as a decrease from the prior year in tenant allowances of approximately $5.4 million, which corresponds to decreased capital expenditures.</w:t>
      </w:r>
    </w:p>
    <w:p>
      <w:pPr>
        <w:spacing w:after="0" w:line="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Capital expenditures for the first nine months of fiscal 2018 decreased to $9.8 million as compared to $18.4 million for the first nine months of fiscal 2017, due to opening fewer stores. For the first nine months of fiscal 2018, we opened 3 new DXL stores and rebranded 3 Casual Male XL stores to DXL stores, compared to 19 DXL retail stores and 1 DXL outlet store opening during the first nine months of fiscal 2017. Partially offsetting this decrease in store capital was an increase in capital expenditures related to our IT and website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EBITDA, 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9"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At November 3, 2018, the Company had cash and cash equivalents of $6.4 million. Total debt at November 3, 2018 was $72.0 million and consisted of $57.3 million outstanding under the Company’s revolving credit facility and $14.7 million outstanding under its FILO facility, net of unamortized debt issuance costs. At November 3, 2018, the Company had $45.4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Inventory was $116.4 million at November 3, 2018 as compared to $103.3 million at February 3, 2018 and $119.9 million at October 28, 2017. The decrease of $3.5 million in inventory compared with last year’s third quarter was due to the inventory initiatives taken last fiscal year to improve timing of receipts and weeks of supply on hand. Inventory levels peak at the end of the third quarter as the Company enters the holiday season.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4"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For the first nine months of fiscal 2018, the Company opened two new DXL stores, one DXL outlet store, rebranded three Casual Male XL stores to DXL, and closed eight Casual Male XL stores, three Casual Male XL outlets and one DXL store. Total retail square footage has remained relatively constant since the end of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20" w:type="dxa"/>
            <w:vAlign w:val="bottom"/>
            <w:gridSpan w:val="5"/>
          </w:tcPr>
          <w:p>
            <w:pPr>
              <w:ind w:left="620"/>
              <w:spacing w:after="0"/>
              <w:rPr>
                <w:sz w:val="20"/>
                <w:szCs w:val="20"/>
                <w:color w:val="auto"/>
              </w:rPr>
            </w:pPr>
            <w:r>
              <w:rPr>
                <w:rFonts w:ascii="Arial" w:cs="Arial" w:eastAsia="Arial" w:hAnsi="Arial"/>
                <w:sz w:val="14"/>
                <w:szCs w:val="14"/>
                <w:color w:val="auto"/>
              </w:rPr>
              <w:t>Year End 2016</w:t>
            </w:r>
          </w:p>
        </w:tc>
        <w:tc>
          <w:tcPr>
            <w:tcW w:w="2320" w:type="dxa"/>
            <w:vAlign w:val="bottom"/>
            <w:gridSpan w:val="4"/>
          </w:tcPr>
          <w:p>
            <w:pPr>
              <w:ind w:left="620"/>
              <w:spacing w:after="0"/>
              <w:rPr>
                <w:sz w:val="20"/>
                <w:szCs w:val="20"/>
                <w:color w:val="auto"/>
              </w:rPr>
            </w:pPr>
            <w:r>
              <w:rPr>
                <w:rFonts w:ascii="Arial" w:cs="Arial" w:eastAsia="Arial" w:hAnsi="Arial"/>
                <w:sz w:val="14"/>
                <w:szCs w:val="14"/>
                <w:color w:val="auto"/>
              </w:rPr>
              <w:t>Year End 2017</w:t>
            </w:r>
          </w:p>
        </w:tc>
        <w:tc>
          <w:tcPr>
            <w:tcW w:w="2240" w:type="dxa"/>
            <w:vAlign w:val="bottom"/>
            <w:gridSpan w:val="4"/>
          </w:tcPr>
          <w:p>
            <w:pPr>
              <w:ind w:left="380"/>
              <w:spacing w:after="0"/>
              <w:rPr>
                <w:sz w:val="20"/>
                <w:szCs w:val="20"/>
                <w:color w:val="auto"/>
              </w:rPr>
            </w:pPr>
            <w:r>
              <w:rPr>
                <w:rFonts w:ascii="Arial" w:cs="Arial" w:eastAsia="Arial" w:hAnsi="Arial"/>
                <w:sz w:val="14"/>
                <w:szCs w:val="14"/>
                <w:color w:val="auto"/>
              </w:rPr>
              <w:t>At November 3, 2018</w:t>
            </w:r>
          </w:p>
        </w:tc>
        <w:tc>
          <w:tcPr>
            <w:tcW w:w="2240" w:type="dxa"/>
            <w:vAlign w:val="bottom"/>
            <w:gridSpan w:val="4"/>
          </w:tcPr>
          <w:p>
            <w:pPr>
              <w:ind w:left="540"/>
              <w:spacing w:after="0"/>
              <w:rPr>
                <w:sz w:val="20"/>
                <w:szCs w:val="20"/>
                <w:color w:val="auto"/>
              </w:rPr>
            </w:pPr>
            <w:r>
              <w:rPr>
                <w:rFonts w:ascii="Arial" w:cs="Arial" w:eastAsia="Arial" w:hAnsi="Arial"/>
                <w:sz w:val="14"/>
                <w:szCs w:val="14"/>
                <w:color w:val="auto"/>
              </w:rPr>
              <w:t>Year End 2018E</w:t>
            </w:r>
          </w:p>
        </w:tc>
      </w:tr>
      <w:tr>
        <w:trPr>
          <w:trHeight w:val="180"/>
        </w:trPr>
        <w:tc>
          <w:tcPr>
            <w:tcW w:w="2300" w:type="dxa"/>
            <w:vAlign w:val="bottom"/>
            <w:shd w:val="clear" w:color="auto" w:fill="CFF0FC"/>
          </w:tcPr>
          <w:p>
            <w:pPr>
              <w:spacing w:after="0"/>
              <w:rPr>
                <w:sz w:val="15"/>
                <w:szCs w:val="15"/>
                <w:color w:val="auto"/>
              </w:rPr>
            </w:pPr>
          </w:p>
        </w:tc>
        <w:tc>
          <w:tcPr>
            <w:tcW w:w="76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 of</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6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r>
      <w:tr>
        <w:trPr>
          <w:trHeight w:val="157"/>
        </w:trPr>
        <w:tc>
          <w:tcPr>
            <w:tcW w:w="230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center"/>
              <w:ind w:left="188"/>
              <w:spacing w:after="0" w:line="157" w:lineRule="exact"/>
              <w:rPr>
                <w:sz w:val="20"/>
                <w:szCs w:val="20"/>
                <w:color w:val="auto"/>
              </w:rPr>
            </w:pPr>
            <w:r>
              <w:rPr>
                <w:rFonts w:ascii="Arial" w:cs="Arial" w:eastAsia="Arial" w:hAnsi="Arial"/>
                <w:sz w:val="14"/>
                <w:szCs w:val="14"/>
                <w:color w:val="auto"/>
              </w:rPr>
              <w:t>Stores</w:t>
            </w:r>
          </w:p>
        </w:tc>
        <w:tc>
          <w:tcPr>
            <w:tcW w:w="2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r>
      <w:tr>
        <w:trPr>
          <w:trHeight w:val="169"/>
        </w:trPr>
        <w:tc>
          <w:tcPr>
            <w:tcW w:w="306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4"/>
                <w:szCs w:val="14"/>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5"/>
                <w:szCs w:val="15"/>
                <w:color w:val="auto"/>
              </w:rPr>
            </w:pPr>
          </w:p>
        </w:tc>
      </w:tr>
      <w:tr>
        <w:trPr>
          <w:trHeight w:val="176"/>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r>
      <w:tr>
        <w:trPr>
          <w:trHeight w:val="169"/>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FF0FC"/>
          </w:tcPr>
          <w:p>
            <w:pPr>
              <w:spacing w:after="0"/>
              <w:rPr>
                <w:sz w:val="14"/>
                <w:szCs w:val="1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are defined as sales that originate online, including those initiated online at the store level. On a trailing 12-month basis, our direct business increased to 21.2% of our total sales at the end of the third quarter of fiscal 2018 as compared to 20.8% at the end of the third quarter of fiscal 2017.</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CEO Search and Transition Costs</w:t>
      </w:r>
    </w:p>
    <w:p>
      <w:pPr>
        <w:spacing w:after="0" w:line="154"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On March 23, 2018, the Company announced Mr. Levin’s plan to retire on December 31, 2018, and the engagement of Heidrick &amp; Struggles International Inc. to lead a search process to identify a successor for Mr. Levin. That search process was terminated on October 1, 2018. On November 26, 2018,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380"/>
        <w:spacing w:after="0" w:line="262" w:lineRule="auto"/>
        <w:rPr>
          <w:sz w:val="20"/>
          <w:szCs w:val="20"/>
          <w:color w:val="auto"/>
        </w:rPr>
      </w:pPr>
      <w:r>
        <w:rPr>
          <w:rFonts w:ascii="Arial" w:cs="Arial" w:eastAsia="Arial" w:hAnsi="Arial"/>
          <w:sz w:val="20"/>
          <w:szCs w:val="20"/>
          <w:color w:val="auto"/>
        </w:rPr>
        <w:t>Company engaged Russell Reynolds Associates to lead a new CEO search process, which we expect to be completed by the end of the first quarter of fiscal 2019.</w:t>
      </w:r>
    </w:p>
    <w:p>
      <w:pPr>
        <w:spacing w:after="0" w:line="107"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Pursuant to the terms of the Transition Agreement between the Company and Mr. Levin dated March 20, 2018, as amended (the “Transition Agreement”), Mr. Levin is expected to resign as an officer and director of the Company on January 1, 2019, and will be entitled to receive his base salary, AIP bonus and LTIP compensation over the following twelve months. On November 27, 2018, the Company entered into a letter agreement with Mr. Levin, whereby he will assume the role of Acting CEO from January 1, 2019 through April 30, 2019, unless such agreement is extended by the Board of Directors through June 30, 2019. In connection with assuming this role, Mr. Levin will receive additional compensation of $200,000 per month.</w:t>
      </w:r>
    </w:p>
    <w:p>
      <w:pPr>
        <w:spacing w:after="0" w:line="88"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Company expects to incur an aggregate charge of approximately $2.1 million for CEO transition costs in fiscal 2018, related primarily to expenses incurred pursuant to the Transition Agreement and the CEO search. During the third quarter and first nine months of fiscal 2018, the Company incurred CEO transition costs of approximately $0.4 million and $0.6 million, respectively, related primarily to the CEO search. The Company expects to incur additional charges of approximately $1.6 million for CEO transition costs in fiscal 2019 and fiscal 2020, related primarily to expenses incurred pursuant to the Transition Agreement and the CEO search.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2018 Outlook</w:t>
      </w:r>
    </w:p>
    <w:p>
      <w:pPr>
        <w:spacing w:after="0" w:line="141"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Based on our strong sales performance during the third quarter of fiscal 2018, we are raising our earnings guidance for fiscal 2018. As indicated above, in the fourth quarter of fiscal 2018, the Company expects to incur approximately $1.5 million of additional CEO transition costs.</w:t>
      </w:r>
    </w:p>
    <w:p>
      <w:pPr>
        <w:spacing w:after="0" w:line="6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Our strategy for fiscal 2018 remains focused on customer acquisition, customer retention, and customer re-activation. Our marketing spend for the year is expected to be approximately $24.0 million, which is less than the fiscal 2017 spend of approximately $29.5 million, but greater than the fiscal 2016 spend of $18.0 million. Compared to fiscal 2017, we are projecting that our total sales for the year will be negatively impacted by one less week of sales and a net decrease in store count of ten stores, worth approximately $5.3 million in sales. Fiscal 2017 included a 53</w:t>
      </w:r>
      <w:r>
        <w:rPr>
          <w:rFonts w:ascii="Arial" w:cs="Arial" w:eastAsia="Arial" w:hAnsi="Arial"/>
          <w:sz w:val="15"/>
          <w:szCs w:val="15"/>
          <w:color w:val="auto"/>
        </w:rPr>
        <w:t>rd</w:t>
      </w:r>
      <w:r>
        <w:rPr>
          <w:rFonts w:ascii="Arial" w:cs="Arial" w:eastAsia="Arial" w:hAnsi="Arial"/>
          <w:sz w:val="19"/>
          <w:szCs w:val="19"/>
          <w:color w:val="auto"/>
        </w:rPr>
        <w:t xml:space="preserve"> week, with sales of $6.9 million and operating income of $1.6 million.</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Our updated guidance for fiscal 2018, based on a 52-week year, is as follows:</w:t>
      </w:r>
    </w:p>
    <w:p>
      <w:pPr>
        <w:spacing w:after="0" w:line="243" w:lineRule="exact"/>
        <w:rPr>
          <w:sz w:val="20"/>
          <w:szCs w:val="20"/>
          <w:color w:val="auto"/>
        </w:rPr>
      </w:pPr>
    </w:p>
    <w:p>
      <w:pPr>
        <w:ind w:left="900" w:right="340" w:hanging="298"/>
        <w:spacing w:after="0" w:line="31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$470.0 million to $474.0 million, with a total comparable sales increase of 2.5% to 3.5% (an increase from our previous guidance of $462.0 million to $472.0 million, with a total company comparable sales increase of approximately 1.0% to 3.0%).</w:t>
      </w:r>
    </w:p>
    <w:p>
      <w:pPr>
        <w:spacing w:after="0" w:line="22" w:lineRule="exact"/>
        <w:rPr>
          <w:rFonts w:ascii="Arial" w:cs="Arial" w:eastAsia="Arial" w:hAnsi="Arial"/>
          <w:sz w:val="18"/>
          <w:szCs w:val="18"/>
          <w:color w:val="auto"/>
        </w:rPr>
      </w:pPr>
    </w:p>
    <w:p>
      <w:pPr>
        <w:ind w:left="900" w:hanging="298"/>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margin rate of approximately 44.9% (an increase from our previous guidance of 44.5%).</w:t>
      </w:r>
    </w:p>
    <w:p>
      <w:pPr>
        <w:spacing w:after="0" w:line="107" w:lineRule="exact"/>
        <w:rPr>
          <w:rFonts w:ascii="Arial" w:cs="Arial" w:eastAsia="Arial" w:hAnsi="Arial"/>
          <w:sz w:val="20"/>
          <w:szCs w:val="20"/>
          <w:color w:val="auto"/>
        </w:rPr>
      </w:pPr>
    </w:p>
    <w:p>
      <w:pPr>
        <w:ind w:left="900" w:right="160" w:hanging="298"/>
        <w:spacing w:after="0" w:line="25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loss, on a GAAP basis, of $(9.8) to $(12.8) million, or $(0.20) to $(0.26) per diluted share (an improvement from previous guidance of $(13.2) to $(18.2) million, or $(0.27) to $(0.37) per diluted share). This improvement includes the reduced estimate of costs to be incurred in fiscal 2018 related to its CEO transition.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900" w:right="220" w:hanging="298"/>
        <w:spacing w:after="0" w:line="24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net loss of $(0.08) to $(0.13) per diluted share (an improvement from previous guidance of $(0.11) to $(0.18) per diluted share). Because we expect to continue providing a full valuation allowance against our deferred tax assets, we do not expect to recognize any income tax benefit in fiscal 2018. This non-GAAP net loss is before restructuring charges and CEO transition costs and assumes a tax rate benefit of 26%. *</w:t>
      </w:r>
    </w:p>
    <w:p>
      <w:pPr>
        <w:spacing w:after="0" w:line="80" w:lineRule="exact"/>
        <w:rPr>
          <w:rFonts w:ascii="Arial" w:cs="Arial" w:eastAsia="Arial" w:hAnsi="Arial"/>
          <w:sz w:val="20"/>
          <w:szCs w:val="20"/>
          <w:color w:val="auto"/>
        </w:rPr>
      </w:pPr>
    </w:p>
    <w:p>
      <w:pPr>
        <w:ind w:left="900" w:right="280" w:hanging="298"/>
        <w:spacing w:after="0" w:line="260"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EBITDA adjusted for restructuring charges and CEO transition costs (“Adjusted EBITDA”) of $24.0 million to $27.0 million (an increase from previous guidance of 20.0 million to $25.0 million).*</w:t>
      </w:r>
    </w:p>
    <w:p>
      <w:pPr>
        <w:spacing w:after="0" w:line="68" w:lineRule="exact"/>
        <w:rPr>
          <w:rFonts w:ascii="Arial" w:cs="Arial" w:eastAsia="Arial" w:hAnsi="Arial"/>
          <w:sz w:val="20"/>
          <w:szCs w:val="20"/>
          <w:color w:val="auto"/>
        </w:rPr>
      </w:pPr>
    </w:p>
    <w:p>
      <w:pPr>
        <w:ind w:left="900" w:right="40" w:hanging="298"/>
        <w:spacing w:after="0" w:line="282"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of approximately $12.5 million, $1.8 million of which will be for new and remodeled stores to the DXL format and $10.7 million for digital and infrastructure projects, partially offset by approximately $1.1 million in tenant allowances (an increase from our previous guidance of $11.4 million, of which $2.1 million was for new and remodeled stores and $9.3 million for digital and infrastructure projects). We expect to fund our capital expenditures from our operating cash flow.</w:t>
      </w:r>
    </w:p>
    <w:p>
      <w:pPr>
        <w:spacing w:after="0" w:line="53" w:lineRule="exact"/>
        <w:rPr>
          <w:rFonts w:ascii="Arial" w:cs="Arial" w:eastAsia="Arial" w:hAnsi="Arial"/>
          <w:sz w:val="18"/>
          <w:szCs w:val="18"/>
          <w:color w:val="auto"/>
        </w:rPr>
      </w:pPr>
    </w:p>
    <w:p>
      <w:pPr>
        <w:ind w:left="900" w:hanging="298"/>
        <w:spacing w:after="0" w:line="260" w:lineRule="auto"/>
        <w:tabs>
          <w:tab w:leader="none" w:pos="900" w:val="left"/>
        </w:tabs>
        <w:numPr>
          <w:ilvl w:val="0"/>
          <w:numId w:val="4"/>
        </w:numPr>
        <w:rPr>
          <w:rFonts w:ascii="Arial" w:cs="Arial" w:eastAsia="Arial" w:hAnsi="Arial"/>
          <w:sz w:val="19"/>
          <w:szCs w:val="19"/>
          <w:color w:val="auto"/>
        </w:rPr>
      </w:pPr>
      <w:r>
        <w:rPr>
          <w:rFonts w:ascii="Arial" w:cs="Arial" w:eastAsia="Arial" w:hAnsi="Arial"/>
          <w:sz w:val="19"/>
          <w:szCs w:val="19"/>
          <w:color w:val="auto"/>
        </w:rPr>
        <w:t>At the end of fiscal 2018, we expect cash flow from operating activities of $22.5 million to $26.5 million, including tenant allowances (an increase from 20.5 million to $26.5 million). This improvement is due to the increase in EBITDA guidance offset by an anticipated decrease in working capital for the acceleration of inventory receipts at the end of fiscal 2018. As a result, we expect free cash flow after all capital expenditures of approximately $10.0 million to $14.0 million (a change from our previous guidance of $9.1 million to $15.1 million)(inclusive of costs associated with restructuring and CEO transition).*</w:t>
      </w:r>
    </w:p>
    <w:p>
      <w:pPr>
        <w:spacing w:after="0" w:line="72" w:lineRule="exact"/>
        <w:rPr>
          <w:rFonts w:ascii="Arial" w:cs="Arial" w:eastAsia="Arial" w:hAnsi="Arial"/>
          <w:sz w:val="19"/>
          <w:szCs w:val="19"/>
          <w:color w:val="auto"/>
        </w:rPr>
      </w:pPr>
    </w:p>
    <w:p>
      <w:pPr>
        <w:ind w:left="900"/>
        <w:spacing w:after="0"/>
        <w:rPr>
          <w:rFonts w:ascii="Arial" w:cs="Arial" w:eastAsia="Arial" w:hAnsi="Arial"/>
          <w:sz w:val="19"/>
          <w:szCs w:val="19"/>
          <w:color w:val="auto"/>
        </w:rPr>
      </w:pPr>
      <w:r>
        <w:rPr>
          <w:rFonts w:ascii="Arial" w:cs="Arial" w:eastAsia="Arial" w:hAnsi="Arial"/>
          <w:sz w:val="20"/>
          <w:szCs w:val="20"/>
          <w:color w:val="auto"/>
        </w:rPr>
        <w:t>* Reconciliations of these non-GAAP measures to their comparable GAAP measures are provided in the tables below.</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November 30, 2018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Arial" w:cs="Arial" w:eastAsia="Arial" w:hAnsi="Arial"/>
          <w:sz w:val="20"/>
          <w:szCs w:val="20"/>
          <w:color w:val="auto"/>
        </w:rPr>
        <w:t xml:space="preserve">. Please reference conference ID: </w:t>
      </w:r>
      <w:r>
        <w:rPr>
          <w:rFonts w:ascii="Arial" w:cs="Arial" w:eastAsia="Arial" w:hAnsi="Arial"/>
          <w:sz w:val="18"/>
          <w:szCs w:val="18"/>
          <w:color w:val="auto"/>
        </w:rPr>
        <w:t>9997902</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Company believes that EBITDA (calculated as earnings before interest, taxes, depreciation and amortization) and Adjusted EBITDA (calculated as EBITDA adjusted to exclude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EBITDA and Adjusted EBITDA as key metrics to measure profitability and economic productivity.</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related to the restructuring charge, costs associated with the CEO transition and asset impairment charges, if applicable, because it provides comparability of results without these charges. Adjusted net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 xml:space="preserve">Destination XL Group, Inc. is the largest omni-channel specialty retailer of big and tall men's apparel with store locations throughout the United States, London, England and Toronto, Canada. The retailer operates under the following brands: Destination XL®, DXL Men’s Apparel®, Casual Male XL and Rochester Clothing. The Company also operates an e-commerce site at </w:t>
      </w:r>
      <w:r>
        <w:rPr>
          <w:rFonts w:ascii="Arial" w:cs="Arial" w:eastAsia="Arial" w:hAnsi="Arial"/>
          <w:sz w:val="19"/>
          <w:szCs w:val="19"/>
          <w:u w:val="single" w:color="auto"/>
          <w:color w:val="auto"/>
        </w:rPr>
        <w:t>www.destinationxl.com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the timing of the CEO search process, CEO transition costs, cash flows, gross profit margins, store counts, the impact of its corporate restructuring on profitability and related costs and savings, capital expenditures, sales, marketing spend, EBITDA, adjusted EBITDA and earnings for fiscal 2018.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including the corporate restructuring,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23, 2018,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09" w:lineRule="exact"/>
        <w:rPr>
          <w:sz w:val="20"/>
          <w:szCs w:val="20"/>
          <w:color w:val="auto"/>
        </w:rPr>
      </w:pPr>
    </w:p>
    <w:p>
      <w:pPr>
        <w:jc w:val="both"/>
        <w:ind w:right="54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gridSpan w:val="6"/>
          </w:tcPr>
          <w:p>
            <w:pPr>
              <w:jc w:val="right"/>
              <w:ind w:right="800"/>
              <w:spacing w:after="0"/>
              <w:rPr>
                <w:sz w:val="20"/>
                <w:szCs w:val="20"/>
                <w:color w:val="auto"/>
              </w:rPr>
            </w:pPr>
            <w:r>
              <w:rPr>
                <w:rFonts w:ascii="Arial" w:cs="Arial" w:eastAsia="Arial" w:hAnsi="Arial"/>
                <w:sz w:val="16"/>
                <w:szCs w:val="16"/>
                <w:color w:val="auto"/>
              </w:rPr>
              <w:t>For the three months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6"/>
                <w:szCs w:val="16"/>
                <w:color w:val="auto"/>
              </w:rPr>
              <w:t>For the nine months ended</w:t>
            </w:r>
          </w:p>
        </w:tc>
      </w:tr>
      <w:tr>
        <w:trPr>
          <w:trHeight w:val="219"/>
        </w:trPr>
        <w:tc>
          <w:tcPr>
            <w:tcW w:w="49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November 3, 2018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0"/>
              </w:rPr>
              <w:t>October 28, 2017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November 3, 2018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October 28, 2017</w:t>
            </w:r>
          </w:p>
        </w:tc>
        <w:tc>
          <w:tcPr>
            <w:tcW w:w="120" w:type="dxa"/>
            <w:vAlign w:val="bottom"/>
            <w:tcBorders>
              <w:bottom w:val="single" w:sz="8" w:color="CFF0FC"/>
            </w:tcBorders>
          </w:tcPr>
          <w:p>
            <w:pPr>
              <w:spacing w:after="0"/>
              <w:rPr>
                <w:sz w:val="19"/>
                <w:szCs w:val="19"/>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107,069</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103,700</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342,606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332,454</w:t>
            </w: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58,887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183,136</w:t>
            </w:r>
          </w:p>
        </w:tc>
        <w:tc>
          <w:tcPr>
            <w:tcW w:w="120" w:type="dxa"/>
            <w:vAlign w:val="bottom"/>
            <w:tcBorders>
              <w:bottom w:val="single" w:sz="8" w:color="CFF0FC"/>
            </w:tcBorders>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149,318</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40,436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137,204</w:t>
            </w:r>
          </w:p>
        </w:tc>
        <w:tc>
          <w:tcPr>
            <w:tcW w:w="1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restructuring</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Impairment of assets</w:t>
            </w:r>
          </w:p>
        </w:tc>
        <w:tc>
          <w:tcPr>
            <w:tcW w:w="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23,337</w:t>
            </w:r>
          </w:p>
        </w:tc>
        <w:tc>
          <w:tcPr>
            <w:tcW w:w="120" w:type="dxa"/>
            <w:vAlign w:val="bottom"/>
            <w:shd w:val="clear" w:color="auto" w:fill="CFF0FC"/>
          </w:tcPr>
          <w:p>
            <w:pPr>
              <w:spacing w:after="0"/>
              <w:rPr>
                <w:sz w:val="19"/>
                <w:szCs w:val="19"/>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48,289</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157,950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162,259</w:t>
            </w:r>
          </w:p>
        </w:tc>
        <w:tc>
          <w:tcPr>
            <w:tcW w:w="120" w:type="dxa"/>
            <w:vAlign w:val="bottom"/>
            <w:tcBorders>
              <w:bottom w:val="single" w:sz="8" w:color="CFF0FC"/>
            </w:tcBorders>
          </w:tcPr>
          <w:p>
            <w:pPr>
              <w:spacing w:after="0"/>
              <w:rPr>
                <w:sz w:val="17"/>
                <w:szCs w:val="17"/>
                <w:color w:val="auto"/>
              </w:rPr>
            </w:pPr>
          </w:p>
        </w:tc>
      </w:tr>
      <w:tr>
        <w:trPr>
          <w:trHeight w:val="213"/>
        </w:trPr>
        <w:tc>
          <w:tcPr>
            <w:tcW w:w="4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Operating loss</w:t>
            </w:r>
          </w:p>
        </w:tc>
        <w:tc>
          <w:tcPr>
            <w:tcW w:w="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(4,835)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(12,941)</w:t>
            </w:r>
          </w:p>
        </w:tc>
      </w:tr>
      <w:tr>
        <w:trPr>
          <w:trHeight w:val="219"/>
        </w:trPr>
        <w:tc>
          <w:tcPr>
            <w:tcW w:w="4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Interest expense, net</w:t>
            </w:r>
          </w:p>
        </w:tc>
        <w:tc>
          <w:tcPr>
            <w:tcW w:w="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(2,497)</w:t>
            </w:r>
          </w:p>
        </w:tc>
      </w:tr>
      <w:tr>
        <w:trPr>
          <w:trHeight w:val="213"/>
        </w:trPr>
        <w:tc>
          <w:tcPr>
            <w:tcW w:w="49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Loss before provision (benefit) for income taxes</w:t>
            </w:r>
          </w:p>
        </w:tc>
        <w:tc>
          <w:tcPr>
            <w:tcW w:w="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(5,706)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(15,438)</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(2,005)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(5,706)</w:t>
            </w: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(6,300)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(15,502)</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0"/>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 basic and diluted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(0.12)</w:t>
            </w: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(0.32)</w:t>
            </w:r>
          </w:p>
        </w:tc>
      </w:tr>
      <w:tr>
        <w:trPr>
          <w:trHeight w:val="216"/>
        </w:trPr>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 outstanding:</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48,607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48,966</w:t>
            </w:r>
          </w:p>
        </w:tc>
        <w:tc>
          <w:tcPr>
            <w:tcW w:w="1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48,966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2" w:name="page13"/>
    <w:bookmarkEnd w:id="12"/>
    <w:p>
      <w:pPr>
        <w:jc w:val="center"/>
        <w:ind w:right="120"/>
        <w:spacing w:after="0"/>
        <w:rPr>
          <w:sz w:val="20"/>
          <w:szCs w:val="20"/>
          <w:color w:val="auto"/>
        </w:rPr>
      </w:pPr>
      <w:r>
        <w:rPr>
          <w:rFonts w:ascii="Arial" w:cs="Arial" w:eastAsia="Arial" w:hAnsi="Arial"/>
          <w:sz w:val="14"/>
          <w:szCs w:val="14"/>
          <w:color w:val="auto"/>
        </w:rPr>
        <w:t>DESTINATION XL GROUP, INC.</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CONDENSED CONSOLIDATED BALANCE SHEETS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November 3, 2018, February 3, 2018 and October 28, 2017</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November 3,</w:t>
            </w:r>
          </w:p>
        </w:tc>
        <w:tc>
          <w:tcPr>
            <w:tcW w:w="28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color w:val="auto"/>
              </w:rPr>
              <w:t>February 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October 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ASSETS</w:t>
            </w:r>
          </w:p>
        </w:tc>
        <w:tc>
          <w:tcPr>
            <w:tcW w:w="1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76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5,362</w:t>
            </w:r>
          </w:p>
        </w:tc>
        <w:tc>
          <w:tcPr>
            <w:tcW w:w="40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Inventories</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116,371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103,332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119,878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12,973</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98,286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111,032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116,126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w:t>
            </w: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assets</w:t>
            </w:r>
          </w:p>
        </w:tc>
        <w:tc>
          <w:tcPr>
            <w:tcW w:w="15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5,885</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assets</w:t>
            </w:r>
          </w:p>
        </w:tc>
        <w:tc>
          <w:tcPr>
            <w:tcW w:w="15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241,035</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240,405</w:t>
            </w:r>
          </w:p>
        </w:tc>
        <w:tc>
          <w:tcPr>
            <w:tcW w:w="1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263,652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LIABILITIES AND STOCKHOLDERS' EQUITY</w:t>
            </w: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176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29,717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40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Accrued expenses and other liabilities</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63,030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65,263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14,743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12,061</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Borrowings under credit facility</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57,290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47,385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Deferred gain on sale-leaseback</w:t>
            </w: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11,723</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Stockholders' equity</w:t>
            </w:r>
          </w:p>
        </w:tc>
        <w:tc>
          <w:tcPr>
            <w:tcW w:w="15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65,631</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69,986</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71,779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5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241,035</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240,405</w:t>
            </w:r>
          </w:p>
        </w:tc>
        <w:tc>
          <w:tcPr>
            <w:tcW w:w="1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263,652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LOSS PER DILUTED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tcPr>
          <w:p>
            <w:pPr>
              <w:ind w:left="6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ind w:left="80"/>
              <w:spacing w:after="0"/>
              <w:rPr>
                <w:sz w:val="20"/>
                <w:szCs w:val="20"/>
                <w:color w:val="auto"/>
              </w:rPr>
            </w:pPr>
            <w:r>
              <w:rPr>
                <w:rFonts w:ascii="Arial" w:cs="Arial" w:eastAsia="Arial" w:hAnsi="Arial"/>
                <w:sz w:val="14"/>
                <w:szCs w:val="14"/>
                <w:color w:val="auto"/>
                <w:w w:val="99"/>
              </w:rPr>
              <w:t>For the 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4"/>
                <w:szCs w:val="14"/>
                <w:color w:val="auto"/>
                <w:w w:val="97"/>
              </w:rPr>
              <w:t>November 3,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color w:val="auto"/>
                <w:w w:val="97"/>
              </w:rPr>
              <w:t>October 28, 2017</w:t>
            </w:r>
          </w:p>
        </w:tc>
        <w:tc>
          <w:tcPr>
            <w:tcW w:w="140" w:type="dxa"/>
            <w:vAlign w:val="bottom"/>
          </w:tcPr>
          <w:p>
            <w:pPr>
              <w:spacing w:after="0"/>
              <w:rPr>
                <w:sz w:val="14"/>
                <w:szCs w:val="14"/>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4"/>
                <w:szCs w:val="14"/>
                <w:color w:val="auto"/>
                <w:w w:val="98"/>
              </w:rPr>
              <w:t>November 3,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color w:val="auto"/>
              </w:rPr>
              <w:t>October 28, 2017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89"/>
              </w:rPr>
              <w:t>Per diluted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1"/>
              </w:rPr>
              <w:t>share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share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share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3"/>
            <w:vMerge w:val="continue"/>
          </w:tcPr>
          <w:p>
            <w:pPr>
              <w:spacing w:after="0"/>
              <w:rPr>
                <w:sz w:val="12"/>
                <w:szCs w:val="12"/>
                <w:color w:val="auto"/>
              </w:rPr>
            </w:pPr>
          </w:p>
        </w:tc>
        <w:tc>
          <w:tcPr>
            <w:tcW w:w="58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(2,005)</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(0.04)</w:t>
            </w:r>
          </w:p>
        </w:tc>
        <w:tc>
          <w:tcPr>
            <w:tcW w:w="24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(5,706)</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(0.12)</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(6,300)</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(0.13)</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(15,502)</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 (GAAP basis)</w:t>
            </w:r>
          </w:p>
        </w:tc>
        <w:tc>
          <w:tcPr>
            <w:tcW w:w="19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color w:val="auto"/>
              </w:rPr>
              <w:t>Corporate restructuring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CEO transition costs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color w:val="auto"/>
              </w:rPr>
              <w:t>Impairment of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1,718</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Add back actual income tax provision (benefit)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color w:val="auto"/>
              </w:rPr>
              <w:t>Add income tax benefit, assuming a normal tax rate of 26%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347</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1,484</w:t>
            </w:r>
          </w:p>
        </w:tc>
        <w:tc>
          <w:tcPr>
            <w:tcW w:w="2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3,567</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4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(4,222)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(0.09)</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(2,862)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(10,153)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 outstanding on a:</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color w:val="auto"/>
              </w:rPr>
              <w:t>diluted basis for a net loss position</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49,352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48,607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49,068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48,966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80" w:type="dxa"/>
            <w:vAlign w:val="bottom"/>
            <w:gridSpan w:val="8"/>
          </w:tcPr>
          <w:p>
            <w:pPr>
              <w:jc w:val="right"/>
              <w:ind w:right="102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8"/>
          </w:tcPr>
          <w:p>
            <w:pPr>
              <w:jc w:val="right"/>
              <w:ind w:right="558"/>
              <w:spacing w:after="0"/>
              <w:rPr>
                <w:sz w:val="20"/>
                <w:szCs w:val="20"/>
                <w:color w:val="auto"/>
              </w:rPr>
            </w:pPr>
            <w:r>
              <w:rPr>
                <w:rFonts w:ascii="Arial" w:cs="Arial" w:eastAsia="Arial" w:hAnsi="Arial"/>
                <w:sz w:val="14"/>
                <w:szCs w:val="14"/>
                <w:color w:val="auto"/>
              </w:rPr>
              <w:t>For the nine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November 3, 2018</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97"/>
              </w:rPr>
              <w:t>October 28, 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color w:val="auto"/>
                <w:w w:val="98"/>
              </w:rPr>
              <w:t>November 3, 2018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October 28, 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1840" w:type="dxa"/>
            <w:vAlign w:val="bottom"/>
          </w:tcPr>
          <w:p>
            <w:pPr>
              <w:spacing w:after="0"/>
              <w:rPr>
                <w:sz w:val="13"/>
                <w:szCs w:val="13"/>
                <w:color w:val="auto"/>
              </w:rPr>
            </w:pPr>
          </w:p>
        </w:tc>
        <w:tc>
          <w:tcPr>
            <w:tcW w:w="2820" w:type="dxa"/>
            <w:vAlign w:val="bottom"/>
            <w:gridSpan w:val="2"/>
            <w:vMerge w:val="restart"/>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7"/>
              </w:rPr>
              <w:t>(2.0)</w:t>
            </w:r>
          </w:p>
        </w:tc>
        <w:tc>
          <w:tcPr>
            <w:tcW w:w="2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(5.7)</w:t>
            </w:r>
          </w:p>
        </w:tc>
        <w:tc>
          <w:tcPr>
            <w:tcW w:w="24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(6.3)</w:t>
            </w:r>
          </w:p>
        </w:tc>
        <w:tc>
          <w:tcPr>
            <w:tcW w:w="1320" w:type="dxa"/>
            <w:vAlign w:val="bottom"/>
            <w:gridSpan w:val="2"/>
            <w:vMerge w:val="restart"/>
          </w:tcPr>
          <w:p>
            <w:pPr>
              <w:jc w:val="right"/>
              <w:ind w:right="95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560" w:type="dxa"/>
            <w:vAlign w:val="bottom"/>
            <w:gridSpan w:val="3"/>
          </w:tcPr>
          <w:p>
            <w:pPr>
              <w:spacing w:after="0" w:line="155" w:lineRule="exact"/>
              <w:rPr>
                <w:sz w:val="20"/>
                <w:szCs w:val="20"/>
                <w:color w:val="auto"/>
              </w:rPr>
            </w:pPr>
            <w:r>
              <w:rPr>
                <w:rFonts w:ascii="Arial" w:cs="Arial" w:eastAsia="Arial" w:hAnsi="Arial"/>
                <w:sz w:val="14"/>
                <w:szCs w:val="14"/>
                <w:color w:val="auto"/>
              </w:rPr>
              <w:t>Net loss (GAAP basis)</w:t>
            </w:r>
          </w:p>
        </w:tc>
        <w:tc>
          <w:tcPr>
            <w:tcW w:w="2820" w:type="dxa"/>
            <w:vAlign w:val="bottom"/>
            <w:gridSpan w:val="2"/>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Corporate restructuring</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FF0FC"/>
          </w:tcPr>
          <w:p>
            <w:pPr>
              <w:spacing w:after="0"/>
              <w:rPr>
                <w:sz w:val="14"/>
                <w:szCs w:val="14"/>
                <w:color w:val="auto"/>
              </w:rPr>
            </w:pPr>
          </w:p>
        </w:tc>
        <w:tc>
          <w:tcPr>
            <w:tcW w:w="10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60" w:type="dxa"/>
            <w:vAlign w:val="bottom"/>
            <w:shd w:val="clear" w:color="auto" w:fill="CFF0FC"/>
          </w:tcPr>
          <w:p>
            <w:pPr>
              <w:spacing w:after="0"/>
              <w:rPr>
                <w:sz w:val="14"/>
                <w:szCs w:val="14"/>
                <w:color w:val="auto"/>
              </w:rPr>
            </w:pPr>
          </w:p>
        </w:tc>
        <w:tc>
          <w:tcPr>
            <w:tcW w:w="10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560" w:type="dxa"/>
            <w:vAlign w:val="bottom"/>
            <w:gridSpan w:val="3"/>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500" w:type="dxa"/>
            <w:vAlign w:val="bottom"/>
          </w:tcPr>
          <w:p>
            <w:pPr>
              <w:spacing w:after="0"/>
              <w:rPr>
                <w:sz w:val="13"/>
                <w:szCs w:val="13"/>
                <w:color w:val="auto"/>
              </w:rPr>
            </w:pPr>
          </w:p>
        </w:tc>
        <w:tc>
          <w:tcPr>
            <w:tcW w:w="1320" w:type="dxa"/>
            <w:vAlign w:val="bottom"/>
            <w:tcBorders>
              <w:bottom w:val="single" w:sz="8" w:color="auto"/>
            </w:tcBorders>
          </w:tcPr>
          <w:p>
            <w:pPr>
              <w:jc w:val="right"/>
              <w:ind w:right="116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20.7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95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300" w:type="dxa"/>
            <w:vAlign w:val="bottom"/>
            <w:gridSpan w:val="13"/>
          </w:tcPr>
          <w:p>
            <w:pPr>
              <w:jc w:val="right"/>
              <w:ind w:right="220"/>
              <w:spacing w:after="0"/>
              <w:rPr>
                <w:sz w:val="20"/>
                <w:szCs w:val="20"/>
                <w:color w:val="auto"/>
              </w:rPr>
            </w:pPr>
            <w:r>
              <w:rPr>
                <w:rFonts w:ascii="Arial" w:cs="Arial" w:eastAsia="Arial" w:hAnsi="Arial"/>
                <w:sz w:val="20"/>
                <w:szCs w:val="20"/>
                <w:b w:val="1"/>
                <w:bCs w:val="1"/>
                <w:color w:val="auto"/>
              </w:rPr>
              <w:t>GAAP TO NON-GAAP RECONCILIATION OF FREE CASH FLOW</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8"/>
          </w:tcPr>
          <w:p>
            <w:pPr>
              <w:jc w:val="right"/>
              <w:ind w:right="1038"/>
              <w:spacing w:after="0"/>
              <w:rPr>
                <w:sz w:val="20"/>
                <w:szCs w:val="20"/>
                <w:color w:val="auto"/>
              </w:rPr>
            </w:pPr>
            <w:r>
              <w:rPr>
                <w:rFonts w:ascii="Arial" w:cs="Arial" w:eastAsia="Arial" w:hAnsi="Arial"/>
                <w:sz w:val="14"/>
                <w:szCs w:val="14"/>
                <w:color w:val="auto"/>
              </w:rPr>
              <w:t>For the nine months ended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62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i w:val="1"/>
                <w:iCs w:val="1"/>
                <w:color w:val="auto"/>
              </w:rPr>
              <w:t>(in millions)</w:t>
            </w:r>
          </w:p>
        </w:tc>
        <w:tc>
          <w:tcPr>
            <w:tcW w:w="150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1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color w:val="auto"/>
              </w:rPr>
              <w:t>November 3, 2018</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color w:val="auto"/>
              </w:rPr>
              <w:t>October 28, 2017</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6"/>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(1.3)</w:t>
            </w:r>
          </w:p>
        </w:tc>
        <w:tc>
          <w:tcPr>
            <w:tcW w:w="260" w:type="dxa"/>
            <w:vAlign w:val="bottom"/>
            <w:gridSpan w:val="2"/>
            <w:shd w:val="clear" w:color="auto" w:fill="CFF0FC"/>
          </w:tcPr>
          <w:p>
            <w:pPr>
              <w:spacing w:after="0"/>
              <w:rPr>
                <w:sz w:val="13"/>
                <w:szCs w:val="13"/>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5.2</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4"/>
          </w:tcPr>
          <w:p>
            <w:pPr>
              <w:spacing w:after="0"/>
              <w:rPr>
                <w:sz w:val="20"/>
                <w:szCs w:val="20"/>
                <w:color w:val="auto"/>
              </w:rPr>
            </w:pPr>
            <w:r>
              <w:rPr>
                <w:rFonts w:ascii="Arial" w:cs="Arial" w:eastAsia="Arial" w:hAnsi="Arial"/>
                <w:sz w:val="14"/>
                <w:szCs w:val="14"/>
                <w:color w:val="auto"/>
                <w:w w:val="96"/>
              </w:rPr>
              <w:t>Capital expenditures, infrastructure projects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vMerge w:val="restart"/>
          </w:tcPr>
          <w:p>
            <w:pPr>
              <w:ind w:left="40"/>
              <w:spacing w:after="0"/>
              <w:rPr>
                <w:sz w:val="20"/>
                <w:szCs w:val="20"/>
                <w:color w:val="auto"/>
              </w:rPr>
            </w:pPr>
            <w:r>
              <w:rPr>
                <w:rFonts w:ascii="Arial" w:cs="Arial" w:eastAsia="Arial" w:hAnsi="Arial"/>
                <w:sz w:val="14"/>
                <w:szCs w:val="14"/>
                <w:color w:val="auto"/>
              </w:rPr>
              <w:t>Free Cash Flow (non-GAAP basis)</w:t>
            </w: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(11.1)</w:t>
            </w:r>
          </w:p>
        </w:tc>
        <w:tc>
          <w:tcPr>
            <w:tcW w:w="260" w:type="dxa"/>
            <w:vAlign w:val="bottom"/>
            <w:gridSpan w:val="2"/>
            <w:vMerge w:val="continue"/>
          </w:tcPr>
          <w:p>
            <w:pPr>
              <w:spacing w:after="0"/>
              <w:rPr>
                <w:sz w:val="13"/>
                <w:szCs w:val="13"/>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520" w:type="dxa"/>
            <w:vAlign w:val="bottom"/>
            <w:gridSpan w:val="3"/>
          </w:tcPr>
          <w:p>
            <w:pPr>
              <w:jc w:val="right"/>
              <w:ind w:right="988"/>
              <w:spacing w:after="0"/>
              <w:rPr>
                <w:sz w:val="20"/>
                <w:szCs w:val="20"/>
                <w:color w:val="auto"/>
              </w:rPr>
            </w:pPr>
            <w:r>
              <w:rPr>
                <w:rFonts w:ascii="Arial" w:cs="Arial" w:eastAsia="Arial" w:hAnsi="Arial"/>
                <w:sz w:val="20"/>
                <w:szCs w:val="20"/>
                <w:b w:val="1"/>
                <w:bCs w:val="1"/>
                <w:color w:val="auto"/>
              </w:rPr>
              <w:t>2018 FORECAST GAAP TO NON-GAAP RECONCILIATIONS</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$(9.8)-$(12.8)</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CEO transition costs</w:t>
            </w:r>
          </w:p>
        </w:tc>
        <w:tc>
          <w:tcPr>
            <w:tcW w:w="2120" w:type="dxa"/>
            <w:vAlign w:val="bottom"/>
          </w:tcPr>
          <w:p>
            <w:pPr>
              <w:jc w:val="right"/>
              <w:spacing w:after="0"/>
              <w:rPr>
                <w:sz w:val="20"/>
                <w:szCs w:val="20"/>
                <w:color w:val="auto"/>
              </w:rPr>
            </w:pPr>
            <w:r>
              <w:rPr>
                <w:rFonts w:ascii="Arial" w:cs="Arial" w:eastAsia="Arial" w:hAnsi="Arial"/>
                <w:sz w:val="14"/>
                <w:szCs w:val="14"/>
                <w:color w:val="auto"/>
              </w:rPr>
              <w:t>2.1</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3.4</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$24.0-$27.0</w:t>
            </w: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56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$(9.8)-$(12.8)</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$(0.20)-$(0.26)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2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Restructuring charge</w:t>
            </w:r>
          </w:p>
        </w:tc>
        <w:tc>
          <w:tcPr>
            <w:tcW w:w="2120" w:type="dxa"/>
            <w:vAlign w:val="bottom"/>
          </w:tcPr>
          <w:p>
            <w:pPr>
              <w:jc w:val="right"/>
              <w:spacing w:after="0"/>
              <w:rPr>
                <w:sz w:val="20"/>
                <w:szCs w:val="20"/>
                <w:color w:val="auto"/>
              </w:rPr>
            </w:pPr>
            <w:r>
              <w:rPr>
                <w:rFonts w:ascii="Arial" w:cs="Arial" w:eastAsia="Arial" w:hAnsi="Arial"/>
                <w:sz w:val="14"/>
                <w:szCs w:val="14"/>
                <w:color w:val="auto"/>
              </w:rPr>
              <w:t>1.9</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1.8 -2.7</w:t>
            </w:r>
          </w:p>
        </w:tc>
        <w:tc>
          <w:tcPr>
            <w:tcW w:w="8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$0.04-$0.05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 -$(6.1)</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$(0.08)-$(0.13)</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gridSpan w:val="3"/>
            <w:vMerge w:val="continue"/>
          </w:tcPr>
          <w:p>
            <w:pPr>
              <w:spacing w:after="0"/>
              <w:rPr>
                <w:sz w:val="12"/>
                <w:szCs w:val="12"/>
                <w:color w:val="auto"/>
              </w:rPr>
            </w:pPr>
          </w:p>
        </w:tc>
        <w:tc>
          <w:tcPr>
            <w:tcW w:w="2120" w:type="dxa"/>
            <w:vAlign w:val="bottom"/>
          </w:tcPr>
          <w:p>
            <w:pPr>
              <w:jc w:val="right"/>
              <w:spacing w:after="0" w:line="143" w:lineRule="exact"/>
              <w:rPr>
                <w:sz w:val="20"/>
                <w:szCs w:val="20"/>
                <w:color w:val="auto"/>
              </w:rPr>
            </w:pPr>
            <w:r>
              <w:rPr>
                <w:rFonts w:ascii="Arial" w:cs="Arial" w:eastAsia="Arial" w:hAnsi="Arial"/>
                <w:sz w:val="14"/>
                <w:szCs w:val="14"/>
                <w:color w:val="auto"/>
              </w:rPr>
              <w:t>49.1</w:t>
            </w: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456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$22.5 -$26.5</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shd w:val="clear" w:color="auto" w:fill="CFF0FC"/>
          </w:tcPr>
          <w:p>
            <w:pPr>
              <w:jc w:val="right"/>
              <w:ind w:right="728"/>
              <w:spacing w:after="0"/>
              <w:rPr>
                <w:sz w:val="20"/>
                <w:szCs w:val="20"/>
                <w:color w:val="auto"/>
              </w:rPr>
            </w:pPr>
            <w:r>
              <w:rPr>
                <w:rFonts w:ascii="Arial" w:cs="Arial" w:eastAsia="Arial" w:hAnsi="Arial"/>
                <w:sz w:val="14"/>
                <w:szCs w:val="14"/>
                <w:color w:val="auto"/>
              </w:rPr>
              <w:t>(10.7)</w:t>
            </w: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(1.8)</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$10.0-$14.0</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2019-12-28T17:35:44Z</dcterms:created>
  <dcterms:modified xsi:type="dcterms:W3CDTF">2019-12-28T17:35:44Z</dcterms:modified>
</cp:coreProperties>
</file>