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-236220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2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5278120</wp:posOffset>
            </wp:positionH>
            <wp:positionV relativeFrom="paragraph">
              <wp:posOffset>-631190</wp:posOffset>
            </wp:positionV>
            <wp:extent cx="58420" cy="6445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3998595</wp:posOffset>
            </wp:positionH>
            <wp:positionV relativeFrom="paragraph">
              <wp:posOffset>-631190</wp:posOffset>
            </wp:positionV>
            <wp:extent cx="58420" cy="644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-1622425</wp:posOffset>
            </wp:positionH>
            <wp:positionV relativeFrom="paragraph">
              <wp:posOffset>24130</wp:posOffset>
            </wp:positionV>
            <wp:extent cx="6992620" cy="55562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55562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60"/>
            <w:col w:w="8540"/>
          </w:cols>
          <w:pgMar w:left="460" w:top="216" w:right="359" w:bottom="1440" w:gutter="0" w:footer="0" w:header="0"/>
        </w:sectPr>
      </w:pP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Surette Allison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DESTINATION XL GROUP, INC.</w:t>
      </w:r>
    </w:p>
    <w:p>
      <w:pPr>
        <w:spacing w:after="0" w:line="6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555 TURNPIKE STREET</w:t>
      </w:r>
    </w:p>
    <w:p>
      <w:pPr>
        <w:spacing w:after="0" w:line="28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CANTON</w:t>
            </w:r>
          </w:p>
        </w:tc>
        <w:tc>
          <w:tcPr>
            <w:tcW w:w="10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02021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208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DESTINATION XL GROUP, INC.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DXLG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]</w:t>
            </w:r>
          </w:p>
        </w:tc>
        <w:tc>
          <w:tcPr>
            <w:tcW w:w="28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</w:tcPr>
          <w:p>
            <w:pPr>
              <w:ind w:left="180"/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Chief Merchandising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3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04/01/2022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8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80"/>
        <w:spacing w:after="0" w:line="236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8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00"/>
            <w:col w:w="724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7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$0.01 par value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04/01/2022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15,832</w:t>
            </w:r>
          </w:p>
        </w:tc>
        <w:tc>
          <w:tcPr>
            <w:tcW w:w="5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88,730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$0.01 par value</w:t>
            </w: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04/01/2022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2"/>
              </w:rPr>
              <w:t>F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4,647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4.88</w:t>
            </w: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84,083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1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(3)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8,540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75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04/01/2022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8,540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jc w:val="right"/>
              <w:ind w:right="1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7,292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75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04/01/2022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7,292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jc w:val="right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7,291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-2463800</wp:posOffset>
            </wp:positionV>
            <wp:extent cx="29210" cy="24688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4688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Restricted stock units ("RSU") convert into common stock on a one-for-one basis.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shares withheld from shares otherwise issuable upon vesting of RSUs for payment of taxes.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RSUs for time-based compensation granted to the Reporting Person on October 24, 2018 under the 2018-2020 Long-Term Incentive Plan.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RSUs for time-based compensation granted to the Reporting Person on August 7, 2019 under the 2019-2021 Long-Term Incentive Plan. The remaining RSUs vest on April 1, 2023.</w:t>
      </w:r>
    </w:p>
    <w:p>
      <w:pPr>
        <w:spacing w:after="0" w:line="58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0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Allison Surette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04/01/2022</w:t>
            </w:r>
          </w:p>
        </w:tc>
      </w:tr>
      <w:tr>
        <w:trPr>
          <w:trHeight w:val="230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9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741394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2022-04-01T15:48:22Z</dcterms:created>
  <dcterms:modified xsi:type="dcterms:W3CDTF">2022-04-01T15:48:22Z</dcterms:modified>
</cp:coreProperties>
</file>