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220345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15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15(d) OF THE SECURITIES EXCHANGE ACT OF 1934</w:t>
      </w:r>
    </w:p>
    <w:p>
      <w:pPr>
        <w:spacing w:after="0" w:line="190" w:lineRule="exact"/>
        <w:rPr>
          <w:sz w:val="24"/>
          <w:szCs w:val="24"/>
          <w:color w:val="auto"/>
        </w:rPr>
      </w:pPr>
    </w:p>
    <w:p>
      <w:pPr>
        <w:ind w:left="580"/>
        <w:spacing w:after="0"/>
        <w:tabs>
          <w:tab w:leader="none" w:pos="3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1263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8890"/>
                    </a:xfrm>
                    <a:prstGeom prst="rect">
                      <a:avLst/>
                    </a:prstGeom>
                    <a:noFill/>
                  </pic:spPr>
                </pic:pic>
              </a:graphicData>
            </a:graphic>
          </wp:anchor>
        </w:drawing>
      </w:r>
    </w:p>
    <w:p>
      <w:pPr>
        <w:spacing w:after="0" w:line="151"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CASUAL MALE RETAIL GROUP, INC. 401(K) SALARIED SAVINGS PLAN</w:t>
      </w:r>
    </w:p>
    <w:p>
      <w:pPr>
        <w:spacing w:after="0" w:line="37" w:lineRule="exact"/>
        <w:rPr>
          <w:sz w:val="24"/>
          <w:szCs w:val="24"/>
          <w:color w:val="auto"/>
        </w:rPr>
      </w:pPr>
    </w:p>
    <w:p>
      <w:pPr>
        <w:jc w:val="center"/>
        <w:ind w:right="-499"/>
        <w:spacing w:after="0"/>
        <w:rPr>
          <w:sz w:val="20"/>
          <w:szCs w:val="20"/>
          <w:color w:val="auto"/>
        </w:rPr>
      </w:pPr>
      <w:r>
        <w:rPr>
          <w:rFonts w:ascii="Arial" w:cs="Arial" w:eastAsia="Arial" w:hAnsi="Arial"/>
          <w:sz w:val="14"/>
          <w:szCs w:val="14"/>
          <w:b w:val="1"/>
          <w:bCs w:val="1"/>
          <w:i w:val="1"/>
          <w:iCs w:val="1"/>
          <w:color w:val="auto"/>
        </w:rPr>
        <w:t>(Full title of the plan)</w:t>
      </w:r>
    </w:p>
    <w:p>
      <w:pPr>
        <w:spacing w:after="0" w:line="135"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Canton, Massachusetts 02021</w:t>
      </w:r>
    </w:p>
    <w:p>
      <w:pPr>
        <w:jc w:val="center"/>
        <w:ind w:right="-499"/>
        <w:spacing w:after="0"/>
        <w:rPr>
          <w:sz w:val="20"/>
          <w:szCs w:val="20"/>
          <w:color w:val="auto"/>
        </w:rPr>
      </w:pPr>
      <w:r>
        <w:rPr>
          <w:rFonts w:ascii="Arial" w:cs="Arial" w:eastAsia="Arial" w:hAnsi="Arial"/>
          <w:sz w:val="14"/>
          <w:szCs w:val="14"/>
          <w:b w:val="1"/>
          <w:bCs w:val="1"/>
          <w:i w:val="1"/>
          <w:iCs w:val="1"/>
          <w:color w:val="auto"/>
        </w:rPr>
        <w:t>(Name of issuer of the securities held pursuant to the plan and the address</w:t>
      </w:r>
    </w:p>
    <w:p>
      <w:pPr>
        <w:jc w:val="center"/>
        <w:ind w:right="-499"/>
        <w:spacing w:after="0"/>
        <w:rPr>
          <w:sz w:val="20"/>
          <w:szCs w:val="20"/>
          <w:color w:val="auto"/>
        </w:rPr>
      </w:pPr>
      <w:r>
        <w:rPr>
          <w:rFonts w:ascii="Arial" w:cs="Arial" w:eastAsia="Arial" w:hAnsi="Arial"/>
          <w:sz w:val="14"/>
          <w:szCs w:val="14"/>
          <w:b w:val="1"/>
          <w:bCs w:val="1"/>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109220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920"/>
          </w:cols>
          <w:pgMar w:left="240" w:top="230" w:right="7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560" w:type="dxa"/>
            <w:vAlign w:val="bottom"/>
            <w:gridSpan w:val="6"/>
          </w:tcPr>
          <w:p>
            <w:pPr>
              <w:jc w:val="center"/>
              <w:ind w:right="320"/>
              <w:spacing w:after="0"/>
              <w:rPr>
                <w:sz w:val="20"/>
                <w:szCs w:val="20"/>
                <w:color w:val="auto"/>
              </w:rPr>
            </w:pPr>
            <w:r>
              <w:rPr>
                <w:rFonts w:ascii="Arial" w:cs="Arial" w:eastAsia="Arial" w:hAnsi="Arial"/>
                <w:sz w:val="18"/>
                <w:szCs w:val="18"/>
                <w:color w:val="auto"/>
                <w:w w:val="88"/>
              </w:rPr>
              <w:t>Casual Male Retail Group, Inc. 401(k) Salaried Savings Plan</w:t>
            </w:r>
          </w:p>
        </w:tc>
        <w:tc>
          <w:tcPr>
            <w:tcW w:w="176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560" w:type="dxa"/>
            <w:vAlign w:val="bottom"/>
            <w:gridSpan w:val="6"/>
          </w:tcPr>
          <w:p>
            <w:pPr>
              <w:jc w:val="center"/>
              <w:ind w:right="340"/>
              <w:spacing w:after="0"/>
              <w:rPr>
                <w:sz w:val="20"/>
                <w:szCs w:val="20"/>
                <w:color w:val="auto"/>
              </w:rPr>
            </w:pPr>
            <w:r>
              <w:rPr>
                <w:rFonts w:ascii="Arial" w:cs="Arial" w:eastAsia="Arial" w:hAnsi="Arial"/>
                <w:sz w:val="18"/>
                <w:szCs w:val="18"/>
                <w:color w:val="auto"/>
                <w:w w:val="86"/>
              </w:rPr>
              <w:t>Financial Statements and Supplemental Schedules</w:t>
            </w:r>
          </w:p>
        </w:tc>
        <w:tc>
          <w:tcPr>
            <w:tcW w:w="176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540" w:type="dxa"/>
            <w:vAlign w:val="bottom"/>
            <w:gridSpan w:val="5"/>
          </w:tcPr>
          <w:p>
            <w:pPr>
              <w:jc w:val="center"/>
              <w:ind w:right="2360"/>
              <w:spacing w:after="0"/>
              <w:rPr>
                <w:sz w:val="20"/>
                <w:szCs w:val="20"/>
                <w:color w:val="auto"/>
              </w:rPr>
            </w:pPr>
            <w:r>
              <w:rPr>
                <w:rFonts w:ascii="Arial" w:cs="Arial" w:eastAsia="Arial" w:hAnsi="Arial"/>
                <w:sz w:val="18"/>
                <w:szCs w:val="18"/>
                <w:color w:val="auto"/>
                <w:w w:val="86"/>
              </w:rPr>
              <w:t>Year ended December 31, 2005</w:t>
            </w:r>
          </w:p>
        </w:tc>
        <w:tc>
          <w:tcPr>
            <w:tcW w:w="176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540" w:type="dxa"/>
            <w:vAlign w:val="bottom"/>
            <w:gridSpan w:val="5"/>
          </w:tcPr>
          <w:p>
            <w:pPr>
              <w:jc w:val="center"/>
              <w:ind w:right="2340"/>
              <w:spacing w:after="0"/>
              <w:rPr>
                <w:sz w:val="20"/>
                <w:szCs w:val="20"/>
                <w:color w:val="auto"/>
              </w:rPr>
            </w:pPr>
            <w:r>
              <w:rPr>
                <w:rFonts w:ascii="Arial" w:cs="Arial" w:eastAsia="Arial" w:hAnsi="Arial"/>
                <w:sz w:val="18"/>
                <w:szCs w:val="18"/>
                <w:b w:val="1"/>
                <w:bCs w:val="1"/>
                <w:color w:val="auto"/>
                <w:w w:val="86"/>
              </w:rPr>
              <w:t>Table of Contents</w:t>
            </w:r>
          </w:p>
        </w:tc>
        <w:tc>
          <w:tcPr>
            <w:tcW w:w="1760" w:type="dxa"/>
            <w:vAlign w:val="bottom"/>
          </w:tcPr>
          <w:p>
            <w:pPr>
              <w:spacing w:after="0"/>
              <w:rPr>
                <w:sz w:val="24"/>
                <w:szCs w:val="24"/>
                <w:color w:val="auto"/>
              </w:rPr>
            </w:pPr>
          </w:p>
        </w:tc>
      </w:tr>
      <w:tr>
        <w:trPr>
          <w:trHeight w:val="380"/>
        </w:trPr>
        <w:tc>
          <w:tcPr>
            <w:tcW w:w="966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412"/>
        </w:trPr>
        <w:tc>
          <w:tcPr>
            <w:tcW w:w="58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2005 and 2004</w:t>
              </w:r>
            </w:hyperlink>
          </w:p>
        </w:tc>
        <w:tc>
          <w:tcPr>
            <w:tcW w:w="3800" w:type="dxa"/>
            <w:vAlign w:val="bottom"/>
            <w:gridSpan w:val="4"/>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9660" w:type="dxa"/>
            <w:vAlign w:val="bottom"/>
            <w:gridSpan w:val="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2005</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940" w:type="dxa"/>
            <w:vAlign w:val="bottom"/>
            <w:tcBorders>
              <w:top w:val="single" w:sz="8" w:color="0000EE"/>
            </w:tcBorders>
            <w:gridSpan w:val="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720" w:type="dxa"/>
            <w:vAlign w:val="bottom"/>
            <w:gridSpan w:val="3"/>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1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11">
              <w:r>
                <w:rPr>
                  <w:rFonts w:ascii="Arial" w:cs="Arial" w:eastAsia="Arial" w:hAnsi="Arial"/>
                  <w:sz w:val="18"/>
                  <w:szCs w:val="18"/>
                  <w:color w:val="0000EE"/>
                  <w:w w:val="89"/>
                </w:rPr>
                <w:t>Supplementary Information</w:t>
              </w:r>
            </w:hyperlink>
          </w:p>
        </w:tc>
        <w:tc>
          <w:tcPr>
            <w:tcW w:w="140" w:type="dxa"/>
            <w:vAlign w:val="bottom"/>
            <w:tcBorders>
              <w:top w:val="single" w:sz="8" w:color="0000EE"/>
            </w:tcBorders>
          </w:tcPr>
          <w:p>
            <w:pPr>
              <w:spacing w:after="0"/>
              <w:rPr>
                <w:sz w:val="24"/>
                <w:szCs w:val="24"/>
                <w:color w:val="auto"/>
              </w:rPr>
            </w:pPr>
          </w:p>
        </w:tc>
        <w:tc>
          <w:tcPr>
            <w:tcW w:w="7560" w:type="dxa"/>
            <w:vAlign w:val="bottom"/>
            <w:gridSpan w:val="6"/>
          </w:tcPr>
          <w:p>
            <w:pPr>
              <w:spacing w:after="0"/>
              <w:rPr>
                <w:sz w:val="24"/>
                <w:szCs w:val="24"/>
                <w:color w:val="auto"/>
              </w:rPr>
            </w:pPr>
          </w:p>
        </w:tc>
        <w:tc>
          <w:tcPr>
            <w:tcW w:w="1760" w:type="dxa"/>
            <w:vAlign w:val="bottom"/>
          </w:tcPr>
          <w:p>
            <w:pPr>
              <w:spacing w:after="0"/>
              <w:rPr>
                <w:sz w:val="24"/>
                <w:szCs w:val="24"/>
                <w:color w:val="auto"/>
              </w:rPr>
            </w:pPr>
          </w:p>
        </w:tc>
      </w:tr>
      <w:tr>
        <w:trPr>
          <w:trHeight w:val="304"/>
        </w:trPr>
        <w:tc>
          <w:tcPr>
            <w:tcW w:w="440" w:type="dxa"/>
            <w:vAlign w:val="bottom"/>
          </w:tcPr>
          <w:p>
            <w:pPr>
              <w:spacing w:after="0"/>
              <w:rPr>
                <w:sz w:val="24"/>
                <w:szCs w:val="24"/>
                <w:color w:val="auto"/>
              </w:rPr>
            </w:pPr>
          </w:p>
        </w:tc>
        <w:tc>
          <w:tcPr>
            <w:tcW w:w="9220" w:type="dxa"/>
            <w:vAlign w:val="bottom"/>
            <w:gridSpan w:val="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Schedule H, Line 4i – Schedule of Assets Held for Investment Purposes at End of Year (December 31, 2005)</w:t>
              </w:r>
            </w:hyperlink>
          </w:p>
        </w:tc>
        <w:tc>
          <w:tcPr>
            <w:tcW w:w="1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04"/>
        </w:trPr>
        <w:tc>
          <w:tcPr>
            <w:tcW w:w="440" w:type="dxa"/>
            <w:vAlign w:val="bottom"/>
          </w:tcPr>
          <w:p>
            <w:pPr>
              <w:spacing w:after="0"/>
              <w:rPr>
                <w:sz w:val="24"/>
                <w:szCs w:val="24"/>
                <w:color w:val="auto"/>
              </w:rPr>
            </w:pPr>
          </w:p>
        </w:tc>
        <w:tc>
          <w:tcPr>
            <w:tcW w:w="7640" w:type="dxa"/>
            <w:vAlign w:val="bottom"/>
            <w:tcBorders>
              <w:top w:val="single" w:sz="8" w:color="0000EE"/>
            </w:tcBorders>
            <w:gridSpan w:val="7"/>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Schedule G, Part III – Schedule of Nonexempt Transactions For the Year Ended December 31, 2005</w:t>
              </w:r>
            </w:hyperlink>
          </w:p>
        </w:tc>
        <w:tc>
          <w:tcPr>
            <w:tcW w:w="15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4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401(k) Salaried Savings Plan</w:t>
      </w:r>
    </w:p>
    <w:p>
      <w:pPr>
        <w:spacing w:after="0" w:line="165"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We have audited the accompanying statement of net assets available for benefits of the Casual Male Retail Group, Inc. 401 (k) Salaried Savings Plan as of December 31, 2005 and 2004, and the related statement of changes in net assets available for benefits for the year ended December 31, 2005.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2005 and 2004, and the changes in its net assets available for benefits for the year ended December 31, 2005, in conformity with accounting principles generally accepted in the United States.</w:t>
      </w:r>
    </w:p>
    <w:p>
      <w:pPr>
        <w:spacing w:after="0" w:line="14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were performed for the purpose of forming an opinion on the financial statements taken as a whole. The accompanying supplemental schedules of assets held for investment purposes at end of year (December 31, 2005) and nonexempt transactions for the year ended December 31, 2005 are presented for the purpose of additional analysis and are not a required part of the financial statements but are supplementary information required by the Department of Labor’s Rules and Regulations for Reporting and Disclosure under the Employee Retirement Income Security Act of 1974. These supplemental schedules are the responsibility of the Plan’s management. These supplemental schedules have been subjected to the auditing procedures applied in our audits of the financial statements and, in our opinion, are fairly stated in all material respects in relation to the financial statements taken as a whole.</w:t>
      </w:r>
    </w:p>
    <w:p>
      <w:pPr>
        <w:spacing w:after="0" w:line="120" w:lineRule="exact"/>
        <w:rPr>
          <w:sz w:val="20"/>
          <w:szCs w:val="20"/>
          <w:color w:val="auto"/>
        </w:rPr>
      </w:pPr>
    </w:p>
    <w:p>
      <w:pPr>
        <w:ind w:left="7380"/>
        <w:spacing w:after="0"/>
        <w:rPr>
          <w:sz w:val="20"/>
          <w:szCs w:val="20"/>
          <w:color w:val="auto"/>
        </w:rPr>
      </w:pPr>
      <w:r>
        <w:rPr>
          <w:rFonts w:ascii="Arial" w:cs="Arial" w:eastAsia="Arial" w:hAnsi="Arial"/>
          <w:sz w:val="18"/>
          <w:szCs w:val="18"/>
          <w:u w:val="single" w:color="auto"/>
          <w:color w:val="auto"/>
        </w:rPr>
        <w:t>/s/ Mahoney Cohen &amp; Company, CPA,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12, 2006</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Statements of Net Assets Available for Benefits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 and 2004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6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2005</w:t>
            </w:r>
          </w:p>
        </w:tc>
        <w:tc>
          <w:tcPr>
            <w:tcW w:w="1140" w:type="dxa"/>
            <w:vAlign w:val="bottom"/>
            <w:tcBorders>
              <w:top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Investments, at fair value (Notes 2 and 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$ 18,714,735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$ 18,664,338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 receivable</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576,991</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9"/>
              </w:rPr>
              <w:t>19,291,726</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19,261,183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Employee contributions</w:t>
            </w:r>
          </w:p>
        </w:tc>
        <w:tc>
          <w:tcPr>
            <w:tcW w:w="2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508,016</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60" w:type="dxa"/>
            <w:vAlign w:val="bottom"/>
            <w:gridSpan w:val="2"/>
          </w:tcPr>
          <w:p>
            <w:pPr>
              <w:spacing w:after="0"/>
              <w:rPr>
                <w:sz w:val="20"/>
                <w:szCs w:val="20"/>
                <w:color w:val="auto"/>
              </w:rPr>
            </w:pPr>
            <w:r>
              <w:rPr>
                <w:rFonts w:ascii="Arial" w:cs="Arial" w:eastAsia="Arial" w:hAnsi="Arial"/>
                <w:sz w:val="18"/>
                <w:szCs w:val="18"/>
                <w:color w:val="auto"/>
              </w:rPr>
              <w:t>Total receivables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508,016</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508,327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19,799,742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19,769,510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3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Excess deferred compensation contributions (Note 6)</w:t>
            </w:r>
          </w:p>
        </w:tc>
        <w:tc>
          <w:tcPr>
            <w:tcW w:w="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58,103</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6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85"/>
              </w:rPr>
              <w:t>$ 19,741,639</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$ 19,769,510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360" w:type="dxa"/>
            <w:vAlign w:val="bottom"/>
            <w:gridSpan w:val="2"/>
          </w:tcPr>
          <w:p>
            <w:pPr>
              <w:jc w:val="right"/>
              <w:ind w:right="3740"/>
              <w:spacing w:after="0"/>
              <w:rPr>
                <w:sz w:val="20"/>
                <w:szCs w:val="20"/>
                <w:color w:val="auto"/>
              </w:rPr>
            </w:pPr>
            <w:r>
              <w:rPr>
                <w:rFonts w:ascii="Arial" w:cs="Arial" w:eastAsia="Arial" w:hAnsi="Arial"/>
                <w:sz w:val="18"/>
                <w:szCs w:val="18"/>
                <w:color w:val="auto"/>
              </w:rPr>
              <w:t>Year ended December 31, 2005</w:t>
            </w: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9"/>
              </w:rPr>
              <w:t>Net appreciation in fair value of investments (Note 3)</w:t>
            </w:r>
          </w:p>
        </w:tc>
        <w:tc>
          <w:tcPr>
            <w:tcW w:w="6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344,251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Transfers into the Plan (Note 1)</w:t>
            </w:r>
          </w:p>
        </w:tc>
        <w:tc>
          <w:tcPr>
            <w:tcW w:w="6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1,204,349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Contributions:</w:t>
            </w: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w:t>
            </w:r>
          </w:p>
        </w:tc>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1,446,315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Employer</w:t>
            </w: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508,016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Rollovers</w:t>
            </w:r>
          </w:p>
        </w:tc>
        <w:tc>
          <w:tcPr>
            <w:tcW w:w="6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1,988,040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additions</w:t>
            </w:r>
          </w:p>
        </w:tc>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3,192,389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Deductions</w:t>
            </w:r>
          </w:p>
        </w:tc>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Benefits paid directly to participants</w:t>
            </w:r>
          </w:p>
        </w:tc>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3,059,311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Administrative Fees</w:t>
            </w:r>
          </w:p>
        </w:tc>
        <w:tc>
          <w:tcPr>
            <w:tcW w:w="6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Transfers out of the Plan (Note 1)</w:t>
            </w:r>
          </w:p>
        </w:tc>
        <w:tc>
          <w:tcPr>
            <w:tcW w:w="6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Total Deductions</w:t>
            </w:r>
          </w:p>
        </w:tc>
        <w:tc>
          <w:tcPr>
            <w:tcW w:w="6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3,220,260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decrease</w:t>
            </w:r>
          </w:p>
        </w:tc>
        <w:tc>
          <w:tcPr>
            <w:tcW w:w="6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(27,871)</w:t>
            </w:r>
          </w:p>
        </w:tc>
        <w:tc>
          <w:tcPr>
            <w:tcW w:w="0" w:type="dxa"/>
            <w:vAlign w:val="bottom"/>
          </w:tcPr>
          <w:p>
            <w:pPr>
              <w:spacing w:after="0"/>
              <w:rPr>
                <w:sz w:val="1"/>
                <w:szCs w:val="1"/>
                <w:color w:val="auto"/>
              </w:rPr>
            </w:pPr>
          </w:p>
        </w:tc>
      </w:tr>
      <w:tr>
        <w:trPr>
          <w:trHeight w:val="331"/>
        </w:trPr>
        <w:tc>
          <w:tcPr>
            <w:tcW w:w="4200" w:type="dxa"/>
            <w:vAlign w:val="bottom"/>
            <w:gridSpan w:val="2"/>
          </w:tcPr>
          <w:p>
            <w:pPr>
              <w:spacing w:after="0"/>
              <w:rPr>
                <w:sz w:val="20"/>
                <w:szCs w:val="20"/>
                <w:color w:val="auto"/>
              </w:rPr>
            </w:pPr>
            <w:r>
              <w:rPr>
                <w:rFonts w:ascii="Arial" w:cs="Arial" w:eastAsia="Arial" w:hAnsi="Arial"/>
                <w:sz w:val="18"/>
                <w:szCs w:val="18"/>
                <w:color w:val="auto"/>
                <w:w w:val="99"/>
              </w:rPr>
              <w:t>Net assets available for benefits at beginning of year</w:t>
            </w:r>
          </w:p>
        </w:tc>
        <w:tc>
          <w:tcPr>
            <w:tcW w:w="6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19,769,510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end of year</w:t>
            </w:r>
          </w:p>
        </w:tc>
        <w:tc>
          <w:tcPr>
            <w:tcW w:w="6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19,741,639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December 31, 2005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description of Casual Male Retail Group, Inc. 401(k) Salaried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Plan is a defined contribution plan covering certain eligible employees of the Casual Male Retail Group, Inc. (the Company). The Plan is subject to the provisions of the Employee Retirement Income Security Act of 1974 (ERISA).</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All regular, full-time (as defined in the Plan) salaried employees of the Company who have completed six months of employment and are at least 21 years of age are eligible to participate in the Plan. After completing age and service requirements, the employee can enter the Plan on the first day of any subsequent month.</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participants change positions at the Company, they may change from hourly to salary status or vice versa. Assets transferred to the Casual Male Retail Group, Inc. 401(k) Hourly Savings Plan during the year ended December 31, 2005 were $154,615. Assets transferred from the Casual Male Retail Group, Inc. 401(k) Hourly Savings plan during the year ended December 31, 2005 were $172,911.</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employer matching contribution is discretionary at the option of the Company’s Board of Directors. For the year ended December 31, 2005, the Company’s matching contribution was 50% up to the first 6% of compensation that a participant contributed to the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1 - </w:t>
      </w:r>
      <w:r>
        <w:rPr>
          <w:rFonts w:ascii="Arial" w:cs="Arial" w:eastAsia="Arial" w:hAnsi="Arial"/>
          <w:sz w:val="18"/>
          <w:szCs w:val="18"/>
          <w:u w:val="single" w:color="auto"/>
          <w:color w:val="auto"/>
        </w:rPr>
        <w:t>Description of the Plan (continued)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participant’s account is credited with the participant’s contribution, the Company’s matching contribution, and plan earnings. Forfeitures available to reduce future Company matching contributions at December 31, 2005 were $12,547. The benefit to which a participant is entitled is the benefit that can be provided from the participant’s account.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Participants are immediately vested in their contributions plus actual earnings thereon. Vesting in the Company contribution portion of their accounts plus actual earnings thereon is based on years of continuous service. A participant is 100% vested after three years of credited service (no service requirement prior to January 1, 2003).</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Upon enrollment in the Plan, a participant may direct their elective contribution into mutual funds, common stock or common collective trust funds that are offered by the Plan.</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Participant Loans</w:t>
      </w:r>
    </w:p>
    <w:p>
      <w:pPr>
        <w:spacing w:after="0" w:line="9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Participants may borrow the lesser of $50,000 reduced by the individual’s highest outstanding loan balance during the preceding twelve months or 50% of the individual’s vested balance with a minimum of $1,000 per loan. All loans are required to be repaid within five years of the loan unless the purpose of the loan is the purchase of a primary residence. Loans are secured by the balance in the participant’s account. Other restrictions, as specified in the Plan agreement, may apply to a participant’s loan transaction. Interest rates range from 5% to 10.5% at December 31, 2005. Principal and interest is paid ratably through payroll deductions.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Note1- </w:t>
      </w:r>
      <w:r>
        <w:rPr>
          <w:rFonts w:ascii="Arial" w:cs="Arial" w:eastAsia="Arial" w:hAnsi="Arial"/>
          <w:sz w:val="18"/>
          <w:szCs w:val="18"/>
          <w:u w:val="single" w:color="auto"/>
          <w:color w:val="auto"/>
        </w:rPr>
        <w:t>Description of the Plan (continued)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termination of service for any reason, a participant shall receive a lump-sum amount equal to the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Investment Valuation</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Investments are stated at fair value. Mutual funds and common stock are stated at fair value which equals the quoted market price on the last business day of the Plan year. The fair value of participation units owned by the Plan in the common collective trust fund is based on the redemption value of the funds on the last business day of the Plan year. Participant loans are valued at their outstanding balances, which approximate fair value.</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changes therein, and disclosure of contingent assets and liabilities. Actual results could differ from those estimates.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Notes to Financial Statements (continued)</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2- </w:t>
      </w:r>
      <w:r>
        <w:rPr>
          <w:rFonts w:ascii="Arial" w:cs="Arial" w:eastAsia="Arial" w:hAnsi="Arial"/>
          <w:sz w:val="18"/>
          <w:szCs w:val="18"/>
          <w:u w:val="single" w:color="auto"/>
          <w:color w:val="auto"/>
        </w:rPr>
        <w:t>Summary of Significant Accounting Policies (continued)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Benefits are recorded when paid.</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3- </w:t>
      </w:r>
      <w:r>
        <w:rPr>
          <w:rFonts w:ascii="Arial" w:cs="Arial" w:eastAsia="Arial" w:hAnsi="Arial"/>
          <w:sz w:val="18"/>
          <w:szCs w:val="18"/>
          <w:u w:val="single" w:color="auto"/>
          <w:color w:val="auto"/>
        </w:rPr>
        <w:t>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During 2005, the Plan’s investments (including investments purchased, sold as well as held during the year) appreciated (depreciated) in fair value as follows:</w:t>
      </w:r>
    </w:p>
    <w:p>
      <w:pPr>
        <w:spacing w:after="0" w:line="230"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Net Appreciation</w:t>
      </w:r>
    </w:p>
    <w:p>
      <w:pPr>
        <w:jc w:val="center"/>
        <w:ind w:left="8460"/>
        <w:spacing w:after="0" w:line="223" w:lineRule="auto"/>
        <w:rPr>
          <w:sz w:val="20"/>
          <w:szCs w:val="20"/>
          <w:color w:val="auto"/>
        </w:rPr>
      </w:pPr>
      <w:r>
        <w:rPr>
          <w:rFonts w:ascii="Arial" w:cs="Arial" w:eastAsia="Arial" w:hAnsi="Arial"/>
          <w:sz w:val="14"/>
          <w:szCs w:val="14"/>
          <w:b w:val="1"/>
          <w:bCs w:val="1"/>
          <w:color w:val="auto"/>
        </w:rPr>
        <w:t>(Depreciation) in</w:t>
      </w:r>
    </w:p>
    <w:p>
      <w:pPr>
        <w:jc w:val="center"/>
        <w:ind w:left="8460"/>
        <w:spacing w:after="0" w:line="222" w:lineRule="auto"/>
        <w:rPr>
          <w:sz w:val="20"/>
          <w:szCs w:val="20"/>
          <w:color w:val="auto"/>
        </w:rPr>
      </w:pPr>
      <w:r>
        <w:rPr>
          <w:rFonts w:ascii="Arial" w:cs="Arial" w:eastAsia="Arial" w:hAnsi="Arial"/>
          <w:sz w:val="14"/>
          <w:szCs w:val="14"/>
          <w:b w:val="1"/>
          <w:bCs w:val="1"/>
          <w:color w:val="auto"/>
        </w:rPr>
        <w:t>Fair Value of</w:t>
      </w:r>
    </w:p>
    <w:p>
      <w:pPr>
        <w:jc w:val="center"/>
        <w:ind w:left="8460"/>
        <w:spacing w:after="0"/>
        <w:rPr>
          <w:sz w:val="20"/>
          <w:szCs w:val="20"/>
          <w:color w:val="auto"/>
        </w:rPr>
      </w:pPr>
      <w:r>
        <w:rPr>
          <w:rFonts w:ascii="Arial" w:cs="Arial" w:eastAsia="Arial" w:hAnsi="Arial"/>
          <w:sz w:val="14"/>
          <w:szCs w:val="14"/>
          <w:b w:val="1"/>
          <w:bCs w:val="1"/>
          <w:color w:val="auto"/>
        </w:rPr>
        <w:t>Investments</w:t>
      </w: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248,097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121,284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(25,130)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344,251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ind w:left="20"/>
              <w:spacing w:after="0"/>
              <w:rPr>
                <w:sz w:val="20"/>
                <w:szCs w:val="20"/>
                <w:color w:val="auto"/>
              </w:rPr>
            </w:pPr>
            <w:r>
              <w:rPr>
                <w:rFonts w:ascii="Arial" w:cs="Arial" w:eastAsia="Arial" w:hAnsi="Arial"/>
                <w:sz w:val="18"/>
                <w:szCs w:val="18"/>
                <w:color w:val="auto"/>
              </w:rPr>
              <w:t>Investments that represent 5% or more of the Plan’s net assets available for benefits is as follows:</w:t>
            </w: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0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right"/>
              <w:ind w:right="632"/>
              <w:spacing w:after="0"/>
              <w:rPr>
                <w:sz w:val="20"/>
                <w:szCs w:val="20"/>
                <w:color w:val="auto"/>
              </w:rPr>
            </w:pPr>
            <w:r>
              <w:rPr>
                <w:rFonts w:ascii="Arial" w:cs="Arial" w:eastAsia="Arial" w:hAnsi="Arial"/>
                <w:sz w:val="14"/>
                <w:szCs w:val="14"/>
                <w:b w:val="1"/>
                <w:bCs w:val="1"/>
                <w:color w:val="auto"/>
                <w:w w:val="98"/>
              </w:rPr>
              <w:t>December 31</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Putnam Stable Value Fund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4,662,221</w:t>
            </w:r>
          </w:p>
        </w:tc>
        <w:tc>
          <w:tcPr>
            <w:tcW w:w="7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23.6%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5,023,182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Putnam S&amp;P 500 Fund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2,987,527</w:t>
            </w: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3,659,361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George Putnam Fund of Boston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2,799,100</w:t>
            </w:r>
          </w:p>
        </w:tc>
        <w:tc>
          <w:tcPr>
            <w:tcW w:w="7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2,984,379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American Funds Growth Fund of America Class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1,617,559</w:t>
            </w:r>
          </w:p>
        </w:tc>
        <w:tc>
          <w:tcPr>
            <w:tcW w:w="780" w:type="dxa"/>
            <w:vAlign w:val="bottom"/>
            <w:gridSpan w:val="3"/>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7"/>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PIMCO Total Return Adm</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1,220,039</w:t>
            </w:r>
          </w:p>
        </w:tc>
        <w:tc>
          <w:tcPr>
            <w:tcW w:w="7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gridSpan w:val="2"/>
          </w:tcPr>
          <w:p>
            <w:pPr>
              <w:spacing w:after="0"/>
              <w:rPr>
                <w:sz w:val="20"/>
                <w:szCs w:val="20"/>
                <w:color w:val="auto"/>
              </w:rPr>
            </w:pPr>
            <w:r>
              <w:rPr>
                <w:rFonts w:ascii="Arial" w:cs="Arial" w:eastAsia="Arial" w:hAnsi="Arial"/>
                <w:sz w:val="18"/>
                <w:szCs w:val="18"/>
                <w:color w:val="auto"/>
              </w:rPr>
              <w:t>Putnam Voyager Fund</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1,695,865</w:t>
            </w:r>
          </w:p>
        </w:tc>
        <w:tc>
          <w:tcPr>
            <w:tcW w:w="2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7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13,286,446</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6"/>
              </w:rPr>
              <w:t>67.3%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13,362,787,</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ind w:left="5680"/>
              <w:spacing w:after="0"/>
              <w:rPr>
                <w:sz w:val="20"/>
                <w:szCs w:val="20"/>
                <w:color w:val="auto"/>
              </w:rPr>
            </w:pPr>
            <w:r>
              <w:rPr>
                <w:rFonts w:ascii="Arial" w:cs="Arial" w:eastAsia="Arial" w:hAnsi="Arial"/>
                <w:sz w:val="18"/>
                <w:szCs w:val="18"/>
                <w:color w:val="auto"/>
              </w:rPr>
              <w:t>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0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 (continued)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5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Income Tax Status</w:t>
      </w:r>
    </w:p>
    <w:p>
      <w:pPr>
        <w:spacing w:after="0" w:line="96"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underlying non-standardized prototype plan has received an opinion letter from the Internal Revenue Service (IRS) dated August 9, 2002 stating that the form of the plan is qualified under Section 401 of the Internal Revenue Code and, therefore, the related trust is tax-exempt. In accordance with Revenue Procedure</w:t>
      </w:r>
    </w:p>
    <w:p>
      <w:pPr>
        <w:spacing w:after="0" w:line="302" w:lineRule="auto"/>
        <w:rPr>
          <w:sz w:val="20"/>
          <w:szCs w:val="20"/>
          <w:color w:val="auto"/>
        </w:rPr>
      </w:pPr>
      <w:r>
        <w:rPr>
          <w:rFonts w:ascii="Arial" w:cs="Arial" w:eastAsia="Arial" w:hAnsi="Arial"/>
          <w:sz w:val="16"/>
          <w:szCs w:val="16"/>
          <w:color w:val="auto"/>
        </w:rPr>
        <w:t>2002-6 and Announcement 2001-77, the Plan Sponsor has determined that it is eligible to and has chosen to rely on the current IRS prototype plan opinion letter. Once qualified, the Plan is required to operate in conformity with the Code to maintain its qualification. The plan administrator believes the Plan is being operated in compliance with the applicable requirements of the Code and, therefore, believes that the Plan is qualified and the related trust is tax-exempt.</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Excess Deferred Compensation Contributions</w:t>
      </w:r>
    </w:p>
    <w:p>
      <w:pPr>
        <w:spacing w:after="0" w:line="9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Excess contributions to the Plan for the year ended December 31, 2005 were approximately $58,103. The Company returned the excess contribution to the participants on March 14, 2006.</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Note 7 – </w:t>
      </w:r>
      <w:r>
        <w:rPr>
          <w:rFonts w:ascii="Arial" w:cs="Arial" w:eastAsia="Arial" w:hAnsi="Arial"/>
          <w:sz w:val="18"/>
          <w:szCs w:val="18"/>
          <w:u w:val="single" w:color="auto"/>
          <w:color w:val="auto"/>
        </w:rPr>
        <w:t>Nonexempt Transactions</w:t>
      </w:r>
    </w:p>
    <w:p>
      <w:pPr>
        <w:spacing w:after="0" w:line="9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During the year ended December 31, 2005, approximately $123,000 of participants’ contributions was not deposited on a timely basis. The Company corrected the administrative problem which caused the late deposits, so that participants’ contributions can be deposited on a timely basis. The Company paid participants an earnings correction for the earnings lost on their deposits.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220"/>
        <w:spacing w:after="0"/>
        <w:rPr>
          <w:sz w:val="20"/>
          <w:szCs w:val="20"/>
          <w:color w:val="auto"/>
        </w:rPr>
      </w:pPr>
      <w:r>
        <w:rPr>
          <w:rFonts w:ascii="Arial" w:cs="Arial" w:eastAsia="Arial" w:hAnsi="Arial"/>
          <w:sz w:val="15"/>
          <w:szCs w:val="15"/>
          <w:color w:val="auto"/>
        </w:rPr>
        <w:t>Supplemental Schedules</w:t>
      </w:r>
    </w:p>
    <w:p>
      <w:pPr>
        <w:spacing w:after="0" w:line="19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19"/>
          </w:cols>
          <w:pgMar w:left="24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For Investment Purposes at End of Year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2005)</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Identity of Issue,</w:t>
            </w:r>
          </w:p>
        </w:tc>
        <w:tc>
          <w:tcPr>
            <w:tcW w:w="200" w:type="dxa"/>
            <w:vAlign w:val="bottom"/>
          </w:tcPr>
          <w:p>
            <w:pPr>
              <w:spacing w:after="0"/>
              <w:rPr>
                <w:sz w:val="14"/>
                <w:szCs w:val="14"/>
                <w:color w:val="auto"/>
              </w:rPr>
            </w:pPr>
          </w:p>
        </w:tc>
        <w:tc>
          <w:tcPr>
            <w:tcW w:w="7660" w:type="dxa"/>
            <w:vAlign w:val="bottom"/>
          </w:tcPr>
          <w:p>
            <w:pPr>
              <w:spacing w:after="0"/>
              <w:rPr>
                <w:sz w:val="20"/>
                <w:szCs w:val="20"/>
                <w:color w:val="auto"/>
              </w:rPr>
            </w:pPr>
            <w:r>
              <w:rPr>
                <w:rFonts w:ascii="Arial" w:cs="Arial" w:eastAsia="Arial" w:hAnsi="Arial"/>
                <w:sz w:val="14"/>
                <w:szCs w:val="14"/>
                <w:b w:val="1"/>
                <w:bCs w:val="1"/>
                <w:color w:val="auto"/>
              </w:rPr>
              <w:t>Description of investment including</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Borrower, Lessor,</w:t>
            </w:r>
          </w:p>
        </w:tc>
        <w:tc>
          <w:tcPr>
            <w:tcW w:w="200" w:type="dxa"/>
            <w:vAlign w:val="bottom"/>
          </w:tcPr>
          <w:p>
            <w:pPr>
              <w:spacing w:after="0"/>
              <w:rPr>
                <w:sz w:val="12"/>
                <w:szCs w:val="12"/>
                <w:color w:val="auto"/>
              </w:rPr>
            </w:pPr>
          </w:p>
        </w:tc>
        <w:tc>
          <w:tcPr>
            <w:tcW w:w="7660" w:type="dxa"/>
            <w:vAlign w:val="bottom"/>
          </w:tcPr>
          <w:p>
            <w:pPr>
              <w:spacing w:after="0" w:line="149" w:lineRule="exact"/>
              <w:rPr>
                <w:sz w:val="20"/>
                <w:szCs w:val="20"/>
                <w:color w:val="auto"/>
              </w:rPr>
            </w:pPr>
            <w:r>
              <w:rPr>
                <w:rFonts w:ascii="Arial" w:cs="Arial" w:eastAsia="Arial" w:hAnsi="Arial"/>
                <w:sz w:val="14"/>
                <w:szCs w:val="14"/>
                <w:b w:val="1"/>
                <w:bCs w:val="1"/>
                <w:color w:val="auto"/>
              </w:rPr>
              <w:t>maturity date, rate of interest,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8"/>
        </w:trPr>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or Similar Party</w:t>
            </w:r>
          </w:p>
        </w:tc>
        <w:tc>
          <w:tcPr>
            <w:tcW w:w="200" w:type="dxa"/>
            <w:vAlign w:val="bottom"/>
          </w:tcPr>
          <w:p>
            <w:pPr>
              <w:spacing w:after="0"/>
              <w:rPr>
                <w:sz w:val="14"/>
                <w:szCs w:val="14"/>
                <w:color w:val="auto"/>
              </w:rPr>
            </w:pPr>
          </w:p>
        </w:tc>
        <w:tc>
          <w:tcPr>
            <w:tcW w:w="7660" w:type="dxa"/>
            <w:vAlign w:val="bottom"/>
          </w:tcPr>
          <w:p>
            <w:pPr>
              <w:spacing w:after="0"/>
              <w:rPr>
                <w:sz w:val="20"/>
                <w:szCs w:val="20"/>
                <w:color w:val="auto"/>
              </w:rPr>
            </w:pPr>
            <w:r>
              <w:rPr>
                <w:rFonts w:ascii="Arial" w:cs="Arial" w:eastAsia="Arial" w:hAnsi="Arial"/>
                <w:sz w:val="14"/>
                <w:szCs w:val="14"/>
                <w:b w:val="1"/>
                <w:bCs w:val="1"/>
                <w:color w:val="auto"/>
              </w:rPr>
              <w:t>collateral, par, or maturity value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8"/>
              </w:rPr>
              <w:t>Shares/Units</w:t>
            </w:r>
          </w:p>
        </w:tc>
        <w:tc>
          <w:tcPr>
            <w:tcW w:w="22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Current Value</w:t>
            </w:r>
          </w:p>
        </w:tc>
      </w:tr>
      <w:tr>
        <w:trPr>
          <w:trHeight w:val="208"/>
        </w:trPr>
        <w:tc>
          <w:tcPr>
            <w:tcW w:w="20" w:type="dxa"/>
            <w:vAlign w:val="bottom"/>
          </w:tcPr>
          <w:p>
            <w:pPr>
              <w:spacing w:after="0"/>
              <w:rPr>
                <w:sz w:val="18"/>
                <w:szCs w:val="18"/>
                <w:color w:val="auto"/>
              </w:rPr>
            </w:pPr>
          </w:p>
        </w:tc>
        <w:tc>
          <w:tcPr>
            <w:tcW w:w="1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89"/>
              </w:rPr>
              <w:t>Commingled funds</w:t>
            </w:r>
          </w:p>
        </w:tc>
        <w:tc>
          <w:tcPr>
            <w:tcW w:w="200" w:type="dxa"/>
            <w:vAlign w:val="bottom"/>
            <w:shd w:val="clear" w:color="auto" w:fill="CCEEFF"/>
          </w:tcPr>
          <w:p>
            <w:pPr>
              <w:spacing w:after="0"/>
              <w:rPr>
                <w:sz w:val="18"/>
                <w:szCs w:val="18"/>
                <w:color w:val="auto"/>
              </w:rPr>
            </w:pPr>
          </w:p>
        </w:tc>
        <w:tc>
          <w:tcPr>
            <w:tcW w:w="76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held through</w:t>
            </w: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Putnam</w:t>
            </w: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CEEFF"/>
          </w:tcPr>
          <w:p>
            <w:pPr>
              <w:spacing w:after="0"/>
              <w:rPr>
                <w:sz w:val="19"/>
                <w:szCs w:val="19"/>
                <w:color w:val="auto"/>
              </w:rPr>
            </w:pPr>
          </w:p>
        </w:tc>
        <w:tc>
          <w:tcPr>
            <w:tcW w:w="7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*Putnam Stable Value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4,662,221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4,662,221</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*Putnam S&amp;P 500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2,987,527</w:t>
            </w:r>
          </w:p>
        </w:tc>
      </w:tr>
      <w:tr>
        <w:trPr>
          <w:trHeight w:val="208"/>
        </w:trPr>
        <w:tc>
          <w:tcPr>
            <w:tcW w:w="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w w:val="94"/>
              </w:rPr>
              <w:t>Mutual funds held</w:t>
            </w:r>
          </w:p>
        </w:tc>
        <w:tc>
          <w:tcPr>
            <w:tcW w:w="2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w w:val="88"/>
              </w:rPr>
              <w:t>through Putnam</w:t>
            </w:r>
          </w:p>
        </w:tc>
        <w:tc>
          <w:tcPr>
            <w:tcW w:w="20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color w:val="auto"/>
              </w:rPr>
              <w:t>Investments:</w:t>
            </w:r>
          </w:p>
        </w:tc>
        <w:tc>
          <w:tcPr>
            <w:tcW w:w="20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*The George Putnam Fund of Boston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156,200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2,799,100</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*Putnam International Equity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33,189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867,221</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Hotchkis &amp; Wiley Large Cap Value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848,849</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Victory Diversified Stock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16,492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279,375</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Ariel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411,113</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American Funds Growth Fund of America Class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53,035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1,617,559</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MSIF Small Company Growth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292,962</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Janus Mid Cap Value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27,153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606,050</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14,791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407,797</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Artisan Mid Cap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17,777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549,651</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Pimco Total Return Adm</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116,194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1,220,039</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Dodge &amp; Cox International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230,803</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Maturity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*Putnam Retirementready 2010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27,145</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2015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176,351</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*Putnam Retirementready 2020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42,515</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2025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84,202</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*Putnam Retirementready 2030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62,976</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2035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14,831</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*Putnam Retirementready 2040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58,753</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2045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54,405</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*Casual Male Retail Group, Inc – Common Stock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65,589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402,060</w:t>
            </w:r>
          </w:p>
        </w:tc>
      </w:tr>
      <w:tr>
        <w:trPr>
          <w:trHeight w:val="216"/>
        </w:trPr>
        <w:tc>
          <w:tcPr>
            <w:tcW w:w="20" w:type="dxa"/>
            <w:vAlign w:val="bottom"/>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*Participant loans</w:t>
            </w:r>
          </w:p>
        </w:tc>
        <w:tc>
          <w:tcPr>
            <w:tcW w:w="7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5.0% - 10.5%</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576,991</w:t>
            </w: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19,291,726</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Indicates party-in-interest to the Plan.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G, Part III – Schedule of Nonexempt Transactions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year ended December 31, 2005)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26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(a)</w:t>
            </w:r>
          </w:p>
        </w:tc>
        <w:tc>
          <w:tcPr>
            <w:tcW w:w="300" w:type="dxa"/>
            <w:vAlign w:val="bottom"/>
          </w:tcPr>
          <w:p>
            <w:pPr>
              <w:spacing w:after="0"/>
              <w:rPr>
                <w:sz w:val="14"/>
                <w:szCs w:val="14"/>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c>
          <w:tcPr>
            <w:tcW w:w="32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(e)</w:t>
            </w:r>
          </w:p>
        </w:tc>
        <w:tc>
          <w:tcPr>
            <w:tcW w:w="34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(f)</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(g)</w:t>
            </w:r>
          </w:p>
        </w:tc>
        <w:tc>
          <w:tcPr>
            <w:tcW w:w="3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(h)</w:t>
            </w:r>
          </w:p>
        </w:tc>
        <w:tc>
          <w:tcPr>
            <w:tcW w:w="3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w:t>
            </w:r>
          </w:p>
        </w:tc>
        <w:tc>
          <w:tcPr>
            <w:tcW w:w="3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w:t>
            </w:r>
          </w:p>
        </w:tc>
      </w:tr>
      <w:tr>
        <w:trPr>
          <w:trHeight w:val="136"/>
        </w:trPr>
        <w:tc>
          <w:tcPr>
            <w:tcW w:w="1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84"/>
              </w:rPr>
              <w:t>Description of</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79"/>
              </w:rPr>
              <w:t>Expenses</w:t>
            </w: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9"/>
        </w:trPr>
        <w:tc>
          <w:tcPr>
            <w:tcW w:w="1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w w:val="84"/>
              </w:rPr>
              <w:t>Relationship to</w:t>
            </w:r>
          </w:p>
        </w:tc>
        <w:tc>
          <w:tcPr>
            <w:tcW w:w="3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transactions including</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incurred in</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rPr>
              <w:t>Identity of</w:t>
            </w:r>
          </w:p>
        </w:tc>
        <w:tc>
          <w:tcPr>
            <w:tcW w:w="300" w:type="dxa"/>
            <w:vAlign w:val="bottom"/>
          </w:tcPr>
          <w:p>
            <w:pPr>
              <w:spacing w:after="0"/>
              <w:rPr>
                <w:sz w:val="12"/>
                <w:szCs w:val="12"/>
                <w:color w:val="auto"/>
              </w:rPr>
            </w:pPr>
          </w:p>
        </w:tc>
        <w:tc>
          <w:tcPr>
            <w:tcW w:w="88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plan, employer</w:t>
            </w:r>
          </w:p>
        </w:tc>
        <w:tc>
          <w:tcPr>
            <w:tcW w:w="3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maturity date, rate of</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connection</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Current</w:t>
            </w:r>
          </w:p>
        </w:tc>
        <w:tc>
          <w:tcPr>
            <w:tcW w:w="3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Net gain or (loss)</w:t>
            </w:r>
          </w:p>
        </w:tc>
      </w:tr>
      <w:tr>
        <w:trPr>
          <w:trHeight w:val="149"/>
        </w:trPr>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rPr>
              <w:t>party</w:t>
            </w:r>
          </w:p>
        </w:tc>
        <w:tc>
          <w:tcPr>
            <w:tcW w:w="300" w:type="dxa"/>
            <w:vAlign w:val="bottom"/>
          </w:tcPr>
          <w:p>
            <w:pPr>
              <w:spacing w:after="0"/>
              <w:rPr>
                <w:sz w:val="12"/>
                <w:szCs w:val="12"/>
                <w:color w:val="auto"/>
              </w:rPr>
            </w:pPr>
          </w:p>
        </w:tc>
        <w:tc>
          <w:tcPr>
            <w:tcW w:w="8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or other party-</w:t>
            </w:r>
          </w:p>
        </w:tc>
        <w:tc>
          <w:tcPr>
            <w:tcW w:w="300" w:type="dxa"/>
            <w:vAlign w:val="bottom"/>
          </w:tcPr>
          <w:p>
            <w:pPr>
              <w:spacing w:after="0"/>
              <w:rPr>
                <w:sz w:val="12"/>
                <w:szCs w:val="12"/>
                <w:color w:val="auto"/>
              </w:rPr>
            </w:pPr>
          </w:p>
        </w:tc>
        <w:tc>
          <w:tcPr>
            <w:tcW w:w="2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interest, collateral,</w:t>
            </w:r>
          </w:p>
        </w:tc>
        <w:tc>
          <w:tcPr>
            <w:tcW w:w="3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Purchase</w:t>
            </w:r>
          </w:p>
        </w:tc>
        <w:tc>
          <w:tcPr>
            <w:tcW w:w="32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Selling</w:t>
            </w:r>
          </w:p>
        </w:tc>
        <w:tc>
          <w:tcPr>
            <w:tcW w:w="34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Lease</w:t>
            </w:r>
          </w:p>
        </w:tc>
        <w:tc>
          <w:tcPr>
            <w:tcW w:w="3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with</w:t>
            </w:r>
          </w:p>
        </w:tc>
        <w:tc>
          <w:tcPr>
            <w:tcW w:w="3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Cost of</w:t>
            </w:r>
          </w:p>
        </w:tc>
        <w:tc>
          <w:tcPr>
            <w:tcW w:w="3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of</w:t>
            </w:r>
          </w:p>
        </w:tc>
        <w:tc>
          <w:tcPr>
            <w:tcW w:w="34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each</w:t>
            </w:r>
          </w:p>
        </w:tc>
      </w:tr>
      <w:tr>
        <w:trPr>
          <w:trHeight w:val="168"/>
        </w:trPr>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involved</w:t>
            </w:r>
          </w:p>
        </w:tc>
        <w:tc>
          <w:tcPr>
            <w:tcW w:w="300" w:type="dxa"/>
            <w:vAlign w:val="bottom"/>
          </w:tcPr>
          <w:p>
            <w:pPr>
              <w:spacing w:after="0"/>
              <w:rPr>
                <w:sz w:val="14"/>
                <w:szCs w:val="1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in-interest</w:t>
            </w:r>
          </w:p>
        </w:tc>
        <w:tc>
          <w:tcPr>
            <w:tcW w:w="300" w:type="dxa"/>
            <w:vAlign w:val="bottom"/>
          </w:tcPr>
          <w:p>
            <w:pPr>
              <w:spacing w:after="0"/>
              <w:rPr>
                <w:sz w:val="14"/>
                <w:szCs w:val="14"/>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 or maturity value</w:t>
            </w:r>
          </w:p>
        </w:tc>
        <w:tc>
          <w:tcPr>
            <w:tcW w:w="3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32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34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Rental</w:t>
            </w:r>
          </w:p>
        </w:tc>
        <w:tc>
          <w:tcPr>
            <w:tcW w:w="3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transaction</w:t>
            </w:r>
          </w:p>
        </w:tc>
        <w:tc>
          <w:tcPr>
            <w:tcW w:w="32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asset</w:t>
            </w:r>
          </w:p>
        </w:tc>
        <w:tc>
          <w:tcPr>
            <w:tcW w:w="3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8"/>
              </w:rPr>
              <w:t>asset</w:t>
            </w:r>
          </w:p>
        </w:tc>
        <w:tc>
          <w:tcPr>
            <w:tcW w:w="34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transaction</w:t>
            </w:r>
          </w:p>
        </w:tc>
      </w:tr>
      <w:tr>
        <w:trPr>
          <w:trHeight w:val="275"/>
        </w:trPr>
        <w:tc>
          <w:tcPr>
            <w:tcW w:w="1260" w:type="dxa"/>
            <w:vAlign w:val="bottom"/>
          </w:tcPr>
          <w:p>
            <w:pPr>
              <w:spacing w:after="0"/>
              <w:rPr>
                <w:sz w:val="20"/>
                <w:szCs w:val="20"/>
                <w:color w:val="auto"/>
              </w:rPr>
            </w:pPr>
            <w:r>
              <w:rPr>
                <w:rFonts w:ascii="Arial" w:cs="Arial" w:eastAsia="Arial" w:hAnsi="Arial"/>
                <w:sz w:val="18"/>
                <w:szCs w:val="18"/>
                <w:color w:val="auto"/>
              </w:rPr>
              <w:t>Casual Male</w:t>
            </w:r>
          </w:p>
        </w:tc>
        <w:tc>
          <w:tcPr>
            <w:tcW w:w="300" w:type="dxa"/>
            <w:vAlign w:val="bottom"/>
          </w:tcPr>
          <w:p>
            <w:pPr>
              <w:spacing w:after="0"/>
              <w:rPr>
                <w:sz w:val="23"/>
                <w:szCs w:val="23"/>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Plan</w:t>
            </w:r>
          </w:p>
        </w:tc>
        <w:tc>
          <w:tcPr>
            <w:tcW w:w="2840" w:type="dxa"/>
            <w:vAlign w:val="bottom"/>
            <w:gridSpan w:val="2"/>
          </w:tcPr>
          <w:p>
            <w:pPr>
              <w:ind w:left="300"/>
              <w:spacing w:after="0"/>
              <w:rPr>
                <w:sz w:val="20"/>
                <w:szCs w:val="20"/>
                <w:color w:val="auto"/>
              </w:rPr>
            </w:pPr>
            <w:r>
              <w:rPr>
                <w:rFonts w:ascii="Arial" w:cs="Arial" w:eastAsia="Arial" w:hAnsi="Arial"/>
                <w:sz w:val="18"/>
                <w:szCs w:val="18"/>
                <w:color w:val="auto"/>
              </w:rPr>
              <w:t>Participant contributions of</w:t>
            </w:r>
          </w:p>
        </w:tc>
        <w:tc>
          <w:tcPr>
            <w:tcW w:w="3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w w:val="91"/>
              </w:rPr>
              <w:t>Retail Group Inc.</w:t>
            </w:r>
          </w:p>
        </w:tc>
        <w:tc>
          <w:tcPr>
            <w:tcW w:w="30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Sponsor</w:t>
            </w:r>
          </w:p>
        </w:tc>
        <w:tc>
          <w:tcPr>
            <w:tcW w:w="2840" w:type="dxa"/>
            <w:vAlign w:val="bottom"/>
            <w:gridSpan w:val="2"/>
          </w:tcPr>
          <w:p>
            <w:pPr>
              <w:ind w:left="300"/>
              <w:spacing w:after="0"/>
              <w:rPr>
                <w:sz w:val="20"/>
                <w:szCs w:val="20"/>
                <w:color w:val="auto"/>
              </w:rPr>
            </w:pPr>
            <w:r>
              <w:rPr>
                <w:rFonts w:ascii="Arial" w:cs="Arial" w:eastAsia="Arial" w:hAnsi="Arial"/>
                <w:sz w:val="18"/>
                <w:szCs w:val="18"/>
                <w:color w:val="auto"/>
              </w:rPr>
              <w:t>$123,000 were not deposited</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1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4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with the custodian on a timely basis</w:t>
            </w: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65"/>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80" w:type="dxa"/>
            <w:vAlign w:val="bottom"/>
            <w:gridSpan w:val="2"/>
          </w:tcPr>
          <w:p>
            <w:pPr>
              <w:jc w:val="right"/>
              <w:ind w:right="292"/>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2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219"/>
          </w:cols>
          <w:pgMar w:left="240" w:top="45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 401(k) Salaried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Savings plan</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Dennis R. Hernreich, Executive Vice President, Chief</w:t>
      </w:r>
    </w:p>
    <w:p>
      <w:pPr>
        <w:spacing w:after="0" w:line="38" w:lineRule="exact"/>
        <w:rPr>
          <w:sz w:val="20"/>
          <w:szCs w:val="20"/>
          <w:color w:val="auto"/>
        </w:rPr>
      </w:pPr>
    </w:p>
    <w:p>
      <w:pPr>
        <w:ind w:left="7180"/>
        <w:spacing w:after="0"/>
        <w:rPr>
          <w:sz w:val="20"/>
          <w:szCs w:val="20"/>
          <w:color w:val="auto"/>
        </w:rPr>
      </w:pPr>
      <w:r>
        <w:rPr>
          <w:rFonts w:ascii="Arial" w:cs="Arial" w:eastAsia="Arial" w:hAnsi="Arial"/>
          <w:sz w:val="16"/>
          <w:szCs w:val="16"/>
          <w:color w:val="auto"/>
        </w:rPr>
        <w:t>Financial Officer, Chief Operating Officer of Casual Male</w:t>
      </w:r>
    </w:p>
    <w:p>
      <w:pPr>
        <w:spacing w:after="0" w:line="3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Retail Group, Inc., the Plan Administrator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June 23, 2006</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60"/>
          </w:cols>
          <w:pgMar w:left="240" w:top="459" w:right="39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Reg. No. 333-112218) pertaining to the Casual Male Retail Group, Inc. 401 (k) Salaried Savings Plan of Casual Male Retail Group, Inc of our report dated June 12, 2006, with respect to the financial statements and schedules of the Casual Male Retail Group, Inc. 401(k) Salaried Savings Plan included in this Annual Report on (Form 11-K) for the year ended December 31, 2005.</w:t>
      </w:r>
    </w:p>
    <w:p>
      <w:pPr>
        <w:spacing w:after="0" w:line="188"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/s/ Mahoney Cohen &amp; Company, CPA, P.C</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June 23, 2006</w:t>
      </w:r>
    </w:p>
    <w:p>
      <w:pPr>
        <w:sectPr>
          <w:pgSz w:w="11900" w:h="16838" w:orient="portrait"/>
          <w:cols w:equalWidth="0" w:num="1">
            <w:col w:w="11420"/>
          </w:cols>
          <w:pgMar w:left="240" w:top="125"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32.1</w:t>
      </w:r>
    </w:p>
    <w:p>
      <w:pPr>
        <w:spacing w:after="0" w:line="9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Salary Saving Plan (the “Plan”) for the period ending December 31, 2005, as filed with the Securities and Exchange Commission on the date hereof (the “Report”), I, Dennis R. Hernreich, Executive Vice President, Chief Financial Officer,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 Chief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Operating Officer of Casual Male Retail Group, Inc., the Plan</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23,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2019-12-20T17:47:23Z</dcterms:created>
  <dcterms:modified xsi:type="dcterms:W3CDTF">2019-12-20T17:47:23Z</dcterms:modified>
</cp:coreProperties>
</file>