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00"/>
        </w:trPr>
        <w:tc>
          <w:tcPr>
            <w:tcW w:w="4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64"/>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7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3.01 Notice of Delisting or Failure to Satisfy a Continued Listing Rule or Standard; Transfer of Listing.</w:t>
      </w:r>
    </w:p>
    <w:p>
      <w:pPr>
        <w:spacing w:after="0" w:line="32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On November 27, 2020, Destination XL Group, Inc. (the “Company”) received a letter (the “Notice”) from the Listing Qualifications staff of The Nasdaq Stock Market LLC (“Nasdaq”) notifying the Company that it is not in compliance with Nasdaq Listing Rule 5550(b)(1) based on information provided in the Company’s Quarterly Report on Form 10-Q for the quarter ended October 31, 2020, which reported that the Company’s stockholders’ equity of $1.1 million was below the $2.5 million minimum required for continued listing on the Nasdaq Capital Market (the “Stockholders’ Equity Requirement”).</w:t>
      </w:r>
    </w:p>
    <w:p>
      <w:pPr>
        <w:spacing w:after="0" w:line="3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Company has 45 calendar days from the date of the Notice to submit a plan to regain compliance with the Stockholders’ Equity Requirement. If the plan is accepted, Nasdaq may grant the Company an extension of up to 180 calendar days from the date of the Notice for the Company to regain compliance. If Nasdaq determines that such plan is not sufficient, the Company will have an opportunity to appeal the decision to a hearings panel.</w:t>
      </w:r>
    </w:p>
    <w:p>
      <w:pPr>
        <w:spacing w:after="0" w:line="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In addition, as previously announced, in April 2020, the Company received a letter from Nasdaq indicating that, based upon the closing bid price of the Company’s common stock for the last 30 consecutive business days, the Company no longer met the requirement to maintain a minimum consolidated closing bid price of $1.00 per share, as set forth in Nasdaq Listing Rule 5450(a)(1) (the “Minimum Bid Price Rule”). The Company was provided a period of 180 days to regain compliance with the Minimum Bid Price Rule, which period was tolled due to the COVID-19 pandemic and will end on December 21, 2020.</w:t>
      </w:r>
    </w:p>
    <w:p>
      <w:pPr>
        <w:spacing w:after="0" w:line="3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Notice has no immediate effect on the listing of the Company's common stock on the Nasdaq Capital Market.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4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December 3,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6985</wp:posOffset>
            </wp:positionV>
            <wp:extent cx="2922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jc w:val="center"/>
        <w:ind w:left="6560"/>
        <w:spacing w:after="0"/>
        <w:rPr>
          <w:sz w:val="20"/>
          <w:szCs w:val="20"/>
          <w:color w:val="auto"/>
        </w:rPr>
      </w:pPr>
      <w:r>
        <w:rPr>
          <w:rFonts w:ascii="Arial" w:cs="Arial" w:eastAsia="Arial" w:hAnsi="Arial"/>
          <w:sz w:val="14"/>
          <w:szCs w:val="14"/>
          <w:b w:val="1"/>
          <w:bCs w:val="1"/>
          <w:color w:val="auto"/>
        </w:rPr>
        <w:t>Robert S. Molloy</w:t>
      </w:r>
    </w:p>
    <w:p>
      <w:pPr>
        <w:jc w:val="center"/>
        <w:ind w:left="656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sectPr>
      <w:pgSz w:w="11900" w:h="16838" w:orient="portrait"/>
      <w:cols w:equalWidth="0" w:num="1">
        <w:col w:w="11160"/>
      </w:cols>
      <w:pgMar w:left="320" w:top="32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2020-12-03T15:36:02Z</dcterms:created>
  <dcterms:modified xsi:type="dcterms:W3CDTF">2020-12-03T15:36:02Z</dcterms:modified>
</cp:coreProperties>
</file>