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8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480" w:right="1020" w:hanging="3459"/>
        <w:spacing w:after="0" w:line="238" w:lineRule="auto"/>
        <w:tabs>
          <w:tab w:leader="none" w:pos="143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January 29, 2022 (Fiscal 2021)</w:t>
      </w:r>
    </w:p>
    <w:p>
      <w:pPr>
        <w:jc w:val="center"/>
        <w:spacing w:after="0" w:line="228" w:lineRule="auto"/>
        <w:rPr>
          <w:sz w:val="20"/>
          <w:szCs w:val="20"/>
          <w:color w:val="auto"/>
        </w:rPr>
      </w:pPr>
      <w:r>
        <w:rPr>
          <w:rFonts w:ascii="Arial" w:cs="Arial" w:eastAsia="Arial" w:hAnsi="Arial"/>
          <w:sz w:val="18"/>
          <w:szCs w:val="18"/>
          <w:b w:val="1"/>
          <w:bCs w:val="1"/>
          <w:color w:val="auto"/>
        </w:rPr>
        <w:t>OR</w:t>
      </w:r>
    </w:p>
    <w:p>
      <w:pPr>
        <w:ind w:left="820" w:hanging="799"/>
        <w:spacing w:after="0" w:line="211" w:lineRule="auto"/>
        <w:tabs>
          <w:tab w:leader="none" w:pos="8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w:t>
      </w:r>
    </w:p>
    <w:p>
      <w:pPr>
        <w:spacing w:after="0" w:line="1" w:lineRule="exact"/>
        <w:rPr>
          <w:sz w:val="24"/>
          <w:szCs w:val="24"/>
          <w:color w:val="auto"/>
        </w:rPr>
      </w:pPr>
    </w:p>
    <w:p>
      <w:pPr>
        <w:ind w:left="3520"/>
        <w:spacing w:after="0"/>
        <w:tabs>
          <w:tab w:leader="none" w:pos="696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308610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DESTINATION XL GROUP, INC.</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720" w:type="dxa"/>
            <w:vAlign w:val="bottom"/>
            <w:gridSpan w:val="2"/>
          </w:tcPr>
          <w:p>
            <w:pPr>
              <w:jc w:val="center"/>
              <w:ind w:left="720"/>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2"/>
          </w:tcPr>
          <w:p>
            <w:pPr>
              <w:jc w:val="right"/>
              <w:ind w:right="2239"/>
              <w:spacing w:after="0"/>
              <w:rPr>
                <w:sz w:val="20"/>
                <w:szCs w:val="20"/>
                <w:color w:val="auto"/>
              </w:rPr>
            </w:pPr>
            <w:r>
              <w:rPr>
                <w:rFonts w:ascii="Arial" w:cs="Arial" w:eastAsia="Arial" w:hAnsi="Arial"/>
                <w:sz w:val="18"/>
                <w:szCs w:val="18"/>
                <w:b w:val="1"/>
                <w:bCs w:val="1"/>
                <w:color w:val="auto"/>
              </w:rPr>
              <w:t>04-2623104</w:t>
            </w:r>
          </w:p>
        </w:tc>
      </w:tr>
      <w:tr>
        <w:trPr>
          <w:trHeight w:val="148"/>
        </w:trPr>
        <w:tc>
          <w:tcPr>
            <w:tcW w:w="4720" w:type="dxa"/>
            <w:vAlign w:val="bottom"/>
            <w:gridSpan w:val="2"/>
          </w:tcPr>
          <w:p>
            <w:pPr>
              <w:jc w:val="center"/>
              <w:ind w:left="7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80" w:type="dxa"/>
            <w:vAlign w:val="bottom"/>
            <w:gridSpan w:val="2"/>
          </w:tcPr>
          <w:p>
            <w:pPr>
              <w:jc w:val="center"/>
              <w:ind w:right="193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720" w:type="dxa"/>
            <w:vAlign w:val="bottom"/>
            <w:gridSpan w:val="2"/>
          </w:tcPr>
          <w:p>
            <w:pPr>
              <w:jc w:val="center"/>
              <w:ind w:left="720"/>
              <w:spacing w:after="0"/>
              <w:rPr>
                <w:sz w:val="20"/>
                <w:szCs w:val="20"/>
                <w:color w:val="auto"/>
              </w:rPr>
            </w:pPr>
            <w:r>
              <w:rPr>
                <w:rFonts w:ascii="Arial" w:cs="Arial" w:eastAsia="Arial" w:hAnsi="Arial"/>
                <w:sz w:val="14"/>
                <w:szCs w:val="14"/>
                <w:b w:val="1"/>
                <w:bCs w:val="1"/>
                <w:color w:val="auto"/>
                <w:w w:val="94"/>
              </w:rPr>
              <w:t>incorporation or organization)</w:t>
            </w: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gridSpan w:val="2"/>
          </w:tcPr>
          <w:p>
            <w:pPr>
              <w:jc w:val="center"/>
              <w:ind w:right="1939"/>
              <w:spacing w:after="0"/>
              <w:rPr>
                <w:sz w:val="20"/>
                <w:szCs w:val="20"/>
                <w:color w:val="auto"/>
              </w:rPr>
            </w:pPr>
            <w:r>
              <w:rPr>
                <w:rFonts w:ascii="Arial" w:cs="Arial" w:eastAsia="Arial" w:hAnsi="Arial"/>
                <w:sz w:val="14"/>
                <w:szCs w:val="14"/>
                <w:b w:val="1"/>
                <w:bCs w:val="1"/>
                <w:color w:val="auto"/>
                <w:w w:val="96"/>
              </w:rPr>
              <w:t>Identification No.)</w:t>
            </w:r>
          </w:p>
        </w:tc>
      </w:tr>
      <w:tr>
        <w:trPr>
          <w:trHeight w:val="286"/>
        </w:trPr>
        <w:tc>
          <w:tcPr>
            <w:tcW w:w="4720" w:type="dxa"/>
            <w:vAlign w:val="bottom"/>
            <w:gridSpan w:val="2"/>
          </w:tcPr>
          <w:p>
            <w:pPr>
              <w:jc w:val="center"/>
              <w:ind w:left="740"/>
              <w:spacing w:after="0"/>
              <w:rPr>
                <w:sz w:val="20"/>
                <w:szCs w:val="20"/>
                <w:color w:val="auto"/>
              </w:rPr>
            </w:pPr>
            <w:r>
              <w:rPr>
                <w:rFonts w:ascii="Arial" w:cs="Arial" w:eastAsia="Arial" w:hAnsi="Arial"/>
                <w:sz w:val="18"/>
                <w:szCs w:val="18"/>
                <w:b w:val="1"/>
                <w:bCs w:val="1"/>
                <w:color w:val="auto"/>
                <w:w w:val="93"/>
              </w:rPr>
              <w:t>555 Turnpike Street, Canton, MA</w:t>
            </w: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jc w:val="right"/>
              <w:ind w:right="2439"/>
              <w:spacing w:after="0"/>
              <w:rPr>
                <w:sz w:val="20"/>
                <w:szCs w:val="20"/>
                <w:color w:val="auto"/>
              </w:rPr>
            </w:pPr>
            <w:r>
              <w:rPr>
                <w:rFonts w:ascii="Arial" w:cs="Arial" w:eastAsia="Arial" w:hAnsi="Arial"/>
                <w:sz w:val="18"/>
                <w:szCs w:val="18"/>
                <w:b w:val="1"/>
                <w:bCs w:val="1"/>
                <w:color w:val="auto"/>
                <w:w w:val="91"/>
              </w:rPr>
              <w:t>02021</w:t>
            </w:r>
          </w:p>
        </w:tc>
      </w:tr>
      <w:tr>
        <w:trPr>
          <w:trHeight w:val="186"/>
        </w:trPr>
        <w:tc>
          <w:tcPr>
            <w:tcW w:w="4720" w:type="dxa"/>
            <w:vAlign w:val="bottom"/>
            <w:gridSpan w:val="2"/>
          </w:tcPr>
          <w:p>
            <w:pPr>
              <w:jc w:val="center"/>
              <w:ind w:left="7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gridSpan w:val="2"/>
          </w:tcPr>
          <w:p>
            <w:pPr>
              <w:jc w:val="center"/>
              <w:ind w:right="1939"/>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3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780" w:type="dxa"/>
            <w:vAlign w:val="bottom"/>
          </w:tcPr>
          <w:p>
            <w:pPr>
              <w:jc w:val="center"/>
              <w:ind w:right="939"/>
              <w:spacing w:after="0"/>
              <w:rPr>
                <w:sz w:val="20"/>
                <w:szCs w:val="20"/>
                <w:color w:val="auto"/>
              </w:rPr>
            </w:pPr>
            <w:r>
              <w:rPr>
                <w:rFonts w:ascii="Arial" w:cs="Arial" w:eastAsia="Arial" w:hAnsi="Arial"/>
                <w:sz w:val="18"/>
                <w:szCs w:val="18"/>
                <w:b w:val="1"/>
                <w:bCs w:val="1"/>
                <w:color w:val="auto"/>
                <w:w w:val="90"/>
              </w:rPr>
              <w:t>(781) 828-9300</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186"/>
        </w:trPr>
        <w:tc>
          <w:tcPr>
            <w:tcW w:w="3800" w:type="dxa"/>
            <w:vAlign w:val="bottom"/>
          </w:tcPr>
          <w:p>
            <w:pPr>
              <w:spacing w:after="0"/>
              <w:rPr>
                <w:sz w:val="16"/>
                <w:szCs w:val="16"/>
                <w:color w:val="auto"/>
              </w:rPr>
            </w:pPr>
          </w:p>
        </w:tc>
        <w:tc>
          <w:tcPr>
            <w:tcW w:w="39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265"/>
        </w:trPr>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Securities registered pursuant to Section 12(b) of the Act:</w:t>
            </w:r>
          </w:p>
        </w:tc>
        <w:tc>
          <w:tcPr>
            <w:tcW w:w="27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tcPr>
          <w:p>
            <w:pPr>
              <w:spacing w:after="0"/>
              <w:rPr>
                <w:sz w:val="23"/>
                <w:szCs w:val="23"/>
                <w:color w:val="auto"/>
              </w:rPr>
            </w:pPr>
          </w:p>
        </w:tc>
      </w:tr>
      <w:tr>
        <w:trPr>
          <w:trHeight w:val="236"/>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92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jc w:val="center"/>
              <w:ind w:right="899"/>
              <w:spacing w:after="0"/>
              <w:rPr>
                <w:sz w:val="20"/>
                <w:szCs w:val="20"/>
                <w:color w:val="auto"/>
              </w:rPr>
            </w:pPr>
            <w:r>
              <w:rPr>
                <w:rFonts w:ascii="Arial" w:cs="Arial" w:eastAsia="Arial" w:hAnsi="Arial"/>
                <w:sz w:val="14"/>
                <w:szCs w:val="14"/>
                <w:b w:val="1"/>
                <w:bCs w:val="1"/>
                <w:color w:val="auto"/>
                <w:w w:val="91"/>
              </w:rPr>
              <w:t>Trading Symbols(s)</w:t>
            </w:r>
          </w:p>
        </w:tc>
        <w:tc>
          <w:tcPr>
            <w:tcW w:w="260" w:type="dxa"/>
            <w:vAlign w:val="bottom"/>
            <w:tcBorders>
              <w:bottom w:val="single" w:sz="8" w:color="auto"/>
            </w:tcBorders>
          </w:tcPr>
          <w:p>
            <w:pPr>
              <w:spacing w:after="0"/>
              <w:rPr>
                <w:sz w:val="20"/>
                <w:szCs w:val="20"/>
                <w:color w:val="auto"/>
              </w:rPr>
            </w:pPr>
          </w:p>
        </w:tc>
        <w:tc>
          <w:tcPr>
            <w:tcW w:w="3480" w:type="dxa"/>
            <w:vAlign w:val="bottom"/>
            <w:tcBorders>
              <w:bottom w:val="single" w:sz="8" w:color="auto"/>
              <w:righ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92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auto"/>
              </w:rPr>
              <w:t>DXLG</w:t>
            </w: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The Nasdaq Stock Market LLC</w:t>
            </w:r>
          </w:p>
        </w:tc>
      </w:tr>
      <w:tr>
        <w:trPr>
          <w:trHeight w:val="723"/>
        </w:trPr>
        <w:tc>
          <w:tcPr>
            <w:tcW w:w="8240" w:type="dxa"/>
            <w:vAlign w:val="bottom"/>
            <w:gridSpan w:val="5"/>
          </w:tcPr>
          <w:p>
            <w:pPr>
              <w:ind w:left="3400"/>
              <w:spacing w:after="0"/>
              <w:rPr>
                <w:sz w:val="20"/>
                <w:szCs w:val="20"/>
                <w:color w:val="auto"/>
              </w:rPr>
            </w:pPr>
            <w:r>
              <w:rPr>
                <w:rFonts w:ascii="Arial" w:cs="Arial" w:eastAsia="Arial" w:hAnsi="Arial"/>
                <w:sz w:val="18"/>
                <w:szCs w:val="18"/>
                <w:b w:val="1"/>
                <w:bCs w:val="1"/>
                <w:color w:val="auto"/>
                <w:w w:val="97"/>
              </w:rPr>
              <w:t>Securities registered pursuant to Section 12(g) of the Act:</w:t>
            </w:r>
          </w:p>
        </w:tc>
        <w:tc>
          <w:tcPr>
            <w:tcW w:w="3000" w:type="dxa"/>
            <w:vAlign w:val="bottom"/>
          </w:tcPr>
          <w:p>
            <w:pPr>
              <w:spacing w:after="0"/>
              <w:rPr>
                <w:sz w:val="24"/>
                <w:szCs w:val="24"/>
                <w:color w:val="auto"/>
              </w:rPr>
            </w:pPr>
          </w:p>
        </w:tc>
      </w:tr>
      <w:tr>
        <w:trPr>
          <w:trHeight w:val="243"/>
        </w:trPr>
        <w:tc>
          <w:tcPr>
            <w:tcW w:w="3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4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87"/>
              </w:rPr>
              <w:t>None.</w:t>
            </w:r>
          </w:p>
        </w:tc>
        <w:tc>
          <w:tcPr>
            <w:tcW w:w="48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30"/>
        </w:trPr>
        <w:tc>
          <w:tcPr>
            <w:tcW w:w="776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80" w:type="dxa"/>
            <w:vAlign w:val="bottom"/>
          </w:tcPr>
          <w:p>
            <w:pPr>
              <w:ind w:left="2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30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4"/>
        </w:trPr>
        <w:tc>
          <w:tcPr>
            <w:tcW w:w="7760" w:type="dxa"/>
            <w:vAlign w:val="bottom"/>
            <w:gridSpan w:val="4"/>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6"/>
                <w:szCs w:val="16"/>
                <w:color w:val="auto"/>
              </w:rPr>
              <w:t>Yes</w:t>
            </w:r>
          </w:p>
        </w:tc>
        <w:tc>
          <w:tcPr>
            <w:tcW w:w="30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5" w:lineRule="exact"/>
        <w:rPr>
          <w:sz w:val="24"/>
          <w:szCs w:val="24"/>
          <w:color w:val="auto"/>
        </w:rPr>
      </w:pPr>
    </w:p>
    <w:p>
      <w:pPr>
        <w:jc w:val="both"/>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40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116" w:lineRule="exact"/>
        <w:rPr>
          <w:sz w:val="24"/>
          <w:szCs w:val="24"/>
          <w:color w:val="auto"/>
        </w:rPr>
      </w:pPr>
    </w:p>
    <w:tbl>
      <w:tblPr>
        <w:tblLayout w:type="fixed"/>
        <w:tblInd w:w="860" w:type="dxa"/>
        <w:tblCellMar>
          <w:top w:w="0" w:type="dxa"/>
          <w:left w:w="0" w:type="dxa"/>
          <w:bottom w:w="0" w:type="dxa"/>
          <w:right w:w="0" w:type="dxa"/>
        </w:tblCellMar>
      </w:tblP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2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8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2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8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ind w:left="8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firstLine="6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ind w:right="2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4" w:lineRule="exact"/>
        <w:tabs>
          <w:tab w:leader="none" w:pos="684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4" w:lineRule="exact"/>
        <w:rPr>
          <w:sz w:val="24"/>
          <w:szCs w:val="24"/>
          <w:color w:val="auto"/>
        </w:rPr>
      </w:pPr>
    </w:p>
    <w:p>
      <w:pPr>
        <w:ind w:right="180"/>
        <w:spacing w:after="0" w:line="225" w:lineRule="auto"/>
        <w:rPr>
          <w:sz w:val="20"/>
          <w:szCs w:val="20"/>
          <w:color w:val="auto"/>
        </w:rPr>
      </w:pPr>
      <w:r>
        <w:rPr>
          <w:rFonts w:ascii="Arial" w:cs="Arial" w:eastAsia="Arial" w:hAnsi="Arial"/>
          <w:sz w:val="16"/>
          <w:szCs w:val="16"/>
          <w:color w:val="auto"/>
        </w:rPr>
        <w:t>As of July 30, 2021, the aggregate market value of the Common Stock held by non-affiliates of the registrant was approximately $199.9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64,301,152 shares of Common Stock, $0.01 par value, outstanding as of March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Portions of the Proxy Statement for the 2022 Annual Meeting of Stockholders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178435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195580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259715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8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60" w:type="dxa"/>
            <w:vAlign w:val="bottom"/>
            <w:gridSpan w:val="19"/>
          </w:tcPr>
          <w:p>
            <w:pPr>
              <w:jc w:val="center"/>
              <w:ind w:right="3700"/>
              <w:spacing w:after="0"/>
              <w:rPr>
                <w:sz w:val="20"/>
                <w:szCs w:val="20"/>
                <w:color w:val="auto"/>
              </w:rPr>
            </w:pPr>
            <w:r>
              <w:rPr>
                <w:rFonts w:ascii="Arial" w:cs="Arial" w:eastAsia="Arial" w:hAnsi="Arial"/>
                <w:sz w:val="18"/>
                <w:szCs w:val="18"/>
                <w:b w:val="1"/>
                <w:bCs w:val="1"/>
                <w:color w:val="auto"/>
              </w:rPr>
              <w:t>DESTINATION XL GROUP, INC.</w:t>
            </w:r>
          </w:p>
        </w:tc>
        <w:tc>
          <w:tcPr>
            <w:tcW w:w="560" w:type="dxa"/>
            <w:vAlign w:val="bottom"/>
          </w:tcPr>
          <w:p>
            <w:pPr>
              <w:spacing w:after="0"/>
              <w:rPr>
                <w:sz w:val="20"/>
                <w:szCs w:val="20"/>
                <w:color w:val="auto"/>
              </w:rPr>
            </w:pPr>
          </w:p>
        </w:tc>
      </w:tr>
      <w:tr>
        <w:trPr>
          <w:trHeight w:val="202"/>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86"/>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760" w:type="dxa"/>
            <w:vAlign w:val="bottom"/>
            <w:gridSpan w:val="20"/>
          </w:tcPr>
          <w:p>
            <w:pPr>
              <w:jc w:val="center"/>
              <w:ind w:right="3400"/>
              <w:spacing w:after="0"/>
              <w:rPr>
                <w:sz w:val="20"/>
                <w:szCs w:val="20"/>
                <w:color w:val="auto"/>
              </w:rPr>
            </w:pPr>
            <w:r>
              <w:rPr>
                <w:rFonts w:ascii="Arial" w:cs="Arial" w:eastAsia="Arial" w:hAnsi="Arial"/>
                <w:sz w:val="18"/>
                <w:szCs w:val="18"/>
                <w:b w:val="1"/>
                <w:bCs w:val="1"/>
                <w:color w:val="auto"/>
                <w:w w:val="92"/>
              </w:rPr>
              <w:t>Index to Annual Report on Form 10-K</w:t>
            </w:r>
          </w:p>
        </w:tc>
        <w:tc>
          <w:tcPr>
            <w:tcW w:w="5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18"/>
          </w:tcPr>
          <w:p>
            <w:pPr>
              <w:jc w:val="center"/>
              <w:ind w:right="3860"/>
              <w:spacing w:after="0"/>
              <w:rPr>
                <w:sz w:val="20"/>
                <w:szCs w:val="20"/>
                <w:color w:val="auto"/>
              </w:rPr>
            </w:pPr>
            <w:r>
              <w:rPr>
                <w:rFonts w:ascii="Arial" w:cs="Arial" w:eastAsia="Arial" w:hAnsi="Arial"/>
                <w:sz w:val="18"/>
                <w:szCs w:val="18"/>
                <w:b w:val="1"/>
                <w:bCs w:val="1"/>
                <w:color w:val="auto"/>
                <w:w w:val="91"/>
              </w:rPr>
              <w:t>Year Ended January 29, 2022</w:t>
            </w:r>
          </w:p>
        </w:tc>
        <w:tc>
          <w:tcPr>
            <w:tcW w:w="560" w:type="dxa"/>
            <w:vAlign w:val="bottom"/>
          </w:tcPr>
          <w:p>
            <w:pPr>
              <w:spacing w:after="0"/>
              <w:rPr>
                <w:sz w:val="20"/>
                <w:szCs w:val="20"/>
                <w:color w:val="auto"/>
              </w:rPr>
            </w:pPr>
          </w:p>
        </w:tc>
      </w:tr>
      <w:tr>
        <w:trPr>
          <w:trHeight w:val="351"/>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64"/>
        </w:trPr>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60" w:type="dxa"/>
            <w:vAlign w:val="bottom"/>
            <w:gridSpan w:val="12"/>
          </w:tcPr>
          <w:p>
            <w:pPr>
              <w:jc w:val="center"/>
              <w:ind w:right="4580"/>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560" w:type="dxa"/>
            <w:vAlign w:val="bottom"/>
          </w:tcPr>
          <w:p>
            <w:pPr>
              <w:spacing w:after="0"/>
              <w:rPr>
                <w:sz w:val="22"/>
                <w:szCs w:val="22"/>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1.</w:t>
            </w:r>
          </w:p>
        </w:tc>
        <w:tc>
          <w:tcPr>
            <w:tcW w:w="446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80" w:type="dxa"/>
            <w:vAlign w:val="bottom"/>
            <w:tcBorders>
              <w:top w:val="single" w:sz="8" w:color="0000FF"/>
            </w:tcBorders>
            <w:gridSpan w:val="2"/>
          </w:tcPr>
          <w:p>
            <w:pPr>
              <w:spacing w:after="0"/>
              <w:rPr>
                <w:sz w:val="24"/>
                <w:szCs w:val="24"/>
                <w:color w:val="auto"/>
              </w:rPr>
            </w:pPr>
          </w:p>
        </w:tc>
        <w:tc>
          <w:tcPr>
            <w:tcW w:w="458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1A.</w:t>
            </w:r>
          </w:p>
        </w:tc>
        <w:tc>
          <w:tcPr>
            <w:tcW w:w="9620" w:type="dxa"/>
            <w:vAlign w:val="bottom"/>
            <w:gridSpan w:val="31"/>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0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1B.</w:t>
            </w:r>
          </w:p>
        </w:tc>
        <w:tc>
          <w:tcPr>
            <w:tcW w:w="9620" w:type="dxa"/>
            <w:vAlign w:val="bottom"/>
            <w:gridSpan w:val="31"/>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Unresolved Staff Comments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FF"/>
                <w:w w:val="87"/>
              </w:rPr>
            </w:pPr>
            <w:hyperlink w:anchor="page20">
              <w:r>
                <w:rPr>
                  <w:rFonts w:ascii="Arial" w:cs="Arial" w:eastAsia="Arial" w:hAnsi="Arial"/>
                  <w:sz w:val="18"/>
                  <w:szCs w:val="18"/>
                  <w:color w:val="0000FF"/>
                  <w:w w:val="87"/>
                </w:rPr>
                <w:t>Properties</w:t>
              </w:r>
            </w:hyperlink>
          </w:p>
        </w:tc>
        <w:tc>
          <w:tcPr>
            <w:tcW w:w="1300" w:type="dxa"/>
            <w:vAlign w:val="bottom"/>
            <w:tcBorders>
              <w:top w:val="single" w:sz="8" w:color="0000EE"/>
            </w:tcBorders>
            <w:gridSpan w:val="8"/>
          </w:tcPr>
          <w:p>
            <w:pPr>
              <w:spacing w:after="0"/>
              <w:rPr>
                <w:sz w:val="24"/>
                <w:szCs w:val="24"/>
                <w:color w:val="auto"/>
              </w:rPr>
            </w:pPr>
          </w:p>
        </w:tc>
        <w:tc>
          <w:tcPr>
            <w:tcW w:w="7580" w:type="dxa"/>
            <w:vAlign w:val="bottom"/>
            <w:gridSpan w:val="2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FF"/>
                <w:w w:val="88"/>
              </w:rPr>
            </w:pPr>
            <w:hyperlink w:anchor="page21">
              <w:r>
                <w:rPr>
                  <w:rFonts w:ascii="Arial" w:cs="Arial" w:eastAsia="Arial" w:hAnsi="Arial"/>
                  <w:sz w:val="18"/>
                  <w:szCs w:val="18"/>
                  <w:color w:val="0000FF"/>
                  <w:w w:val="88"/>
                </w:rPr>
                <w:t>Legal Proceedings</w:t>
              </w:r>
            </w:hyperlink>
          </w:p>
        </w:tc>
        <w:tc>
          <w:tcPr>
            <w:tcW w:w="8280" w:type="dxa"/>
            <w:vAlign w:val="bottom"/>
            <w:gridSpan w:val="2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4.</w:t>
            </w:r>
          </w:p>
        </w:tc>
        <w:tc>
          <w:tcPr>
            <w:tcW w:w="9620" w:type="dxa"/>
            <w:vAlign w:val="bottom"/>
            <w:gridSpan w:val="31"/>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3"/>
          </w:tcPr>
          <w:p>
            <w:pPr>
              <w:jc w:val="center"/>
              <w:ind w:right="4540"/>
              <w:spacing w:after="0"/>
              <w:rPr>
                <w:rFonts w:ascii="Arial" w:cs="Arial" w:eastAsia="Arial" w:hAnsi="Arial"/>
                <w:sz w:val="18"/>
                <w:szCs w:val="18"/>
                <w:b w:val="1"/>
                <w:bCs w:val="1"/>
                <w:color w:val="0000FF"/>
                <w:w w:val="99"/>
              </w:rPr>
            </w:pPr>
            <w:hyperlink w:anchor="page22">
              <w:r>
                <w:rPr>
                  <w:rFonts w:ascii="Arial" w:cs="Arial" w:eastAsia="Arial" w:hAnsi="Arial"/>
                  <w:sz w:val="18"/>
                  <w:szCs w:val="18"/>
                  <w:b w:val="1"/>
                  <w:bCs w:val="1"/>
                  <w:color w:val="0000FF"/>
                  <w:w w:val="99"/>
                </w:rPr>
                <w:t>PART II</w:t>
              </w:r>
            </w:hyperlink>
          </w:p>
        </w:tc>
        <w:tc>
          <w:tcPr>
            <w:tcW w:w="56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30"/>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Item 6.</w:t>
            </w:r>
          </w:p>
        </w:tc>
        <w:tc>
          <w:tcPr>
            <w:tcW w:w="9620" w:type="dxa"/>
            <w:vAlign w:val="bottom"/>
            <w:gridSpan w:val="31"/>
          </w:tcPr>
          <w:p>
            <w:pPr>
              <w:spacing w:after="0"/>
              <w:rPr>
                <w:sz w:val="20"/>
                <w:szCs w:val="20"/>
                <w:color w:val="auto"/>
              </w:rPr>
            </w:pPr>
            <w:r>
              <w:rPr>
                <w:rFonts w:ascii="Arial" w:cs="Arial" w:eastAsia="Arial" w:hAnsi="Arial"/>
                <w:sz w:val="18"/>
                <w:szCs w:val="18"/>
                <w:color w:val="0000FF"/>
              </w:rPr>
              <w:t>Reserved</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6"/>
        </w:trPr>
        <w:tc>
          <w:tcPr>
            <w:tcW w:w="1060" w:type="dxa"/>
            <w:vAlign w:val="bottom"/>
          </w:tcPr>
          <w:p>
            <w:pPr>
              <w:ind w:left="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7"/>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3160" w:type="dxa"/>
            <w:vAlign w:val="bottom"/>
            <w:gridSpan w:val="4"/>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Quantitative and Qualitative Disclosures About Market Risk</w:t>
              </w:r>
            </w:hyperlink>
          </w:p>
        </w:tc>
        <w:tc>
          <w:tcPr>
            <w:tcW w:w="526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8.</w:t>
            </w:r>
          </w:p>
        </w:tc>
        <w:tc>
          <w:tcPr>
            <w:tcW w:w="9620" w:type="dxa"/>
            <w:vAlign w:val="bottom"/>
            <w:gridSpan w:val="3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Financial Statements and Supplementary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8"/>
          </w:tcPr>
          <w:p>
            <w:pPr>
              <w:spacing w:after="0"/>
              <w:rPr>
                <w:rFonts w:ascii="Arial" w:cs="Arial" w:eastAsia="Arial" w:hAnsi="Arial"/>
                <w:sz w:val="18"/>
                <w:szCs w:val="18"/>
                <w:color w:val="0000FF"/>
                <w:w w:val="90"/>
              </w:rPr>
            </w:pPr>
            <w:hyperlink w:anchor="page61">
              <w:r>
                <w:rPr>
                  <w:rFonts w:ascii="Arial" w:cs="Arial" w:eastAsia="Arial" w:hAnsi="Arial"/>
                  <w:sz w:val="18"/>
                  <w:szCs w:val="18"/>
                  <w:color w:val="0000FF"/>
                  <w:w w:val="90"/>
                </w:rPr>
                <w:t>Changes in and Disagreements with Accountants on Accounting and Financial Disclosure</w:t>
              </w:r>
            </w:hyperlink>
          </w:p>
        </w:tc>
        <w:tc>
          <w:tcPr>
            <w:tcW w:w="31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9A.</w:t>
            </w:r>
          </w:p>
        </w:tc>
        <w:tc>
          <w:tcPr>
            <w:tcW w:w="9620" w:type="dxa"/>
            <w:vAlign w:val="bottom"/>
            <w:gridSpan w:val="31"/>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FF"/>
                <w:w w:val="92"/>
              </w:rPr>
            </w:pPr>
            <w:hyperlink w:anchor="page63">
              <w:r>
                <w:rPr>
                  <w:rFonts w:ascii="Arial" w:cs="Arial" w:eastAsia="Arial" w:hAnsi="Arial"/>
                  <w:sz w:val="18"/>
                  <w:szCs w:val="18"/>
                  <w:color w:val="0000FF"/>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860" w:type="dxa"/>
            <w:vAlign w:val="bottom"/>
            <w:gridSpan w:val="2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EE"/>
            </w:tcBorders>
            <w:gridSpan w:val="20"/>
          </w:tcPr>
          <w:p>
            <w:pPr>
              <w:spacing w:after="0"/>
              <w:rPr>
                <w:rFonts w:ascii="Arial" w:cs="Arial" w:eastAsia="Arial" w:hAnsi="Arial"/>
                <w:sz w:val="18"/>
                <w:szCs w:val="18"/>
                <w:color w:val="0000FF"/>
                <w:w w:val="90"/>
              </w:rPr>
            </w:pPr>
            <w:hyperlink w:anchor="page63">
              <w:r>
                <w:rPr>
                  <w:rFonts w:ascii="Arial" w:cs="Arial" w:eastAsia="Arial" w:hAnsi="Arial"/>
                  <w:sz w:val="18"/>
                  <w:szCs w:val="18"/>
                  <w:color w:val="0000FF"/>
                  <w:w w:val="90"/>
                </w:rPr>
                <w:t>Disclosure Regarding Foreign Jurisdictions that Prevent Inspections</w:t>
              </w:r>
            </w:hyperlink>
          </w:p>
        </w:tc>
        <w:tc>
          <w:tcPr>
            <w:tcW w:w="472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7"/>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gridSpan w:val="15"/>
          </w:tcPr>
          <w:p>
            <w:pPr>
              <w:jc w:val="center"/>
              <w:ind w:right="4460"/>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PART III</w:t>
              </w:r>
            </w:hyperlink>
          </w:p>
        </w:tc>
        <w:tc>
          <w:tcPr>
            <w:tcW w:w="560" w:type="dxa"/>
            <w:vAlign w:val="bottom"/>
          </w:tcPr>
          <w:p>
            <w:pPr>
              <w:spacing w:after="0"/>
              <w:rPr>
                <w:sz w:val="24"/>
                <w:szCs w:val="24"/>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rPr>
                <w:rFonts w:ascii="Arial" w:cs="Arial" w:eastAsia="Arial" w:hAnsi="Arial"/>
                <w:sz w:val="18"/>
                <w:szCs w:val="18"/>
                <w:color w:val="0000FF"/>
                <w:w w:val="90"/>
              </w:rPr>
            </w:pPr>
            <w:hyperlink w:anchor="page64">
              <w:r>
                <w:rPr>
                  <w:rFonts w:ascii="Arial" w:cs="Arial" w:eastAsia="Arial" w:hAnsi="Arial"/>
                  <w:sz w:val="18"/>
                  <w:szCs w:val="18"/>
                  <w:color w:val="0000FF"/>
                  <w:w w:val="90"/>
                </w:rPr>
                <w:t>Directors, Executive Officers and Corporate Governance</w:t>
              </w:r>
            </w:hyperlink>
          </w:p>
        </w:tc>
        <w:tc>
          <w:tcPr>
            <w:tcW w:w="300" w:type="dxa"/>
            <w:vAlign w:val="bottom"/>
            <w:gridSpan w:val="2"/>
          </w:tcPr>
          <w:p>
            <w:pPr>
              <w:spacing w:after="0"/>
              <w:rPr>
                <w:sz w:val="24"/>
                <w:szCs w:val="24"/>
                <w:color w:val="auto"/>
              </w:rPr>
            </w:pPr>
          </w:p>
        </w:tc>
        <w:tc>
          <w:tcPr>
            <w:tcW w:w="740" w:type="dxa"/>
            <w:vAlign w:val="bottom"/>
            <w:tcBorders>
              <w:top w:val="single" w:sz="8" w:color="0000FF"/>
            </w:tcBorders>
            <w:gridSpan w:val="7"/>
          </w:tcPr>
          <w:p>
            <w:pPr>
              <w:spacing w:after="0"/>
              <w:rPr>
                <w:sz w:val="24"/>
                <w:szCs w:val="24"/>
                <w:color w:val="auto"/>
              </w:rPr>
            </w:pPr>
          </w:p>
        </w:tc>
        <w:tc>
          <w:tcPr>
            <w:tcW w:w="44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11.</w:t>
            </w:r>
          </w:p>
        </w:tc>
        <w:tc>
          <w:tcPr>
            <w:tcW w:w="9620" w:type="dxa"/>
            <w:vAlign w:val="bottom"/>
            <w:gridSpan w:val="31"/>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Executive Compensation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9"/>
          </w:tcPr>
          <w:p>
            <w:pPr>
              <w:spacing w:after="0"/>
              <w:rPr>
                <w:rFonts w:ascii="Arial" w:cs="Arial" w:eastAsia="Arial" w:hAnsi="Arial"/>
                <w:sz w:val="18"/>
                <w:szCs w:val="18"/>
                <w:color w:val="0000FF"/>
                <w:w w:val="90"/>
              </w:rPr>
            </w:pPr>
            <w:hyperlink w:anchor="page64">
              <w:r>
                <w:rPr>
                  <w:rFonts w:ascii="Arial" w:cs="Arial" w:eastAsia="Arial" w:hAnsi="Arial"/>
                  <w:sz w:val="18"/>
                  <w:szCs w:val="18"/>
                  <w:color w:val="0000FF"/>
                  <w:w w:val="90"/>
                </w:rPr>
                <w:t>Security Ownership of Certain Beneficial Owners and Management and Related Stockholder Matters</w:t>
              </w:r>
            </w:hyperlink>
          </w:p>
        </w:tc>
        <w:tc>
          <w:tcPr>
            <w:tcW w:w="23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6"/>
          </w:tcPr>
          <w:p>
            <w:pP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Certain Relationships and Related Transactions, and Director Independence</w:t>
              </w:r>
            </w:hyperlink>
          </w:p>
        </w:tc>
        <w:tc>
          <w:tcPr>
            <w:tcW w:w="416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14.</w:t>
            </w:r>
          </w:p>
        </w:tc>
        <w:tc>
          <w:tcPr>
            <w:tcW w:w="9620" w:type="dxa"/>
            <w:vAlign w:val="bottom"/>
            <w:gridSpan w:val="31"/>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7"/>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14"/>
          </w:tcPr>
          <w:p>
            <w:pPr>
              <w:jc w:val="center"/>
              <w:ind w:right="4500"/>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PART IV</w:t>
              </w:r>
            </w:hyperlink>
          </w:p>
        </w:tc>
        <w:tc>
          <w:tcPr>
            <w:tcW w:w="560" w:type="dxa"/>
            <w:vAlign w:val="bottom"/>
          </w:tcPr>
          <w:p>
            <w:pPr>
              <w:spacing w:after="0"/>
              <w:rPr>
                <w:sz w:val="24"/>
                <w:szCs w:val="24"/>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Exhibits and Financial Statement Schedules</w:t>
              </w:r>
            </w:hyperlink>
          </w:p>
        </w:tc>
        <w:tc>
          <w:tcPr>
            <w:tcW w:w="1280" w:type="dxa"/>
            <w:vAlign w:val="bottom"/>
            <w:gridSpan w:val="6"/>
          </w:tcPr>
          <w:p>
            <w:pPr>
              <w:spacing w:after="0"/>
              <w:rPr>
                <w:sz w:val="24"/>
                <w:szCs w:val="24"/>
                <w:color w:val="auto"/>
              </w:rPr>
            </w:pPr>
          </w:p>
        </w:tc>
        <w:tc>
          <w:tcPr>
            <w:tcW w:w="680" w:type="dxa"/>
            <w:vAlign w:val="bottom"/>
            <w:tcBorders>
              <w:top w:val="single" w:sz="8" w:color="0000FF"/>
            </w:tcBorders>
            <w:gridSpan w:val="5"/>
          </w:tcPr>
          <w:p>
            <w:pPr>
              <w:spacing w:after="0"/>
              <w:rPr>
                <w:sz w:val="24"/>
                <w:szCs w:val="24"/>
                <w:color w:val="auto"/>
              </w:rPr>
            </w:pPr>
          </w:p>
        </w:tc>
        <w:tc>
          <w:tcPr>
            <w:tcW w:w="450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45"/>
        </w:trPr>
        <w:tc>
          <w:tcPr>
            <w:tcW w:w="1060" w:type="dxa"/>
            <w:vAlign w:val="bottom"/>
          </w:tcPr>
          <w:p>
            <w:pPr>
              <w:ind w:left="20"/>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EE"/>
            </w:tcBorders>
            <w:gridSpan w:val="7"/>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Form 10-K Summary</w:t>
              </w:r>
            </w:hyperlink>
          </w:p>
        </w:tc>
        <w:tc>
          <w:tcPr>
            <w:tcW w:w="8060" w:type="dxa"/>
            <w:vAlign w:val="bottom"/>
            <w:gridSpan w:val="2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7"/>
        </w:trPr>
        <w:tc>
          <w:tcPr>
            <w:tcW w:w="1060" w:type="dxa"/>
            <w:vAlign w:val="bottom"/>
          </w:tcPr>
          <w:p>
            <w:pPr>
              <w:spacing w:after="0"/>
              <w:rPr>
                <w:sz w:val="24"/>
                <w:szCs w:val="24"/>
                <w:color w:val="auto"/>
              </w:rPr>
            </w:pPr>
          </w:p>
        </w:tc>
        <w:tc>
          <w:tcPr>
            <w:tcW w:w="9620" w:type="dxa"/>
            <w:vAlign w:val="bottom"/>
            <w:gridSpan w:val="31"/>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668"/>
        </w:trPr>
        <w:tc>
          <w:tcPr>
            <w:tcW w:w="10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140" w:type="dxa"/>
            <w:vAlign w:val="bottom"/>
            <w:gridSpan w:val="17"/>
          </w:tcPr>
          <w:p>
            <w:pPr>
              <w:jc w:val="right"/>
              <w:ind w:right="2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10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the continuing impact of the coronavirus pandemic and its variants on the Company’s business in fiscal 2022, particularly related to the continued impact from disruptions in the supply chain and inflationary pressures, the ability to manage its gross margin rate and inventory, and the geopolitical instability from Russia's invasion of Ukraine.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the execution of our corporate strategy and ability to grow our market share, and those risks and uncertainties set forth below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Readers are encouraged to review these risks and uncertainties carefully.</w:t>
      </w:r>
    </w:p>
    <w:p>
      <w:pPr>
        <w:spacing w:after="0" w:line="185"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our Business in Fiscal 2021</w:t>
      </w:r>
    </w:p>
    <w:p>
      <w:pPr>
        <w:spacing w:after="0" w:line="20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 xml:space="preserve">The COVID-19 pandemic and its variants continued to impact our business and results of operations in fiscal 2021. While we saw significant improvement in our business from fiscal 2020, substantial uncertainty remains regarding the duration of the pandemic, the potential impact of new variants, continued disruptions in the supply chain, labor shortages and the long-term effect of the pandemic on the global economy, and overall consumer demand and spending. The Company has included discussion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under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with regards to the impact of the COVID-19 pandemic on its financial results in fiscal 2021 and the continued risks</w:t>
      </w:r>
      <w:r>
        <w:rPr>
          <w:rFonts w:ascii="Arial" w:cs="Arial" w:eastAsia="Arial" w:hAnsi="Arial"/>
          <w:sz w:val="18"/>
          <w:szCs w:val="18"/>
          <w:i w:val="1"/>
          <w:iCs w:val="1"/>
          <w:color w:val="auto"/>
        </w:rPr>
        <w:t xml:space="preserve"> </w:t>
      </w:r>
      <w:r>
        <w:rPr>
          <w:rFonts w:ascii="Arial" w:cs="Arial" w:eastAsia="Arial" w:hAnsi="Arial"/>
          <w:sz w:val="18"/>
          <w:szCs w:val="18"/>
          <w:color w:val="auto"/>
        </w:rPr>
        <w:t>that COVID-19 may have on our financial results for fiscal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4" w:lineRule="exact"/>
        <w:rPr>
          <w:sz w:val="20"/>
          <w:szCs w:val="20"/>
          <w:color w:val="auto"/>
        </w:rPr>
      </w:pPr>
    </w:p>
    <w:p>
      <w:pPr>
        <w:ind w:right="40"/>
        <w:spacing w:after="0" w:line="206" w:lineRule="auto"/>
        <w:rPr>
          <w:sz w:val="20"/>
          <w:szCs w:val="20"/>
          <w:color w:val="auto"/>
        </w:rPr>
      </w:pPr>
      <w:r>
        <w:rPr>
          <w:rFonts w:ascii="Arial" w:cs="Arial" w:eastAsia="Arial" w:hAnsi="Arial"/>
          <w:sz w:val="18"/>
          <w:szCs w:val="18"/>
          <w:color w:val="auto"/>
        </w:rPr>
        <w:t>Destination XL Group, Inc., together with its subsidiaries (the “Company”), is the leading specialty retailer of big &amp; tall men’s apparel with retail locations throughout the United States. We operate under the trade names of Destination XL</w:t>
      </w:r>
      <w:r>
        <w:rPr>
          <w:rFonts w:ascii="Arial" w:cs="Arial" w:eastAsia="Arial" w:hAnsi="Arial"/>
          <w:sz w:val="24"/>
          <w:szCs w:val="24"/>
          <w:color w:val="auto"/>
          <w:vertAlign w:val="superscript"/>
        </w:rPr>
        <w:t>®</w:t>
      </w:r>
      <w:r>
        <w:rPr>
          <w:rFonts w:ascii="Arial" w:cs="Arial" w:eastAsia="Arial" w:hAnsi="Arial"/>
          <w:sz w:val="18"/>
          <w:szCs w:val="18"/>
          <w:color w:val="auto"/>
        </w:rPr>
        <w:t>, DXL</w:t>
      </w:r>
      <w:r>
        <w:rPr>
          <w:rFonts w:ascii="Arial" w:cs="Arial" w:eastAsia="Arial" w:hAnsi="Arial"/>
          <w:sz w:val="24"/>
          <w:szCs w:val="24"/>
          <w:color w:val="auto"/>
          <w:vertAlign w:val="superscript"/>
        </w:rPr>
        <w:t>®</w:t>
      </w:r>
      <w:r>
        <w:rPr>
          <w:rFonts w:ascii="Arial" w:cs="Arial" w:eastAsia="Arial" w:hAnsi="Arial"/>
          <w:sz w:val="18"/>
          <w:szCs w:val="18"/>
          <w:color w:val="auto"/>
        </w:rPr>
        <w:t>, DXL Men’s Apparel, DXL outlets, Casual Male XL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Casual Male XL outlets. At January 29, 2022, we operated 220 DXL retail stores, 16 DXL outlet stores, 35 Casual Male XL retail stores, 19 Casual Male XL outlet stores, and a digital business, including an e-commerce site at </w:t>
      </w:r>
      <w:r>
        <w:rPr>
          <w:rFonts w:ascii="Arial" w:cs="Arial" w:eastAsia="Arial" w:hAnsi="Arial"/>
          <w:sz w:val="18"/>
          <w:szCs w:val="18"/>
          <w:i w:val="1"/>
          <w:iCs w:val="1"/>
          <w:color w:val="auto"/>
        </w:rPr>
        <w:t>www.dxl.com,</w:t>
      </w:r>
      <w:r>
        <w:rPr>
          <w:rFonts w:ascii="Arial" w:cs="Arial" w:eastAsia="Arial" w:hAnsi="Arial"/>
          <w:sz w:val="18"/>
          <w:szCs w:val="18"/>
          <w:color w:val="auto"/>
        </w:rPr>
        <w:t xml:space="preserve"> a mobile site </w:t>
      </w:r>
      <w:r>
        <w:rPr>
          <w:rFonts w:ascii="Arial" w:cs="Arial" w:eastAsia="Arial" w:hAnsi="Arial"/>
          <w:sz w:val="18"/>
          <w:szCs w:val="18"/>
          <w:i w:val="1"/>
          <w:iCs w:val="1"/>
          <w:color w:val="auto"/>
        </w:rPr>
        <w:t>m.destinationXL.com</w:t>
      </w:r>
      <w:r>
        <w:rPr>
          <w:rFonts w:ascii="Arial" w:cs="Arial" w:eastAsia="Arial" w:hAnsi="Arial"/>
          <w:sz w:val="18"/>
          <w:szCs w:val="18"/>
          <w:color w:val="auto"/>
        </w:rPr>
        <w:t xml:space="preserve"> and mobile app. Unless the context indicates otherwise, all references to “we,” “our,” “ours,” “us” and “the Company” refer to Destination XL Group, Inc. and our consolidated subsidiaries. We refer to our fiscal years ended January 29, 2022, January 30, 2021 and February 1, 2020 as “fiscal 2021,” “fiscal 2020” and “fiscal 2019,” respectively.</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INDUSTRY</w:t>
      </w:r>
    </w:p>
    <w:p>
      <w:pPr>
        <w:spacing w:after="0" w:line="104"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We define the big &amp; tall men’s clothing market as starting at a waist size of 38” and greater, as well as tops sized 1XL and greater. Growth in this segment historically has been driven by rapidly changing market demographics. We believe that we can increase our market share by catering to the broader target market, attracting customers from various income, age and lifestyle segments and offering the widest selection of sizes and styles that fit well.</w:t>
      </w:r>
    </w:p>
    <w:p>
      <w:pPr>
        <w:spacing w:after="0" w:line="3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believe the total core addressable market for big &amp; tall men’s clothing and shoes is approximately $10 billion. We determined this core market, defined as sizes XXL+ and waist sizes 42”+, with assistance from The NPD Group.</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HISTORY</w:t>
      </w:r>
    </w:p>
    <w:p>
      <w:pPr>
        <w:spacing w:after="0" w:line="10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Our Company was incorporated in the State of Delaware in 1976 under the name "Kara Enterprises, Inc." and subsequently did business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 In fiscal 2004, we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 w:name="page5"/>
    <w:bookmarkEnd w:id="4"/>
    <w:p>
      <w:pPr>
        <w:ind w:right="180"/>
        <w:spacing w:after="0" w:line="261" w:lineRule="auto"/>
        <w:rPr>
          <w:sz w:val="20"/>
          <w:szCs w:val="20"/>
          <w:color w:val="auto"/>
        </w:rPr>
      </w:pPr>
      <w:r>
        <w:rPr>
          <w:rFonts w:ascii="Arial" w:cs="Arial" w:eastAsia="Arial" w:hAnsi="Arial"/>
          <w:sz w:val="18"/>
          <w:szCs w:val="18"/>
          <w:color w:val="auto"/>
        </w:rPr>
        <w:t>acquired the Rochester Clothing stores. Through fiscal 2010, we catered to customers through our three store formats, from our value-oriented customer (Casual Male XL outlets) to our luxury-oriented customer (Rochester Clothing stores).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fiscal 2010, we launched a new store concept, Destination XL (“DXL”). The DXL store concept offers our customers an extensive assortment of products, ranging from value-oriented to luxury-oriented with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larger fitting rooms and professional, trained associates providing personal attention. With the initial success of this store format, we made a similar change to our e-commerce business in fiscal 2011 when we launched our DestinationXL.com website (now dxl.com). In fiscal 2019, we closed our five remaining Rochester Clothing stores.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operate as an omni-channel retailer of big &amp; tall men’s clothing and shoes. Through our multiple brands, which include both branded apparel and private-label, we provide a premium, personalized shopping experience, whether in-store or digitally, with a broad range of merchandise at varying price points, catering from the value-oriented customer to the luxury customer. Our objective is to appeal to all of our customers by providing a good, better, best array of product assortments in all primary lifestyles with multiple and convenient ways to shop.</w:t>
      </w:r>
    </w:p>
    <w:p>
      <w:pPr>
        <w:spacing w:after="0" w:line="18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What is unique about our business is our proprietary fit, our ability to manage an array of sizes, and optimizing our in-stock position throughout each season. Our best-selling pant has 58 size combinations and a unique specification as compared to an average retailer who may only have 15 different size combinations. We maintain a consolidated inventory across all channels that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Our DXL retail stores, e-commerce site, dxl.com, and mobile app cater to all income demographics and offer our customers merchandise to fit a variety of lifestyles from casual to business, young to mature, in all price ranges and in all large sizes from XL and up. In addition, we also offer a selection of shoes in sizes 10W to 18W on our website at dxl.com. Our Casual Male XL retail stores primarily carry moderate-priced branded and private-label casual sportswear and dresswear. We also operate Casual Male XL outlets and DXL outlets for our value-oriented customers. Through digital marketplaces, we are able to extend our reach, by providing a select offering of our merchandise to new customers who may not be current DXL customers.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21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structural changes to our business model and the digital transformative work we have accomplished is driving our customers to engage with our brand in new and meaningful ways which together create a bright future for DXL. We strive to deliver a differentiated experience that we believe will resonate with big and tall guys everywhere and our business strategy remains focused on driving initiatives in marketing, technology, and merchandising.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 fiscal 2022, our key initiatives include the following:</w:t>
      </w:r>
    </w:p>
    <w:p>
      <w:pPr>
        <w:spacing w:after="0" w:line="104" w:lineRule="exact"/>
        <w:rPr>
          <w:sz w:val="20"/>
          <w:szCs w:val="20"/>
          <w:color w:val="auto"/>
        </w:rPr>
      </w:pPr>
    </w:p>
    <w:p>
      <w:pPr>
        <w:ind w:left="760" w:right="60" w:hanging="378"/>
        <w:spacing w:after="0" w:line="24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Digital growth. </w:t>
      </w:r>
      <w:r>
        <w:rPr>
          <w:rFonts w:ascii="Arial" w:cs="Arial" w:eastAsia="Arial" w:hAnsi="Arial"/>
          <w:sz w:val="18"/>
          <w:szCs w:val="18"/>
          <w:color w:val="auto"/>
        </w:rPr>
        <w:t>We have seen substantive growth in our direct business over the past two years and we believe that this shows the sustainability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digital transformation and our ability to stand out as an omni-channel retail company. This digital growth is not just limited to our DXL.com website and mobile app lead; we have seen growth from third-party marketplaces. We offer our B&amp;T Essentials on Amazon Marketplace, specifically aimed at the value-oriented consumer. We believe these additional avenues will attract a new customer to DXL and increase our brand awareness. We look to further build upon these objectives in fiscal 2022.</w:t>
      </w:r>
    </w:p>
    <w:p>
      <w:pPr>
        <w:spacing w:after="0" w:line="81"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Marketing initiatives. </w:t>
      </w:r>
      <w:r>
        <w:rPr>
          <w:rFonts w:ascii="Arial" w:cs="Arial" w:eastAsia="Arial" w:hAnsi="Arial"/>
          <w:sz w:val="18"/>
          <w:szCs w:val="18"/>
          <w:color w:val="auto"/>
        </w:rPr>
        <w:t>We have executed a marketing strategy that is responsive to changes in customer shopping habits and behaviors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CRM segmentation, unique personas and personalization of digital interaction such as one-to-one marketing email messaging. Our focus in fiscal 2022 will be building brand awareness to achieve greater market share, the acquisition of new customers, and investing in customer reactivation. For fiscal 2021, our new-to-file increased 27% as compared to fiscal 2019. We want to build off of that growth in fiscal 2022. Our marketing efforts will continue to be primarily digitally-driven, as we continue to develop a more personalized one-on-one connection with our customers.</w:t>
      </w:r>
    </w:p>
    <w:p>
      <w:pPr>
        <w:spacing w:after="0" w:line="81" w:lineRule="exact"/>
        <w:rPr>
          <w:rFonts w:ascii="Arial" w:cs="Arial" w:eastAsia="Arial" w:hAnsi="Arial"/>
          <w:sz w:val="18"/>
          <w:szCs w:val="18"/>
          <w:color w:val="auto"/>
        </w:rPr>
      </w:pPr>
    </w:p>
    <w:p>
      <w:pPr>
        <w:ind w:left="760" w:hanging="378"/>
        <w:spacing w:after="0" w:line="24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Merchandising initiatives. </w:t>
      </w:r>
      <w:r>
        <w:rPr>
          <w:rFonts w:ascii="Arial" w:cs="Arial" w:eastAsia="Arial" w:hAnsi="Arial"/>
          <w:sz w:val="18"/>
          <w:szCs w:val="18"/>
          <w:color w:val="auto"/>
        </w:rPr>
        <w:t>Over the past few years, we have narrowed our assortment, reducing the number of brands we carry and instead</w:t>
      </w:r>
      <w:r>
        <w:rPr>
          <w:rFonts w:ascii="Arial" w:cs="Arial" w:eastAsia="Arial" w:hAnsi="Arial"/>
          <w:sz w:val="18"/>
          <w:szCs w:val="18"/>
          <w:i w:val="1"/>
          <w:iCs w:val="1"/>
          <w:color w:val="auto"/>
        </w:rPr>
        <w:t xml:space="preserve"> </w:t>
      </w:r>
      <w:r>
        <w:rPr>
          <w:rFonts w:ascii="Arial" w:cs="Arial" w:eastAsia="Arial" w:hAnsi="Arial"/>
          <w:sz w:val="18"/>
          <w:szCs w:val="18"/>
          <w:color w:val="auto"/>
        </w:rPr>
        <w:t>focusing on the development of the assortments and exclusivity. Beginning in the spring of fiscal 2022, we will be adding merchandise from Nautica and vineyard vines to our existing list of exclusive brands. We are aiming to add even more brand exclusivity to our current merchandise selection, allowing us to differentiate ourselves within the big and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5" w:name="page6"/>
    <w:bookmarkEnd w:id="5"/>
    <w:p>
      <w:pPr>
        <w:ind w:left="760" w:right="120"/>
        <w:spacing w:after="0" w:line="324" w:lineRule="auto"/>
        <w:rPr>
          <w:sz w:val="20"/>
          <w:szCs w:val="20"/>
          <w:color w:val="auto"/>
        </w:rPr>
      </w:pPr>
      <w:r>
        <w:rPr>
          <w:rFonts w:ascii="Arial" w:cs="Arial" w:eastAsia="Arial" w:hAnsi="Arial"/>
          <w:sz w:val="16"/>
          <w:szCs w:val="16"/>
          <w:color w:val="auto"/>
        </w:rPr>
        <w:t>tall market. Since the latter half of fiscal 2020, we have shifted to a more full-price messaging with fewer merchandise discounts, separating us from other retailers by focusing on our proprietary fit, exclusive merchandise selection and the unique DXL shopping experience.</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w:t>
      </w:r>
    </w:p>
    <w:p>
      <w:pPr>
        <w:spacing w:after="0" w:line="10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We offer our customers a broad assortment of apparel that is appropriate to our diverse customer base. Regardless of our customers’ age, socioeconomic status, or lifestyle preference, we are able to assemble a wardrobe to fit their apparel needs. We offer such assortments in both private-label product and a wide array of brand-name labels. With over 6,000 styles available, we carry tops in sizes up to 8XL and 8XLT, bottoms with waist sizes 38” to 70”, and shoes in sizes 10W to 18W. Big and tall is all we do.</w:t>
      </w:r>
    </w:p>
    <w:p>
      <w:pPr>
        <w:spacing w:after="0" w:line="80"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What sets us apart from our competitors is our proprietary fit. We are different because our fit is different. Our merchandise is not just an extension of regular sizes. The fit is built from unique specifications for every size and style, with specific design features for the big and tall customer.</w:t>
      </w:r>
    </w:p>
    <w:p>
      <w:pPr>
        <w:spacing w:after="0" w:line="1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stores are merchandised to showcase entire outfits by lifestyle, including traditional, active, modern and denim. This format allows us to merchandise key items and seasonal goods in prominent displays and makes coordinating outfits easier for the customer while encouraging multi-item purchases. This lifestyle layout also allows us to manage store space and product assortment effectively in each market to target local demographics. The key item strategy is also fully integrated by lifestyle, allowing us to focus on merchandise presentation and offer our customers a compelling value proposition.</w:t>
      </w:r>
    </w:p>
    <w:p>
      <w:pPr>
        <w:spacing w:after="0" w:line="47"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Merchandise assortments in our DXL stores are organized not only by lifestyle but, within each lifestyle, the assortments are shown in a “good,” “better” and “best” visual presentation. With the “best” merchandise assortments featured most prominently in the DXL store, our customers are able to visualize current fashion trends and select their wardrobes within their desired price points in a convenient manner. Our website and select DXL stores also offer certain “luxury” brands.</w:t>
      </w:r>
    </w:p>
    <w:p>
      <w:pPr>
        <w:spacing w:after="0" w:line="8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carry over 100 well-known national brands (“branded apparel”) as well as a number of our own private-label lines within our “good,” “better” and “best” price points. The penetration of branded apparel in a specific DXL store can range from 39% to 80%, depending on several factors, but on average, approximately half of the assortment is branded apparel.</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Several of the national brands that we carry, in sizes 2XL and above, are sold exclusively by us in our stores and on our website and may be available on the brand’s website. In January 2022, we announced that we were adding Nautica and vineyard vines to our list of exclusive brands for Spring 2022. In addition to our exclusive brands, we also work with several other national brands to offer a unique, curated merchandise assortment, in sizes 2XL and above, that are exclusively sold in our stores and on our website and are not available from the brand’s own website. These offerings are a subset of the larger merchandise offering that we carry for these respective brands.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Value-Priced Apparel -“Good” Merchandise</w:t>
      </w:r>
    </w:p>
    <w:p>
      <w:pPr>
        <w:spacing w:after="0" w:line="10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our value-oriented customers, we carry Champion, Lee, Wrangler and Reebok. Within our product assortment for Champion, we offer exclusive styles specially curated for our customers. In addition, we carry several value-priced private label lines:</w:t>
      </w:r>
    </w:p>
    <w:p>
      <w:pPr>
        <w:spacing w:after="0" w:line="63" w:lineRule="exact"/>
        <w:rPr>
          <w:sz w:val="20"/>
          <w:szCs w:val="20"/>
          <w:color w:val="auto"/>
        </w:rPr>
      </w:pPr>
    </w:p>
    <w:p>
      <w:pPr>
        <w:ind w:left="520" w:hanging="257"/>
        <w:spacing w:after="0" w:line="215"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Harbor Bay</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first proprietary brand and it is a traditional line that continues to represent a significant portion of our business, specifically in</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our core basic merchandise.</w:t>
      </w:r>
    </w:p>
    <w:p>
      <w:pPr>
        <w:spacing w:after="0" w:line="80" w:lineRule="exact"/>
        <w:rPr>
          <w:rFonts w:ascii="Arial" w:cs="Arial" w:eastAsia="Arial" w:hAnsi="Arial"/>
          <w:sz w:val="18"/>
          <w:szCs w:val="18"/>
          <w:color w:val="auto"/>
        </w:rPr>
      </w:pPr>
    </w:p>
    <w:p>
      <w:pPr>
        <w:ind w:left="520" w:right="340" w:hanging="257"/>
        <w:spacing w:after="0" w:line="261"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Gold Series™ </w:t>
      </w:r>
      <w:r>
        <w:rPr>
          <w:rFonts w:ascii="Arial" w:cs="Arial" w:eastAsia="Arial" w:hAnsi="Arial"/>
          <w:sz w:val="18"/>
          <w:szCs w:val="18"/>
          <w:color w:val="auto"/>
        </w:rPr>
        <w:t>is our core performance offering of tailored-related separates, blazers, dress slacks, dress shirts and neckwear that blends comfort</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such as stretch, stain resistance and wrinkle-free fabrics with basic wardrobe essentials.</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Synrgy™ </w:t>
      </w:r>
      <w:r>
        <w:rPr>
          <w:rFonts w:ascii="Arial" w:cs="Arial" w:eastAsia="Arial" w:hAnsi="Arial"/>
          <w:sz w:val="18"/>
          <w:szCs w:val="18"/>
          <w:color w:val="auto"/>
        </w:rPr>
        <w:t>targets the customer looking for a contemporary/modern look.</w:t>
      </w:r>
    </w:p>
    <w:p>
      <w:pPr>
        <w:spacing w:after="0" w:line="103" w:lineRule="exact"/>
        <w:rPr>
          <w:rFonts w:ascii="Arial" w:cs="Arial" w:eastAsia="Arial" w:hAnsi="Arial"/>
          <w:sz w:val="18"/>
          <w:szCs w:val="18"/>
          <w:color w:val="auto"/>
        </w:rPr>
      </w:pPr>
    </w:p>
    <w:p>
      <w:pPr>
        <w:ind w:left="520" w:right="140" w:hanging="257"/>
        <w:spacing w:after="0" w:line="215"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Oak Hill</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premier line catering to those customers looking for slightly more style and quality than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line but still in a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lifestyle.</w:t>
      </w:r>
    </w:p>
    <w:p>
      <w:pPr>
        <w:spacing w:after="0" w:line="80" w:lineRule="exact"/>
        <w:rPr>
          <w:rFonts w:ascii="Arial" w:cs="Arial" w:eastAsia="Arial" w:hAnsi="Arial"/>
          <w:sz w:val="18"/>
          <w:szCs w:val="18"/>
          <w:color w:val="auto"/>
        </w:rPr>
      </w:pPr>
    </w:p>
    <w:p>
      <w:pPr>
        <w:ind w:left="520" w:hanging="25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True Nation</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denim-inspired line consisting of vintage-screen t-shirts and wovens and is geared towards our younger customers.</w:t>
      </w:r>
    </w:p>
    <w:p>
      <w:pPr>
        <w:spacing w:after="0" w:line="43" w:lineRule="exact"/>
        <w:rPr>
          <w:rFonts w:ascii="Arial" w:cs="Arial" w:eastAsia="Arial" w:hAnsi="Arial"/>
          <w:sz w:val="18"/>
          <w:szCs w:val="18"/>
          <w:color w:val="auto"/>
        </w:rPr>
      </w:pPr>
    </w:p>
    <w:p>
      <w:pPr>
        <w:ind w:left="520" w:hanging="25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Society of One</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an activewear brand that offers versatile styling options and is grounded by performance technology.</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Moderate-Priced Apparel -“Better” Merchandise</w:t>
      </w:r>
    </w:p>
    <w:p>
      <w:pPr>
        <w:spacing w:after="0" w:line="1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offer our customer an extensive selection of quality sportswear and dress clothing at moderate prices carrying well-known brands such as: Cutter &amp; Buck</w:t>
      </w:r>
      <w:r>
        <w:rPr>
          <w:rFonts w:ascii="Arial" w:cs="Arial" w:eastAsia="Arial" w:hAnsi="Arial"/>
          <w:sz w:val="11"/>
          <w:szCs w:val="11"/>
          <w:color w:val="auto"/>
        </w:rPr>
        <w:t>®</w:t>
      </w:r>
      <w:r>
        <w:rPr>
          <w:rFonts w:ascii="Arial" w:cs="Arial" w:eastAsia="Arial" w:hAnsi="Arial"/>
          <w:sz w:val="18"/>
          <w:szCs w:val="18"/>
          <w:color w:val="auto"/>
        </w:rPr>
        <w:t>, Levi's</w:t>
      </w:r>
      <w:r>
        <w:rPr>
          <w:rFonts w:ascii="Arial" w:cs="Arial" w:eastAsia="Arial" w:hAnsi="Arial"/>
          <w:sz w:val="11"/>
          <w:szCs w:val="11"/>
          <w:color w:val="auto"/>
        </w:rPr>
        <w:t>®</w:t>
      </w:r>
      <w:r>
        <w:rPr>
          <w:rFonts w:ascii="Arial" w:cs="Arial" w:eastAsia="Arial" w:hAnsi="Arial"/>
          <w:sz w:val="18"/>
          <w:szCs w:val="18"/>
          <w:color w:val="auto"/>
        </w:rPr>
        <w:t>, Columbia, Carhartt</w:t>
      </w:r>
      <w:r>
        <w:rPr>
          <w:rFonts w:ascii="Arial" w:cs="Arial" w:eastAsia="Arial" w:hAnsi="Arial"/>
          <w:sz w:val="11"/>
          <w:szCs w:val="11"/>
          <w:color w:val="auto"/>
        </w:rPr>
        <w:t>®</w:t>
      </w:r>
      <w:r>
        <w:rPr>
          <w:rFonts w:ascii="Arial" w:cs="Arial" w:eastAsia="Arial" w:hAnsi="Arial"/>
          <w:sz w:val="18"/>
          <w:szCs w:val="18"/>
          <w:color w:val="auto"/>
        </w:rPr>
        <w:t>, and Jockey</w:t>
      </w:r>
      <w:r>
        <w:rPr>
          <w:rFonts w:ascii="Arial" w:cs="Arial" w:eastAsia="Arial" w:hAnsi="Arial"/>
          <w:sz w:val="11"/>
          <w:szCs w:val="11"/>
          <w:color w:val="auto"/>
        </w:rPr>
        <w:t>®</w:t>
      </w:r>
      <w:r>
        <w:rPr>
          <w:rFonts w:ascii="Arial" w:cs="Arial" w:eastAsia="Arial" w:hAnsi="Arial"/>
          <w:sz w:val="18"/>
          <w:szCs w:val="18"/>
          <w:color w:val="auto"/>
        </w:rPr>
        <w:t>. Our exclusive brands in this price range in O’Neill</w:t>
      </w:r>
      <w:r>
        <w:rPr>
          <w:rFonts w:ascii="Arial" w:cs="Arial" w:eastAsia="Arial" w:hAnsi="Arial"/>
          <w:sz w:val="11"/>
          <w:szCs w:val="11"/>
          <w:color w:val="auto"/>
        </w:rPr>
        <w:t>®</w:t>
      </w:r>
      <w:r>
        <w:rPr>
          <w:rFonts w:ascii="Arial" w:cs="Arial" w:eastAsia="Arial" w:hAnsi="Arial"/>
          <w:sz w:val="18"/>
          <w:szCs w:val="18"/>
          <w:color w:val="auto"/>
        </w:rPr>
        <w:t>, Nautica</w:t>
      </w:r>
      <w:r>
        <w:rPr>
          <w:rFonts w:ascii="Arial" w:cs="Arial" w:eastAsia="Arial" w:hAnsi="Arial"/>
          <w:sz w:val="11"/>
          <w:szCs w:val="11"/>
          <w:color w:val="auto"/>
        </w:rPr>
        <w:t>®</w:t>
      </w:r>
      <w:r>
        <w:rPr>
          <w:rFonts w:ascii="Arial" w:cs="Arial" w:eastAsia="Arial" w:hAnsi="Arial"/>
          <w:sz w:val="18"/>
          <w:szCs w:val="18"/>
          <w:color w:val="auto"/>
        </w:rPr>
        <w:t xml:space="preserve"> and Nautica Jeans</w:t>
      </w:r>
      <w:r>
        <w:rPr>
          <w:rFonts w:ascii="Arial" w:cs="Arial" w:eastAsia="Arial" w:hAnsi="Arial"/>
          <w:sz w:val="11"/>
          <w:szCs w:val="11"/>
          <w:color w:val="auto"/>
        </w:rPr>
        <w:t>®</w:t>
      </w:r>
      <w:r>
        <w:rPr>
          <w:rFonts w:ascii="Arial" w:cs="Arial" w:eastAsia="Arial" w:hAnsi="Arial"/>
          <w:sz w:val="18"/>
          <w:szCs w:val="18"/>
          <w:color w:val="auto"/>
        </w:rPr>
        <w:t>, Adidas Golf</w:t>
      </w:r>
      <w:r>
        <w:rPr>
          <w:rFonts w:ascii="Arial" w:cs="Arial" w:eastAsia="Arial" w:hAnsi="Arial"/>
          <w:sz w:val="11"/>
          <w:szCs w:val="11"/>
          <w:color w:val="auto"/>
        </w:rPr>
        <w:t>®</w:t>
      </w:r>
      <w:r>
        <w:rPr>
          <w:rFonts w:ascii="Arial" w:cs="Arial" w:eastAsia="Arial" w:hAnsi="Arial"/>
          <w:sz w:val="18"/>
          <w:szCs w:val="18"/>
          <w:color w:val="auto"/>
        </w:rPr>
        <w:t xml:space="preserve"> and vineyard vines</w:t>
      </w:r>
      <w:r>
        <w:rPr>
          <w:rFonts w:ascii="Arial" w:cs="Arial" w:eastAsia="Arial" w:hAnsi="Arial"/>
          <w:sz w:val="11"/>
          <w:szCs w:val="11"/>
          <w:color w:val="auto"/>
        </w:rPr>
        <w:t>®</w:t>
      </w:r>
      <w:r>
        <w:rPr>
          <w:rFonts w:ascii="Arial" w:cs="Arial" w:eastAsia="Arial" w:hAnsi="Arial"/>
          <w:sz w:val="18"/>
          <w:szCs w:val="18"/>
          <w:color w:val="auto"/>
        </w:rPr>
        <w:t>. Within our product assortment for Callaway</w:t>
      </w:r>
      <w:r>
        <w:rPr>
          <w:rFonts w:ascii="Arial" w:cs="Arial" w:eastAsia="Arial" w:hAnsi="Arial"/>
          <w:sz w:val="11"/>
          <w:szCs w:val="11"/>
          <w:color w:val="auto"/>
        </w:rPr>
        <w:t>®</w:t>
      </w:r>
      <w:r>
        <w:rPr>
          <w:rFonts w:ascii="Arial" w:cs="Arial" w:eastAsia="Arial" w:hAnsi="Arial"/>
          <w:sz w:val="18"/>
          <w:szCs w:val="18"/>
          <w:color w:val="auto"/>
        </w:rPr>
        <w:t>, Lacoste</w:t>
      </w:r>
      <w:r>
        <w:rPr>
          <w:rFonts w:ascii="Arial" w:cs="Arial" w:eastAsia="Arial" w:hAnsi="Arial"/>
          <w:sz w:val="11"/>
          <w:szCs w:val="11"/>
          <w:color w:val="auto"/>
        </w:rPr>
        <w:t>®</w:t>
      </w:r>
      <w:r>
        <w:rPr>
          <w:rFonts w:ascii="Arial" w:cs="Arial" w:eastAsia="Arial" w:hAnsi="Arial"/>
          <w:sz w:val="18"/>
          <w:szCs w:val="18"/>
          <w:color w:val="auto"/>
        </w:rPr>
        <w:t>, Majestic and Tommy Bahama</w:t>
      </w:r>
      <w:r>
        <w:rPr>
          <w:rFonts w:ascii="Arial" w:cs="Arial" w:eastAsia="Arial" w:hAnsi="Arial"/>
          <w:sz w:val="11"/>
          <w:szCs w:val="11"/>
          <w:color w:val="auto"/>
        </w:rPr>
        <w:t>®</w:t>
      </w:r>
      <w:r>
        <w:rPr>
          <w:rFonts w:ascii="Arial" w:cs="Arial" w:eastAsia="Arial" w:hAnsi="Arial"/>
          <w:sz w:val="18"/>
          <w:szCs w:val="18"/>
          <w:color w:val="auto"/>
        </w:rPr>
        <w:t xml:space="preserve"> we also offer exclusive styles specially curated for our customers.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 w:name="page7"/>
    <w:bookmarkEnd w:id="6"/>
    <w:p>
      <w:pPr>
        <w:ind w:left="260"/>
        <w:spacing w:after="0"/>
        <w:rPr>
          <w:sz w:val="20"/>
          <w:szCs w:val="20"/>
          <w:color w:val="auto"/>
        </w:rPr>
      </w:pPr>
      <w:r>
        <w:rPr>
          <w:rFonts w:ascii="Arial" w:cs="Arial" w:eastAsia="Arial" w:hAnsi="Arial"/>
          <w:sz w:val="18"/>
          <w:szCs w:val="18"/>
          <w:b w:val="1"/>
          <w:bCs w:val="1"/>
          <w:i w:val="1"/>
          <w:iCs w:val="1"/>
          <w:color w:val="auto"/>
        </w:rPr>
        <w:t>Higher-End Fashion Apparel -“Best” Merchandise</w:t>
      </w:r>
    </w:p>
    <w:p>
      <w:pPr>
        <w:spacing w:after="0" w:line="10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Within this higher-end price range, we carry a broad selection of quality apparel from well-known branded manufacturers, such as The North Face</w:t>
      </w:r>
      <w:r>
        <w:rPr>
          <w:rFonts w:ascii="Arial" w:cs="Arial" w:eastAsia="Arial" w:hAnsi="Arial"/>
          <w:sz w:val="11"/>
          <w:szCs w:val="11"/>
          <w:color w:val="auto"/>
        </w:rPr>
        <w:t>®</w:t>
      </w:r>
      <w:r>
        <w:rPr>
          <w:rFonts w:ascii="Arial" w:cs="Arial" w:eastAsia="Arial" w:hAnsi="Arial"/>
          <w:sz w:val="18"/>
          <w:szCs w:val="18"/>
          <w:color w:val="auto"/>
        </w:rPr>
        <w:t>, Polo Ralph Lauren</w:t>
      </w:r>
      <w:r>
        <w:rPr>
          <w:rFonts w:ascii="Arial" w:cs="Arial" w:eastAsia="Arial" w:hAnsi="Arial"/>
          <w:sz w:val="11"/>
          <w:szCs w:val="11"/>
          <w:color w:val="auto"/>
        </w:rPr>
        <w:t>®</w:t>
      </w:r>
      <w:r>
        <w:rPr>
          <w:rFonts w:ascii="Arial" w:cs="Arial" w:eastAsia="Arial" w:hAnsi="Arial"/>
          <w:sz w:val="18"/>
          <w:szCs w:val="18"/>
          <w:color w:val="auto"/>
        </w:rPr>
        <w:t>, Jack Victor</w:t>
      </w:r>
      <w:r>
        <w:rPr>
          <w:rFonts w:ascii="Arial" w:cs="Arial" w:eastAsia="Arial" w:hAnsi="Arial"/>
          <w:sz w:val="11"/>
          <w:szCs w:val="11"/>
          <w:color w:val="auto"/>
        </w:rPr>
        <w:t>®</w:t>
      </w:r>
      <w:r>
        <w:rPr>
          <w:rFonts w:ascii="Arial" w:cs="Arial" w:eastAsia="Arial" w:hAnsi="Arial"/>
          <w:sz w:val="18"/>
          <w:szCs w:val="18"/>
          <w:color w:val="auto"/>
        </w:rPr>
        <w:t>, Michael Kors</w:t>
      </w:r>
      <w:r>
        <w:rPr>
          <w:rFonts w:ascii="Arial" w:cs="Arial" w:eastAsia="Arial" w:hAnsi="Arial"/>
          <w:sz w:val="11"/>
          <w:szCs w:val="11"/>
          <w:color w:val="auto"/>
        </w:rPr>
        <w:t>®</w:t>
      </w:r>
      <w:r>
        <w:rPr>
          <w:rFonts w:ascii="Arial" w:cs="Arial" w:eastAsia="Arial" w:hAnsi="Arial"/>
          <w:sz w:val="18"/>
          <w:szCs w:val="18"/>
          <w:color w:val="auto"/>
        </w:rPr>
        <w:t>, and Tallia</w:t>
      </w:r>
      <w:r>
        <w:rPr>
          <w:rFonts w:ascii="Arial" w:cs="Arial" w:eastAsia="Arial" w:hAnsi="Arial"/>
          <w:sz w:val="11"/>
          <w:szCs w:val="11"/>
          <w:color w:val="auto"/>
        </w:rPr>
        <w:t>®.</w:t>
      </w:r>
      <w:r>
        <w:rPr>
          <w:rFonts w:ascii="Arial" w:cs="Arial" w:eastAsia="Arial" w:hAnsi="Arial"/>
          <w:sz w:val="18"/>
          <w:szCs w:val="18"/>
          <w:color w:val="auto"/>
        </w:rPr>
        <w:t xml:space="preserve"> Our exclusive brands in this price range include Brooks Brothers</w:t>
      </w:r>
      <w:r>
        <w:rPr>
          <w:rFonts w:ascii="Arial" w:cs="Arial" w:eastAsia="Arial" w:hAnsi="Arial"/>
          <w:sz w:val="11"/>
          <w:szCs w:val="11"/>
          <w:color w:val="auto"/>
        </w:rPr>
        <w:t>®</w:t>
      </w:r>
      <w:r>
        <w:rPr>
          <w:rFonts w:ascii="Arial" w:cs="Arial" w:eastAsia="Arial" w:hAnsi="Arial"/>
          <w:sz w:val="18"/>
          <w:szCs w:val="18"/>
          <w:color w:val="auto"/>
        </w:rPr>
        <w:t>, JOE’S</w:t>
      </w:r>
      <w:r>
        <w:rPr>
          <w:rFonts w:ascii="Arial" w:cs="Arial" w:eastAsia="Arial" w:hAnsi="Arial"/>
          <w:sz w:val="11"/>
          <w:szCs w:val="11"/>
          <w:color w:val="auto"/>
        </w:rPr>
        <w:t>®</w:t>
      </w:r>
      <w:r>
        <w:rPr>
          <w:rFonts w:ascii="Arial" w:cs="Arial" w:eastAsia="Arial" w:hAnsi="Arial"/>
          <w:sz w:val="18"/>
          <w:szCs w:val="18"/>
          <w:color w:val="auto"/>
        </w:rPr>
        <w:t xml:space="preserve"> Jeans, 7 for all Mankind</w:t>
      </w:r>
      <w:r>
        <w:rPr>
          <w:rFonts w:ascii="Arial" w:cs="Arial" w:eastAsia="Arial" w:hAnsi="Arial"/>
          <w:sz w:val="11"/>
          <w:szCs w:val="11"/>
          <w:color w:val="auto"/>
        </w:rPr>
        <w:t>®,</w:t>
      </w:r>
      <w:r>
        <w:rPr>
          <w:rFonts w:ascii="Arial" w:cs="Arial" w:eastAsia="Arial" w:hAnsi="Arial"/>
          <w:sz w:val="18"/>
          <w:szCs w:val="18"/>
          <w:color w:val="auto"/>
        </w:rPr>
        <w:t xml:space="preserve"> and Robert Barakett</w:t>
      </w:r>
      <w:r>
        <w:rPr>
          <w:rFonts w:ascii="Arial" w:cs="Arial" w:eastAsia="Arial" w:hAnsi="Arial"/>
          <w:sz w:val="11"/>
          <w:szCs w:val="11"/>
          <w:color w:val="auto"/>
        </w:rPr>
        <w:t>®</w:t>
      </w:r>
      <w:r>
        <w:rPr>
          <w:rFonts w:ascii="Arial" w:cs="Arial" w:eastAsia="Arial" w:hAnsi="Arial"/>
          <w:sz w:val="18"/>
          <w:szCs w:val="18"/>
          <w:color w:val="auto"/>
        </w:rPr>
        <w:t>. Within our product assortment for Psycho Bunny</w:t>
      </w:r>
      <w:r>
        <w:rPr>
          <w:rFonts w:ascii="Arial" w:cs="Arial" w:eastAsia="Arial" w:hAnsi="Arial"/>
          <w:sz w:val="11"/>
          <w:szCs w:val="11"/>
          <w:color w:val="auto"/>
        </w:rPr>
        <w:t>®</w:t>
      </w:r>
      <w:r>
        <w:rPr>
          <w:rFonts w:ascii="Arial" w:cs="Arial" w:eastAsia="Arial" w:hAnsi="Arial"/>
          <w:sz w:val="18"/>
          <w:szCs w:val="18"/>
          <w:color w:val="auto"/>
        </w:rPr>
        <w:t>, Lucky and Robert Graham</w:t>
      </w:r>
      <w:r>
        <w:rPr>
          <w:rFonts w:ascii="Arial" w:cs="Arial" w:eastAsia="Arial" w:hAnsi="Arial"/>
          <w:sz w:val="11"/>
          <w:szCs w:val="11"/>
          <w:color w:val="auto"/>
        </w:rPr>
        <w:t>®</w:t>
      </w:r>
      <w:r>
        <w:rPr>
          <w:rFonts w:ascii="Arial" w:cs="Arial" w:eastAsia="Arial" w:hAnsi="Arial"/>
          <w:sz w:val="18"/>
          <w:szCs w:val="18"/>
          <w:color w:val="auto"/>
        </w:rPr>
        <w:t xml:space="preserve"> we also offer exclusive styles specially curated for our customers.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Shoes</w:t>
      </w:r>
    </w:p>
    <w:p>
      <w:pPr>
        <w:spacing w:after="0" w:line="104"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Our DXL website offers an assortment of footwear, with a broad selection from casual to formal, in varying price points. We currently have a selection of more than 200 styles of shoes, ranging in sizes from 10W to 18W, including designer brands such as Cole Haan®, Timberland®, Sketchers, New Balance, Reebok and Deerstags.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STORE CHANNEL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DXL Men’s Apparel Stores</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At January 29, 2022, we operated 220 DXL retail stores. Our DXL store concept brings all of our brands together in one format. Within this format, we cater to our diverse customer base, with merchandise representing all price points, from our higher-end brands to value-oriented brands, and all lifestyles, from business to denim. The size of our DXL stores averages 7,600 square feet, but since fiscal 2016 we have opened smaller (5,000-6,500 square feet) DXL stores. Because of the smaller size of these stores, they carry a smaller product offering than our other DXL stores but are representative of the “good, better, best” merchandise variety. Our DXL stores are located on real estate that is highly visible, often adjacent to high-performing regional malls or other high-traffic shopping areas.</w:t>
      </w:r>
    </w:p>
    <w:p>
      <w:pPr>
        <w:spacing w:after="0" w:line="81"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Our DXL stores offer up to three times the product offering of a Casual Male XL store. Depending on the customers in each respective market, we can adjust the appropriate mix of merchandise, with varying selections from each of our price points, to cater to each demographic market.</w:t>
      </w:r>
    </w:p>
    <w:p>
      <w:pPr>
        <w:spacing w:after="0" w:line="3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Over the past few years, we have rebranded select Casual Male XL retail and outlet stores to the DXL retail and outlet store concept. In many markets, rebranding a Casual Male XL store to a DXL store provides a viable alternative to the more costly endeavor of relocating a Casual Male XL store to new DXL real estate. In addition, the converted stores benefit from DXL advertising. We are actively reviewing opportunities to relocate or convert Casual Male XL stores to DXL and we are reviewing white space opportunities in markets where our store footprint is underpenetrated. We expect to continue to invest in stores over the next several years as we further strengthen the store portfolio.</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Casual Male XL Retail Stores</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At January 29, 2022, we operated 35 Casual Male XL full-price retail stores, located primarily in strip centers or stand-alone locations. The majority of the merchandise carried in our Casual Male XL stores is moderate-priced basic or fashion-neutral items, such as jeans, casual slacks, t-shirts, polo shirts, dress shirts and suit separates. These stores also carry a full complement of our “better” private label collections. The average Casual Male XL retail store is approximately 3,300 square feet.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DXL Outlet /Casual Male XL Outlet Stores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At January 29, 2022, we operated 16 DXL outlet stores and 19 Casual Male XL outlet stores designed to offer a wide range of casual clothing for the big &amp; tall customer at prices that are generally 20-25% lower than our moderate-priced merchandise. Much of the merchandise in our outlet stores is offered at discounted prices to cater to the value-oriented customer. In addition to private-label and branded merchandise at our “good” price tier, our outlets also carry clearance product obtained from DXL and Casual Male XL stores, offering the outlet customer the ability to purchase branded and fashion product for a reduced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average DXL outlet is approximately 5,000 square feet and the average Casual Male XL outlet store is approximately 3,000 square feet.</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DIRECT CHANNEL</w:t>
      </w:r>
    </w:p>
    <w:p>
      <w:pPr>
        <w:spacing w:after="0" w:line="10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direct business is a critical channel for growing sales and market share through new customer acquisition and digital engagement of the active file. In the past two years, our direct business grew 45.3% in fiscal 2021 as compared to fiscal 2019 and represented approximately 31.0% of our total retail sales in fiscal 2021, as compared to 23.1% of our retail sales in fiscal 2019. Through our digital efforts and marketplace presence, we are creating brand awareness and attracting a new customer to DXL. For fiscal 2021, our new-to-file increased 27% as compared to fiscal 2019. We believe that this new-to-file growth indicates that our investments in digital marketing and the optimization of our digital infrastructure are resonating with new customers.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7" w:name="page8"/>
    <w:bookmarkEnd w:id="7"/>
    <w:p>
      <w:pPr>
        <w:ind w:right="340"/>
        <w:spacing w:after="0" w:line="248" w:lineRule="auto"/>
        <w:rPr>
          <w:sz w:val="20"/>
          <w:szCs w:val="20"/>
          <w:color w:val="auto"/>
        </w:rPr>
      </w:pPr>
      <w:r>
        <w:rPr>
          <w:rFonts w:ascii="Arial" w:cs="Arial" w:eastAsia="Arial" w:hAnsi="Arial"/>
          <w:sz w:val="18"/>
          <w:szCs w:val="18"/>
          <w:color w:val="auto"/>
        </w:rPr>
        <w:t>We define our direct business as sales that originate online, whether through our website, our app, those initiated online at the store level, our Guest Engagement Center, or through a third-party marketplace. We want to serve our customers wherever and how they want to shop, whether in-person at a store, over the telephone, or online via a computer, smartphone or tablet.</w:t>
      </w:r>
    </w:p>
    <w:p>
      <w:pPr>
        <w:spacing w:after="0" w:line="7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 key to being a successful omni-channel retailer is having the ability to showcase all of our store inventories online, resulting in additional transactions that are initiated online, but are ultimately completed in store. In addition, our stores are able to fulfill an order for an item that is out-of-stock in our warehouse. This capability has not only resulted in incremental sales, but it has also helped us reduce clearance merchandise at the store level and manage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DXL Website and App</w:t>
      </w:r>
    </w:p>
    <w:p>
      <w:pPr>
        <w:spacing w:after="0" w:line="104" w:lineRule="exact"/>
        <w:rPr>
          <w:sz w:val="20"/>
          <w:szCs w:val="20"/>
          <w:color w:val="auto"/>
        </w:rPr>
      </w:pPr>
    </w:p>
    <w:p>
      <w:pPr>
        <w:jc w:val="both"/>
        <w:ind w:right="280"/>
        <w:spacing w:after="0" w:line="324" w:lineRule="auto"/>
        <w:rPr>
          <w:sz w:val="20"/>
          <w:szCs w:val="20"/>
          <w:color w:val="auto"/>
        </w:rPr>
      </w:pPr>
      <w:r>
        <w:rPr>
          <w:rFonts w:ascii="Arial" w:cs="Arial" w:eastAsia="Arial" w:hAnsi="Arial"/>
          <w:sz w:val="16"/>
          <w:szCs w:val="16"/>
          <w:color w:val="auto"/>
        </w:rPr>
        <w:t>Our DXL website and app have been instrumental in our growth over the past two years, with sales from our website and app together increasing 55.3% from fiscal 2019. We continue to see our consumers shift to online shopping helping to drive higher new customer acquisition for the website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Digital Sales at Store Level</w:t>
      </w:r>
    </w:p>
    <w:p>
      <w:pPr>
        <w:spacing w:after="0" w:line="10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In support of our omni-channel approach, our store associates use our website to help fulfill our in-store customers’ clothing needs. If a wider selection of a lifestyle, color or size of an item is not available in our store, then our store associates can order the item for our customer online through our direct channel and have it shipped to the store or directly to the customer. Our customers also have the ability to shop-by-store and pick-up in store on the same day.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Digital Marketplaces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broaden our reach through digital, third-party marketplaces. A large portion of our assortment is available on Amazon.com and Target.com.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Digital marketplaces provide us an opportunity to drive awareness, grow our customer base and introduce new customers to our brand.</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WHOLESALE CHANNEL</w:t>
      </w:r>
    </w:p>
    <w:p>
      <w:pPr>
        <w:spacing w:after="0" w:line="104"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Our wholesale business focuses on the product development, manufacturing and distribution of big and tall product. This initiative allows us to leverage our existing infrastructure, including DXL’s expertise in technical design and global sourcing. Our wholesale business was driven primarily by our relationship with Amazon. Based on several factors, including low margins, volatility in the global supply chain, increasing lead times and the shifting dynamics of the business, the Company and Amazon have agreed to end the wholesale relationship.</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stores and for the direct channel, and pre-season planning for product assortments for each store and the direct channel. Additionally, in-season reporting identifies opportunities and challenges in inventory performance. Over the past several years, we have made, and we will continue to make, investments in implementing best practice tools and processes for our merchandise planning and allocation.</w:t>
      </w:r>
    </w:p>
    <w:p>
      <w:pPr>
        <w:spacing w:after="0" w:line="5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core merchandise made up approximately 42% of our merchandise assortment in fiscal 2021.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w:t>
      </w:r>
    </w:p>
    <w:p>
      <w:pPr>
        <w:spacing w:after="0" w:line="5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Utilizing a set of specific universal reporting tools, the merchandise planning and allocation team is able to fulfill their daily, weekly and monthly roles and responsibilities. These reporting tools provide focused and actionable views of the business to optimize the overall assortment by category and by store. We are confident that our inventory performance is optimized by having all members of the merchandise planning and allocation team follow a standardized set of processes with the use of standardized reporting tools.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believe that our store associates are the key to creating the highest quality experience for our customers. The culture in our stores is to be guest centric in an effort to engage and build a relationship with our guests. Our overall goal is to accomplish three key initiatives in our stores. The first is that we strive to build relationships with all of our guests. The second is that we believe our stores need to be clean, neat and organized in an effort to allow the "just-looking" customer to find what he needs with ease. The last component is our stores serving as mini-distribution centers. The majority of our stores are able to fulfill customer orders for product that we may not have in our distribution center. Our associates are well versed in not only the product selection carried in their specific store, but also the product selection carried online. With a point-of-sale system that can access items online for the customer who is physically in the store, our associates are able to fulfill all of their customers’ needs.</w:t>
      </w:r>
    </w:p>
    <w:p>
      <w:pPr>
        <w:spacing w:after="0" w:line="72"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Our multi-unit, field management team receives extensive training on recruiting associates who are the correct fit for our stores. All new DXL store management team hires are trained extensively through senior peer trainers throughout the country. We believe having a mix of internal promotes (store manager to Regional Sales Manager) as well as external hires with extensive multi-unit background gives us an inclusive and diverse Regional Sales management team. Regional Vice Presidents give us touch-points in the field in addition to our Regional Sales Managers and store management team to ensure consistency in executing our standards and all programs and processes we deem important to our success.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Each new member of the store management team goes through extensive training with their Regional Sales Manager and a peer Store Manager. We believe our training system, together with monitoring sales metrics to help identify opportunities for further training, will improve sales productivity and strengthen our customer’s brand loyalty.</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field organization is overseen by our Senior Vice President of Store Sales and Operations, Regional Vice Presidents, Regional Sales Managers, and a Store Operations Team,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 Each store is staffed with a store manager, assistant manager and key holders. The store manager is responsible for achieving certain sales and operational targets. Our stores have an incentive-based commission plan for managers and selling staff to encourage associates to focus on our customer’s wardrobing needs and sales productivity.</w:t>
      </w:r>
    </w:p>
    <w:p>
      <w:pPr>
        <w:spacing w:after="0" w:line="6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COVID-19 pandemic continued to have an impact on our store operations during fiscal 2021. While the majority of our stores remained opened throughout fiscal 2021, we experienced some limited store closures throughout the year as a result of reduced store operating hours and staff shortages. Several of the safety protocols we implemented in fiscal 2020 are still in place. In addition, the majority of our stores continue to offer the option for no-contact, curbside pickup, through our BOPAC (buy online and pickup at curbside) and BOPIS (buy online pick-up in store) programs. For the safety of our field organization, our stores are equipped with iPads to enable our Regional Sales Managers and members of our senior leadership team the ability to engage with stores on a more frequent basis without the risk of travel.</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believe that our marketing initiatives are key to driving our sales growth by increasing traffic to our stores, website and app. We are transforming our brand positioning by targeting our addressable market and focusing on our distinct advantages, which is a brand built around our proprietary fit, a specially-curated, extensive and often exclusive merchandise offering and an experience built around the respect, value and trust for our customers. Our focus is to acquire new customers and achieve a greater lifetime value across our entire customer file.</w:t>
      </w:r>
    </w:p>
    <w:p>
      <w:pPr>
        <w:spacing w:after="0" w:line="64"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We have shifted our marketing strategy away from a broad-based shotgun advertising to a more targeted, personalized, data-driven model where we can segment and ultimately engage differently with each of our customers based on their shopping behaviors across all our buying channels. We adopted a stringent, analytical perspective to our marketing program, focusing on understanding incremental outcomes in addition to the “return on ad spend” throughout all of our programs. This data-driven philosophy extends across all of our marketing initiatives as we look at new ways to engage our customers. Our on-going work on enhancing our customer segmentation will ultimately drive our long-term marketing strategy, enabling us to create targeted and personalized content and messaging to our various customer segments.</w:t>
      </w:r>
    </w:p>
    <w:p>
      <w:pPr>
        <w:spacing w:after="0" w:line="6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Our marketing programs includes email, direct mail, loyalty program, direct marketing, digital marketing, social media, and streaming media, among others. Driving new-to-file growth and strengthening our brand positioning with our active file are key to our overall long-term growth and we expect to increase our marketing costs in fiscal 2022 to approximately 6% of sales to support these initiatives. For fiscal 2021, marketing costs were 4.7% of sales.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GLOBAL SOURCING</w:t>
      </w:r>
    </w:p>
    <w:p>
      <w:pPr>
        <w:spacing w:after="0" w:line="10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global sourcing strategy is a balanced approach, which considers quality, cost and lead-time, depending on the requirements of the program. We believe our current sourcing structure meets our operating requirements and provide capacity for growth. The growth and effectiveness of our global direct sourcing program is a key component to the strength of merchandise margins.</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have built a strong internal team with extensive experience that is responsible for managing an international network of vendors and suppliers across the globe. We have established strong relationships with many of the leading factories and mills across the globe. Our sourcing network consists of over 28 factories in nine countries which are experts in big &amp; tall sizing and production. In fiscal 2021, approximately 52% of all our product needs were sourced directly. We manufacture a significant percentage of our private-label merchandise in Southeast Asian countries consisting of Vietnam, Bangladesh, Cambodia and India. We continue to reduce dependency on China, inclusive of our raw materials and trims, and have moved certain programs into the Western Hemisphere with duty-free opportunities such as Nicaragua and Mexico.</w:t>
      </w:r>
    </w:p>
    <w:p>
      <w:pPr>
        <w:spacing w:after="0" w:line="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In 2020, we retained Elevate Ltd., a global leader in supply chain assessment, and instituted 4-Pillar audits of our manufacturing facilities. Our intent is to increase our social, environmental and ethical sustainability by utilizing Elevates audit tool, "ERSA", which stands for </w:t>
      </w:r>
      <w:r>
        <w:rPr>
          <w:rFonts w:ascii="Arial" w:cs="Arial" w:eastAsia="Arial" w:hAnsi="Arial"/>
          <w:sz w:val="18"/>
          <w:szCs w:val="18"/>
          <w:color w:val="272727"/>
        </w:rPr>
        <w:t>EL</w:t>
      </w:r>
      <w:r>
        <w:rPr>
          <w:rFonts w:ascii="Arial" w:cs="Arial" w:eastAsia="Arial" w:hAnsi="Arial"/>
          <w:sz w:val="18"/>
          <w:szCs w:val="18"/>
          <w:color w:val="auto"/>
        </w:rPr>
        <w:t>EVATE Responsible Sourcing Assessment. ERSA 2.0 covers social compliance, human rights, environmental business ethics, and worker’s sentiment surveys. All audits can be found on their EIQ tool which is a web-based analytical system on which we participate in their Ethical Trade Audit platform. Through collaboration with Elevate Ltd., we are currently pursuing a “5-Pillar Audit”, which includes traceability of both raw materials and the equipment used to produce finished goods. We expect to roll out this program in 2022. Our intention is to increase our audit pillars to include all of our raw material suppliers that procure fabric, trims and inner components of our products.</w:t>
      </w:r>
    </w:p>
    <w:p>
      <w:pPr>
        <w:spacing w:after="0" w:line="8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agents are made in U.S. dollars with payment on account.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All of our retail distribution operations are centralized at our headquarters located in Canton, Massachusetts. We believe that having a centralized distribution facility maximizes the selling space and in-stock position of our stores and reduces the necessary levels of back-room stock. In addition, the distribution center provides order fulfillment services for our e-commerce business. In-bound calls for our e-commerce business are received at our Canton facility and are primarily fulfilled by our distribution center. If an order cannot be fulfilled by our distribution center, the order is completed at the store level. For our wholesale business, during fiscal 2021 we utilized three coastal third-party cross-dock facilities.</w:t>
      </w:r>
    </w:p>
    <w:p>
      <w:pPr>
        <w:spacing w:after="0" w:line="17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Our supply chain technology provides visibility for imports and domestic deliveries giving our buyers accurate shipping information and allowing the distribution center to plan staffing for arriving freight, resulting in reduced costs and improved receipt efficiency.</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warehousing application and labor management system enable us to streamline our distribution processes, enhance our in-transit times, and reduce our distribution costs. We will continually work to make improvements and upgrades to our software.</w:t>
      </w:r>
    </w:p>
    <w:p>
      <w:pPr>
        <w:spacing w:after="0" w:line="17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Since 2003, we have utilized United Parcel Services (“UPS”) for all of our store shipments as well as our domestic customer deliveries. By utilizing UPS, we are able to track all deliveries from the warehouse to our individual stores, including the status of in-transit shipments. In addition, we are able to provide our direct customers with Authorized Return Service and Web labels, making returns more convenient for them. In October 2019, we renewed our contract with UPS through October 2022. We also entered into an agreement with the United States Postal Service to utilize their services when shipping from stores.</w:t>
      </w:r>
    </w:p>
    <w:p>
      <w:pPr>
        <w:spacing w:after="0" w:line="189"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04"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The infrastructure of our management information systems is a priority to us. We believe that the investments we have made in this regard have improved our overall efficiency and improved our access to information enabling timely, data-driven decisions.</w:t>
      </w:r>
    </w:p>
    <w:p>
      <w:pPr>
        <w:spacing w:after="0" w:line="171"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with which to manage our business.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0" w:name="page11"/>
    <w:bookmarkEnd w:id="10"/>
    <w:p>
      <w:pPr>
        <w:ind w:right="20"/>
        <w:spacing w:after="0" w:line="248" w:lineRule="auto"/>
        <w:rPr>
          <w:sz w:val="20"/>
          <w:szCs w:val="20"/>
          <w:color w:val="auto"/>
        </w:rPr>
      </w:pPr>
      <w:r>
        <w:rPr>
          <w:rFonts w:ascii="Arial" w:cs="Arial" w:eastAsia="Arial" w:hAnsi="Arial"/>
          <w:sz w:val="18"/>
          <w:szCs w:val="18"/>
          <w:color w:val="auto"/>
        </w:rPr>
        <w:t>Using a retail business intelligence solution, we are able to integrate data from several sources and provide enterprise-wide analytics reporting. Over the past few years, we have continued to develop a custom Assortment Suite application. In an effort to improve our inventory management, we have created a standardized set of “best practices” for both our merchandise planning and allocation groups.</w:t>
      </w:r>
    </w:p>
    <w:p>
      <w:pPr>
        <w:spacing w:after="0" w:line="7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direct and retail channels maintain a shared inventory system and we operate a single-system platform for our DXL and Casual Male XL stores to deliver improved efficiencies.</w:t>
      </w:r>
    </w:p>
    <w:p>
      <w:pPr>
        <w:spacing w:after="0" w:line="63"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During fiscal 2021, we began the process of upgrading our Assortment Suite application to leverage business intelligence and predictive analytics to provide high-impact insights into core merchandising tasks. In addition, we continued to upgrade our security measures, including employing a Security Incident Event Management system.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2022, we will continue upgrading our Assortment Suite and plan to roll-out a new point-of-sale system.</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Our business faces competition from a variety of sources, including department stores, mass merchandisers, other specialty stores and discount and off-price retailers that sell big &amp; tall men’s clothing. While we have successfully competed on the basis of merchandise selection, comfort and fit, customer service and desirable store locations, there can be no assurances that other retailers, including e-commerce retailers, will not adopt purchasing and marketing concepts similar to ours. Discount retailers with significant buying power, such as Wal-Mart and J.C. Penney, represent a source of competition for us. The direct business has many competitors, including the King Size catalog and website as well as online marketplaces, such as Amazon.</w:t>
      </w:r>
    </w:p>
    <w:p>
      <w:pPr>
        <w:spacing w:after="0" w:line="15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United States big &amp; tall men’s clothing market is highly competitive with many national and regional department stores, specialty apparel retailers, single market operators and discount stores offering a broad range of apparel products similar to ours, the similarity being that the clothes they sell are intended for big and tall men. Besides retail competitors, we consider any casual apparel manufacturer operating in outlet malls throughout the United States to be a competitor in the casual apparel market. We believe that we are the only national operator of men’s apparel stores focused exclusively on the men’s big &amp; tall market.</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fourth quarter, because of the holiday season. Our inventory is typically at peak levels by the end of the third quarter, which represents a significant use of cash, which is then relieved in the fourth quarter as we sell-down our inventory through the holiday shopping season.</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104" w:lineRule="exact"/>
        <w:rPr>
          <w:sz w:val="20"/>
          <w:szCs w:val="20"/>
          <w:color w:val="auto"/>
        </w:rPr>
      </w:pPr>
    </w:p>
    <w:p>
      <w:pPr>
        <w:jc w:val="both"/>
        <w:spacing w:after="0" w:line="194" w:lineRule="auto"/>
        <w:rPr>
          <w:sz w:val="20"/>
          <w:szCs w:val="20"/>
          <w:color w:val="auto"/>
        </w:rPr>
      </w:pPr>
      <w:r>
        <w:rPr>
          <w:rFonts w:ascii="Arial" w:cs="Arial" w:eastAsia="Arial" w:hAnsi="Arial"/>
          <w:sz w:val="18"/>
          <w:szCs w:val="18"/>
          <w:color w:val="auto"/>
        </w:rPr>
        <w:t>We own several service marks and trademarks relating to our businesses, including, among others, “Destination XL</w:t>
      </w:r>
      <w:r>
        <w:rPr>
          <w:rFonts w:ascii="Arial" w:cs="Arial" w:eastAsia="Arial" w:hAnsi="Arial"/>
          <w:sz w:val="24"/>
          <w:szCs w:val="24"/>
          <w:color w:val="auto"/>
          <w:vertAlign w:val="superscript"/>
        </w:rPr>
        <w:t>®</w:t>
      </w:r>
      <w:r>
        <w:rPr>
          <w:rFonts w:ascii="Arial" w:cs="Arial" w:eastAsia="Arial" w:hAnsi="Arial"/>
          <w:sz w:val="18"/>
          <w:szCs w:val="18"/>
          <w:color w:val="auto"/>
        </w:rPr>
        <w:t>”, “DXL</w:t>
      </w:r>
      <w:r>
        <w:rPr>
          <w:rFonts w:ascii="Arial" w:cs="Arial" w:eastAsia="Arial" w:hAnsi="Arial"/>
          <w:sz w:val="24"/>
          <w:szCs w:val="24"/>
          <w:color w:val="auto"/>
          <w:vertAlign w:val="superscript"/>
        </w:rPr>
        <w:t>®</w:t>
      </w:r>
      <w:r>
        <w:rPr>
          <w:rFonts w:ascii="Arial" w:cs="Arial" w:eastAsia="Arial" w:hAnsi="Arial"/>
          <w:sz w:val="18"/>
          <w:szCs w:val="18"/>
          <w:color w:val="auto"/>
        </w:rPr>
        <w:t>”, “DXL Mens Apparel</w:t>
      </w:r>
      <w:r>
        <w:rPr>
          <w:rFonts w:ascii="Arial" w:cs="Arial" w:eastAsia="Arial" w:hAnsi="Arial"/>
          <w:sz w:val="24"/>
          <w:szCs w:val="24"/>
          <w:color w:val="auto"/>
          <w:vertAlign w:val="superscript"/>
        </w:rPr>
        <w:t>®</w:t>
      </w:r>
      <w:r>
        <w:rPr>
          <w:rFonts w:ascii="Arial" w:cs="Arial" w:eastAsia="Arial" w:hAnsi="Arial"/>
          <w:sz w:val="18"/>
          <w:szCs w:val="18"/>
          <w:color w:val="auto"/>
        </w:rPr>
        <w:t>”, “Big on Being Better</w:t>
      </w:r>
      <w:r>
        <w:rPr>
          <w:rFonts w:ascii="Arial" w:cs="Arial" w:eastAsia="Arial" w:hAnsi="Arial"/>
          <w:sz w:val="24"/>
          <w:szCs w:val="24"/>
          <w:color w:val="auto"/>
          <w:vertAlign w:val="superscript"/>
        </w:rPr>
        <w:t>®</w:t>
      </w:r>
      <w:r>
        <w:rPr>
          <w:rFonts w:ascii="Arial" w:cs="Arial" w:eastAsia="Arial" w:hAnsi="Arial"/>
          <w:sz w:val="18"/>
          <w:szCs w:val="18"/>
          <w:color w:val="auto"/>
        </w:rPr>
        <w:t>”, “Casual Male</w:t>
      </w:r>
      <w:r>
        <w:rPr>
          <w:rFonts w:ascii="Arial" w:cs="Arial" w:eastAsia="Arial" w:hAnsi="Arial"/>
          <w:sz w:val="24"/>
          <w:szCs w:val="24"/>
          <w:color w:val="auto"/>
          <w:vertAlign w:val="superscript"/>
        </w:rPr>
        <w:t>®</w:t>
      </w:r>
      <w:r>
        <w:rPr>
          <w:rFonts w:ascii="Arial" w:cs="Arial" w:eastAsia="Arial" w:hAnsi="Arial"/>
          <w:sz w:val="18"/>
          <w:szCs w:val="18"/>
          <w:color w:val="auto"/>
        </w:rPr>
        <w:t>”, “Casual Male XL</w:t>
      </w:r>
      <w:r>
        <w:rPr>
          <w:rFonts w:ascii="Arial" w:cs="Arial" w:eastAsia="Arial" w:hAnsi="Arial"/>
          <w:sz w:val="24"/>
          <w:szCs w:val="24"/>
          <w:color w:val="auto"/>
          <w:vertAlign w:val="superscript"/>
        </w:rPr>
        <w:t>®</w:t>
      </w:r>
      <w:r>
        <w:rPr>
          <w:rFonts w:ascii="Arial" w:cs="Arial" w:eastAsia="Arial" w:hAnsi="Arial"/>
          <w:sz w:val="18"/>
          <w:szCs w:val="18"/>
          <w:color w:val="auto"/>
        </w:rPr>
        <w:t>”, “Harbor Bay</w:t>
      </w:r>
      <w:r>
        <w:rPr>
          <w:rFonts w:ascii="Arial" w:cs="Arial" w:eastAsia="Arial" w:hAnsi="Arial"/>
          <w:sz w:val="24"/>
          <w:szCs w:val="24"/>
          <w:color w:val="auto"/>
          <w:vertAlign w:val="superscript"/>
        </w:rPr>
        <w:t>®</w:t>
      </w:r>
      <w:r>
        <w:rPr>
          <w:rFonts w:ascii="Arial" w:cs="Arial" w:eastAsia="Arial" w:hAnsi="Arial"/>
          <w:sz w:val="18"/>
          <w:szCs w:val="18"/>
          <w:color w:val="auto"/>
        </w:rPr>
        <w:t>”, “Oak Hill</w:t>
      </w:r>
      <w:r>
        <w:rPr>
          <w:rFonts w:ascii="Arial" w:cs="Arial" w:eastAsia="Arial" w:hAnsi="Arial"/>
          <w:sz w:val="24"/>
          <w:szCs w:val="24"/>
          <w:color w:val="auto"/>
          <w:vertAlign w:val="superscript"/>
        </w:rPr>
        <w:t>®</w:t>
      </w:r>
      <w:r>
        <w:rPr>
          <w:rFonts w:ascii="Arial" w:cs="Arial" w:eastAsia="Arial" w:hAnsi="Arial"/>
          <w:sz w:val="18"/>
          <w:szCs w:val="18"/>
          <w:color w:val="auto"/>
        </w:rPr>
        <w:t>”, “Continuous Comfort</w:t>
      </w:r>
      <w:r>
        <w:rPr>
          <w:rFonts w:ascii="Arial" w:cs="Arial" w:eastAsia="Arial" w:hAnsi="Arial"/>
          <w:sz w:val="24"/>
          <w:szCs w:val="24"/>
          <w:color w:val="auto"/>
          <w:vertAlign w:val="superscript"/>
        </w:rPr>
        <w:t>®</w:t>
      </w:r>
      <w:r>
        <w:rPr>
          <w:rFonts w:ascii="Arial" w:cs="Arial" w:eastAsia="Arial" w:hAnsi="Arial"/>
          <w:sz w:val="18"/>
          <w:szCs w:val="18"/>
          <w:color w:val="auto"/>
        </w:rPr>
        <w:t>”, “Synrgy™”, “Society of One</w:t>
      </w:r>
      <w:r>
        <w:rPr>
          <w:rFonts w:ascii="Arial" w:cs="Arial" w:eastAsia="Arial" w:hAnsi="Arial"/>
          <w:sz w:val="24"/>
          <w:szCs w:val="24"/>
          <w:color w:val="auto"/>
          <w:vertAlign w:val="superscript"/>
        </w:rPr>
        <w:t>®</w:t>
      </w:r>
      <w:r>
        <w:rPr>
          <w:rFonts w:ascii="Arial" w:cs="Arial" w:eastAsia="Arial" w:hAnsi="Arial"/>
          <w:sz w:val="18"/>
          <w:szCs w:val="18"/>
          <w:color w:val="auto"/>
        </w:rPr>
        <w:t>” and “True Nation</w:t>
      </w:r>
      <w:r>
        <w:rPr>
          <w:rFonts w:ascii="Arial" w:cs="Arial" w:eastAsia="Arial" w:hAnsi="Arial"/>
          <w:sz w:val="24"/>
          <w:szCs w:val="24"/>
          <w:color w:val="auto"/>
          <w:vertAlign w:val="superscript"/>
        </w:rPr>
        <w:t>®</w:t>
      </w:r>
      <w:r>
        <w:rPr>
          <w:rFonts w:ascii="Arial" w:cs="Arial" w:eastAsia="Arial" w:hAnsi="Arial"/>
          <w:sz w:val="18"/>
          <w:szCs w:val="18"/>
          <w:color w:val="auto"/>
        </w:rPr>
        <w:t>”. We also hold a U.S. patent for an extendable collar system, which is marketed as “Neck-Relaxer</w:t>
      </w:r>
      <w:r>
        <w:rPr>
          <w:rFonts w:ascii="Arial" w:cs="Arial" w:eastAsia="Arial" w:hAnsi="Arial"/>
          <w:sz w:val="24"/>
          <w:szCs w:val="24"/>
          <w:color w:val="auto"/>
          <w:vertAlign w:val="superscript"/>
        </w:rPr>
        <w:t>®</w:t>
      </w:r>
      <w:r>
        <w:rPr>
          <w:rFonts w:ascii="Arial" w:cs="Arial" w:eastAsia="Arial" w:hAnsi="Arial"/>
          <w:sz w:val="18"/>
          <w:szCs w:val="18"/>
          <w:color w:val="auto"/>
        </w:rPr>
        <w:t>” and a U.S. copyright for a no-iron hang tag.</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ENVIRONMENTAL, SOCIAL AND GOVERNANCE</w:t>
      </w:r>
    </w:p>
    <w:p>
      <w:pPr>
        <w:spacing w:after="0" w:line="10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At DXL, corporate social responsibility and sustainability has been a focus for many years and we recognize the importance of environmental, social and governance ("ESG") issues. We are diligently working to enhance and develop a platform that we can share with our stakeholders. During fiscal 2021, we formed the Corporate Social Responsibility Committee, comprising a cross-discipline of corporate management and engaged with a third-party firm to assist us in the development of the Company's ESG policies and initiatives.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10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As of January 29, 2022, we had 1,353 employees. We hire additional temporary employees during the peak Fall and Holiday seasons. None of our employees is represented by any collective bargaining agreement. Our associates are our greatest asset and we are committed to providing them a safe and healthy work environment. Each associate is required to sign a set of policies that include, among other policies, the code of ethics, anti-harassment and procedures for raising a complaint. Our policies also contain protection of human rights and prohibit, among other things, the use of child labor or forced, bonded or indentured labor.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and Diversity</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1" w:name="page12"/>
    <w:bookmarkEnd w:id="11"/>
    <w:p>
      <w:pPr>
        <w:spacing w:after="0" w:line="254" w:lineRule="auto"/>
        <w:rPr>
          <w:sz w:val="20"/>
          <w:szCs w:val="20"/>
          <w:color w:val="auto"/>
        </w:rPr>
      </w:pPr>
      <w:r>
        <w:rPr>
          <w:rFonts w:ascii="Arial" w:cs="Arial" w:eastAsia="Arial" w:hAnsi="Arial"/>
          <w:sz w:val="17"/>
          <w:szCs w:val="17"/>
          <w:color w:val="auto"/>
        </w:rPr>
        <w:t>We are committed to inclusivity, acceptance, and equality. Since 2017, we have had a diversity and inclusion initiative called “Normalizing the Brand.” The program brings awareness to unconscious bias and focuses on ensuring that the composition of our organization looks and feels like the communities where we live and serve. We have policies and training in place with respect to anti-discrimination and anti-harassment, among others, and provide our associates with access to an anonymous hot-line for reporting any concerns. Throughout the year, we require our associates to participate in educational videos. In early 2022, we will be launching a survey to all associates, specifically focused on Inclusion and Diversity. In early 2021, we joined with CEO Action for Diversity &amp; Inclusion, a coalition of nearly 2,000 CEOs, pledging to advance diversity and inclusion in the workplace. By signing on to this commitment, we have pledged to take action to cultivate a workplace where diverse perspectives and experiences are welcomed and respected, and where employees feel encouraged to discuss diversity and inclusion without retribution.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Workplace, Culture and Career Development</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are committed to providing our associates an environment where they have an opportunity to provide input on issues affecting the Company’s workforce and the employer-associate relationship. Periodically through the year, we encourage feedback and ideas from our associates through our annual engagement surveys and periodic pulse surveys. Perhaps most importantly, we promote professional and career development and mentorship programs. In 2014, our Associate Engagement &amp; Development Committee implemented the DXLG Mentor Program, which pairs up to 20 mentees with mentors for one-year periods. In April 2016, the DXL Women’s Leadership Group was formed with a mission of “Women supporting, educating and empowering each other @ DXLG”. It started as a pilot program and quickly expanded to now include over 40 female leaders, both people and process managers, in the corporate office and field. In addition, for the past four years, we have presented Leadercast, a platform for leadership development content (held annually in May) and Leadercast Women (held annually in October) as a host site at our corporate headquarters. For the past two years, the programs were made available via an online platform. Our Associate Engagement &amp; Development Committee organizes “Lunch, Learn, Lead” and “Coffee Talk” sessions throughout the year to provide our associates an opportunity to gain insight on a variety of topics, such as, DXL’s social responsibility initiatives, TED talks, Global Sourcing, Normalizing the Brand and Technology. We also have partnered with Marist College to provide our DXL associates and their immediate adult family members a 25% discount toward on-line tuition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compensation programs are designed to pay our associates competitively in the market, based on their skills, qualifications, role, and abilities. Our benefits are designed to help employees and their families stay healthy and help them balance their work and personal lives. These benefits include health and wellness, paid time off, employee assistance, competitive pay, career growth opportunities, paid volunteer time, product discounts, and a culture of recognition. The challenges created by the global pandemic brought mental health awareness to the forefront. We began a program with CALM, an app that provides our home office associates an opportunity to incorporate meditation and other mindfulness activities into their daily routines as well as BurnAlong, a free online health, wellness and fitness platform available to all associates. We also provide an Employee Assistance Program (EAP) which provides 24/7 assistance to associates and their family members for a variety of issues such as stress, family, parenting, finances.</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 xml:space="preserve">Our corporate website is </w:t>
      </w:r>
      <w:r>
        <w:rPr>
          <w:rFonts w:ascii="Arial" w:cs="Arial" w:eastAsia="Arial" w:hAnsi="Arial"/>
          <w:sz w:val="17"/>
          <w:szCs w:val="17"/>
          <w:u w:val="single" w:color="auto"/>
          <w:color w:val="auto"/>
        </w:rPr>
        <w:t>www.dxl.com.</w:t>
      </w:r>
      <w:r>
        <w:rPr>
          <w:rFonts w:ascii="Arial" w:cs="Arial" w:eastAsia="Arial" w:hAnsi="Arial"/>
          <w:sz w:val="17"/>
          <w:szCs w:val="17"/>
          <w:color w:val="auto"/>
        </w:rPr>
        <w:t xml:space="preserve"> Our investor relations site is </w:t>
      </w:r>
      <w:r>
        <w:rPr>
          <w:rFonts w:ascii="Arial" w:cs="Arial" w:eastAsia="Arial" w:hAnsi="Arial"/>
          <w:sz w:val="17"/>
          <w:szCs w:val="17"/>
          <w:u w:val="single" w:color="auto"/>
          <w:color w:val="auto"/>
        </w:rPr>
        <w:t>http://investor.dxl.com.</w:t>
      </w:r>
      <w:r>
        <w:rPr>
          <w:rFonts w:ascii="Arial" w:cs="Arial" w:eastAsia="Arial" w:hAnsi="Arial"/>
          <w:sz w:val="17"/>
          <w:szCs w:val="17"/>
          <w:color w:val="auto"/>
        </w:rPr>
        <w:t xml:space="preserve"> We make available through our website, free of charge,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0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following risk factors are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our projected results or events will be achieved or will occur.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Our Industry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 may not be successful in executing our strategy and growing our market share.</w:t>
      </w:r>
    </w:p>
    <w:p>
      <w:pPr>
        <w:spacing w:after="0" w:line="10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For us to be successful in the future and maintain growth, we must be able to continue increasing our share of the big &amp; tall men’s apparel market. Our growth is dependent on our ability to continue to build upon our DXL brand, maintain our existing customers and continue to attract new customers. Our failure to execute our strategy successfully could prevent us from growing our market share, which could have a material adverse effect on our results of operations, cash flows and financial position, including if we were unable to:</w:t>
      </w:r>
    </w:p>
    <w:p>
      <w:pPr>
        <w:spacing w:after="0" w:line="80" w:lineRule="exact"/>
        <w:rPr>
          <w:sz w:val="20"/>
          <w:szCs w:val="20"/>
          <w:color w:val="auto"/>
        </w:rPr>
      </w:pPr>
    </w:p>
    <w:p>
      <w:pPr>
        <w:ind w:left="780" w:hanging="263"/>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 our DXL e-commerce business;</w:t>
      </w:r>
    </w:p>
    <w:p>
      <w:pPr>
        <w:spacing w:after="0" w:line="103" w:lineRule="exact"/>
        <w:rPr>
          <w:rFonts w:ascii="Arial" w:cs="Arial" w:eastAsia="Arial" w:hAnsi="Arial"/>
          <w:sz w:val="18"/>
          <w:szCs w:val="18"/>
          <w:color w:val="auto"/>
        </w:rPr>
      </w:pPr>
    </w:p>
    <w:p>
      <w:pPr>
        <w:ind w:left="780" w:right="20" w:hanging="263"/>
        <w:spacing w:after="0" w:line="261"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an effective modern marketing program to build store and digital awareness as well as increase store and online traffic, attract customers across all channels, and grow sales;</w:t>
      </w:r>
    </w:p>
    <w:p>
      <w:pPr>
        <w:spacing w:after="0" w:line="62" w:lineRule="exact"/>
        <w:rPr>
          <w:rFonts w:ascii="Arial" w:cs="Arial" w:eastAsia="Arial" w:hAnsi="Arial"/>
          <w:sz w:val="18"/>
          <w:szCs w:val="18"/>
          <w:color w:val="auto"/>
        </w:rPr>
      </w:pPr>
    </w:p>
    <w:p>
      <w:pPr>
        <w:ind w:left="780" w:hanging="263"/>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predict and respond to fashion trends, while offering our customers a broad selection of merchandise in an extended selection of sizes;</w:t>
      </w:r>
    </w:p>
    <w:p>
      <w:pPr>
        <w:spacing w:after="0" w:line="115" w:lineRule="exact"/>
        <w:rPr>
          <w:rFonts w:ascii="Arial" w:cs="Arial" w:eastAsia="Arial" w:hAnsi="Arial"/>
          <w:sz w:val="17"/>
          <w:szCs w:val="17"/>
          <w:color w:val="auto"/>
        </w:rPr>
      </w:pPr>
    </w:p>
    <w:p>
      <w:pPr>
        <w:ind w:left="780" w:hanging="263"/>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 our existing customer base;</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and retain new customers across all channels;</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qualified store management and store associates;</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grow and then sustain the number of transactions, units-per-transaction and share of wallet; and</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at appropriate operating margins.</w:t>
      </w:r>
    </w:p>
    <w:p>
      <w:pPr>
        <w:spacing w:after="0" w:line="306"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u w:val="single" w:color="auto"/>
          <w:color w:val="auto"/>
        </w:rPr>
        <w:t>Our marketing programs and efforts to drive traffic and convert that traffic into an increased loyal customer base are critical to achieving market share growth within the big &amp; tall men’s apparel market and may not be successful.</w:t>
      </w:r>
    </w:p>
    <w:p>
      <w:pPr>
        <w:spacing w:after="0" w:line="7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ability to increase our share of the big &amp; tall men’s apparel market is largely dependent on effectively marketing our merchandise to all of our target customers in several diverse market segments so that they will become loyal shoppers who spend a greater portion of their wallets on our product offerings. In order to grow our market share, we depend on the success of our marketing and advertising in a variety of ways, including streaming media advertising, advertising events, loyalty programs, direct mail, and digital marketing, including social media and customer prospecting. Our business is directly impacted by the success of these efforts and those of our vendors. Future marketing efforts by us, our vendors or our other licensors, may be more costly than prior years and, if not successful, may negatively affect our ability to meet our sales goals and gain market share.</w:t>
      </w:r>
    </w:p>
    <w:p>
      <w:pPr>
        <w:spacing w:after="0" w:line="256"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b w:val="1"/>
          <w:bCs w:val="1"/>
          <w:i w:val="1"/>
          <w:iCs w:val="1"/>
          <w:u w:val="single" w:color="auto"/>
          <w:color w:val="auto"/>
        </w:rPr>
        <w:t>Our direct business is a significant component of our growth strategy, and the failure to develop our e-commerce and internet infrastructure could disrupt our business and negatively impact our sales.</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continue to have increasing levels of sales made through online shopping and via mobile devices. We have made significant investments in capital spending and labor to develop these channels and increased investments in digital marketing to attract new customers. The growth of our overall sales is dependent on customers’ continuing to expand their online purchases in addition to in-store purchases. Over the past two fiscal years, we have seen significant growth in our direct business, with revenue for fiscal 2021 increasing 45.3% from fiscal 2019. While it is our objective to continue to grow this business, there can be no assurance that this growth will continue or be sustainable.</w:t>
      </w:r>
    </w:p>
    <w:p>
      <w:pPr>
        <w:spacing w:after="0" w:line="6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success in growing our direct business will depend in part upon our development of an increasingly sophisticated e-commerce experience and infrastructure. Increasing sophistication requires that we provide additional website features, functionality and messaging in order to be competitive in the marketplace and maintain market share. We continually update our website features, but we cannot predict future trends and required functionality or our adoption rate for customer preferences. In addition, we are vulnerable to additional risks and uncertainties associated with e-commerce sales, including security breaches, cyber-attacks, consumer privacy concerns, changes in state tax regimes and government regulation of internet activities. Our failure to respond to</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ind w:right="20"/>
        <w:spacing w:after="0" w:line="261" w:lineRule="auto"/>
        <w:rPr>
          <w:sz w:val="20"/>
          <w:szCs w:val="20"/>
          <w:color w:val="auto"/>
        </w:rPr>
      </w:pPr>
      <w:r>
        <w:rPr>
          <w:rFonts w:ascii="Arial" w:cs="Arial" w:eastAsia="Arial" w:hAnsi="Arial"/>
          <w:sz w:val="18"/>
          <w:szCs w:val="18"/>
          <w:color w:val="auto"/>
        </w:rPr>
        <w:t>these risks and uncertainties successfully could reduce our direct sales, increase our costs and diminish our growth prospects, which could negatively affect our operating results.</w:t>
      </w:r>
    </w:p>
    <w:p>
      <w:pPr>
        <w:spacing w:after="0" w:line="27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u w:val="single" w:color="auto"/>
          <w:color w:val="auto"/>
        </w:rPr>
        <w:t>If we are unable to develop and implement our omni-channel initiatives successfully, our market share and financial results could be adversely affected.</w:t>
      </w:r>
    </w:p>
    <w:p>
      <w:pPr>
        <w:spacing w:after="0" w:line="63"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Our customer’s shopping behavior continues to evolve across multiple channels and we are working to meet his needs, with the real time store inventory visibility, our mobile app, the expansion of our BOPIS (buy online pick up in stores) and BOPAC (buy online pick up curbside) to help our customers continue to shop during the pandemic. We consider ourselves a customer centric omni-channel retailer, and we continue to make ongoing investments in our information technology systems to support evolving omni-channel capabilities.</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Omni-channel retailing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omni-channel initiatives, some of which may be more successful than our initiatives.</w:t>
      </w:r>
    </w:p>
    <w:p>
      <w:pPr>
        <w:spacing w:after="0" w:line="16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If the investment in our omni-channel initiatives is not successful, our systems are unable to support such initiatives, or if our competitors are more successful, our financial results and our market penetration may be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loss of, or disruption in, our centralized distribution center could negatively impact our business and operations.</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or disruptions in our distribution center, including potential restrictions due to the pandemic, could result in delays in the delivery of merchandise to our stores or directly to our customers. The COVID-19 pandemic has also resulted in labor shortages, which may affect our ability to process and ship inventory in a timely manner.</w:t>
      </w:r>
    </w:p>
    <w:p>
      <w:pPr>
        <w:spacing w:after="0" w:line="16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could materially affect our business. This type of disaster is mitigated by our offsite storage and disaster recovery plans, but we would still incur business interruption that may impact our business a significant period of time.</w:t>
      </w:r>
    </w:p>
    <w:p>
      <w:pPr>
        <w:spacing w:after="0" w:line="182"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relating to our distribution center.</w:t>
      </w:r>
    </w:p>
    <w:p>
      <w:pPr>
        <w:spacing w:after="0" w:line="29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u w:val="single" w:color="auto"/>
          <w:color w:val="auto"/>
        </w:rPr>
        <w:t>The global impact of the COVID-19 pandemic and its variants have had and, based on the current status and uncertainty, may continue to have an adverse effect on our business, financial results, liquidity, supply chain and workforce</w:t>
      </w:r>
      <w:r>
        <w:rPr>
          <w:rFonts w:ascii="Arial" w:cs="Arial" w:eastAsia="Arial" w:hAnsi="Arial"/>
          <w:sz w:val="18"/>
          <w:szCs w:val="18"/>
          <w:b w:val="1"/>
          <w:bCs w:val="1"/>
          <w:i w:val="1"/>
          <w:iCs w:val="1"/>
          <w:color w:val="auto"/>
        </w:rPr>
        <w:t>.</w:t>
      </w:r>
    </w:p>
    <w:p>
      <w:pPr>
        <w:spacing w:after="0" w:line="63"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Since 2020, the COVID-19 pandemic and its variants have caused global uncertainty and disruption and has had a material impact on our business, predominately in fiscal 2020 and early 2021. While we saw significant recovery in our business during fiscal 2021, continued risk and uncertainty remain particularly related to the potential for new variants, current and future actions that may be taken by federal, state and local agencies to mitigate any resurgences, the disruption and recovery of the global supply chain, the long-term economic impact, inflationary pressures, and the continuing labor shortages.</w:t>
      </w:r>
    </w:p>
    <w:p>
      <w:pPr>
        <w:spacing w:after="0" w:line="81" w:lineRule="exact"/>
        <w:rPr>
          <w:sz w:val="20"/>
          <w:szCs w:val="20"/>
          <w:color w:val="auto"/>
        </w:rPr>
      </w:pPr>
    </w:p>
    <w:p>
      <w:pPr>
        <w:ind w:right="360"/>
        <w:spacing w:after="0" w:line="324" w:lineRule="auto"/>
        <w:rPr>
          <w:sz w:val="20"/>
          <w:szCs w:val="20"/>
          <w:color w:val="auto"/>
        </w:rPr>
      </w:pPr>
      <w:r>
        <w:rPr>
          <w:rFonts w:ascii="Arial" w:cs="Arial" w:eastAsia="Arial" w:hAnsi="Arial"/>
          <w:sz w:val="16"/>
          <w:szCs w:val="16"/>
          <w:color w:val="auto"/>
        </w:rPr>
        <w:t>Further, we also recognize that our business benefited from a certain level of pent-up demand and fiscal stimulus policy during fiscal 2021, which may have a negative impact our financial results in fiscal 2022 if we are not able to successfully manage the potential shifts in consumer spending.</w:t>
      </w:r>
    </w:p>
    <w:p>
      <w:pPr>
        <w:spacing w:after="0" w:line="1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Even after the COVID-19 pandemic subsides, our business may be negatively impacted, specifically as it relates to the changes in consumer spending behaviors, the labor market, the global supply chain and inflation, resulting from the pandemic.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business may be adversely affected due to disruptions in the global supply chain.</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Disruptions in the global supply chain in foreign ports and shortages of vessels and shipping containers may impact our ability to import inventory in a timely manner. The impact of COVID-19 and labor shortages on domestic ports has also created a similar disruption in the supply chain and may continue to cause delays in the receipt and shipment of inventory. In addition, the recent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4" w:name="page15"/>
    <w:bookmarkEnd w:id="14"/>
    <w:p>
      <w:pPr>
        <w:ind w:right="140"/>
        <w:spacing w:after="0" w:line="279" w:lineRule="auto"/>
        <w:rPr>
          <w:sz w:val="20"/>
          <w:szCs w:val="20"/>
          <w:color w:val="auto"/>
        </w:rPr>
      </w:pPr>
      <w:r>
        <w:rPr>
          <w:rFonts w:ascii="Arial" w:cs="Arial" w:eastAsia="Arial" w:hAnsi="Arial"/>
          <w:sz w:val="16"/>
          <w:szCs w:val="16"/>
          <w:color w:val="auto"/>
        </w:rPr>
        <w:t>invasion by Russia of Ukraine may cause additional tariffs, sanctions, import/export restrictions and future actions that may have a negative impact on the supply chain and may limit the availability of certain raw materials and associated cost. 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loss of sales and an adverse impact on our results of operations. Further, we may also incur incremental freight costs which could negatively harm our gross margin rates.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business may be adversely affected if we are unable to manage our store portfolio successfully.</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lease all of our store locations. Renewing and renegotiating these leases at acceptable lease terms is critical to the profitability of our stores. Since the start of the pandemic in March 2020, we have worked closely with our landlords to renegotiate and restructure the majority of our lease portfolio. While sales from the majority of our stores returned to pre-pandemic levels in fiscal 2021, given the ongoing variants, supply chain issues and labor shortages, certain stores may not be profitable and we may not be able to renew existing agreements. We will continue to evaluate our store portfolio to optimize store profitability and omni-channel distribution. As part of that evaluation, we may choose not to renew certain lease locations. We are actively reviewing opportunities to relocate or convert Casual Male XL stores to DXL and we are reviewing white space opportunities in markets where our store footprint is underpenetrated. We expect to continue to invest in stores over the next several years as we further strengthen the store portfolio, but if we are unable to find locations or obtain favorable lease terms, we may not be able to grow or maintain our current store base.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 are dependent on third parties for the manufacture of the merchandise we sell.</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private-label merchandise would negatively impact proper inventory levels, sales and gross margin rates, and ultimately our results of operations.</w:t>
      </w:r>
    </w:p>
    <w:p>
      <w:pPr>
        <w:spacing w:after="0" w:line="7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were forced to rely on manufacturers who produce products of inferior quality, then our brand and customer satisfaction would likely suffer which would negatively impact our business. These manufacturers may also increase the cost to us of the products we purchase from them. The Company publishes a Code of Conduct, which is a part of every agreement requiring compliance by the manufacturing facilities.</w:t>
      </w:r>
    </w:p>
    <w:p>
      <w:pPr>
        <w:spacing w:after="0" w:line="8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United States Treasury Department has placed sanctions on China’s Xinjiang Production and Construction Corporation ("XPCC") for serious human rights abuses against ethnic minorities in China’s Xinjiang Uyghur Autonomous Region ("XUAR"). In addition, in January 2021, the US Customs Border Protection (“CBP”) issued a Withhold Release Order on Products Made in Xinjiang region of China released. In response to the problems in Xinjiang, we developed a Compliance Certificate of Traceability for our cotton vendors. Although we prohibit our vendors from doing business with XPCC, we could be subject to penalties, fines or sanctions and our brand could be harmed if any of the vendors from which we purchase product is found to have done business, directly or indirectly, with XPCC.</w:t>
      </w:r>
    </w:p>
    <w:p>
      <w:pPr>
        <w:spacing w:after="0" w:line="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work with a third-party audit vendor to ensure a responsible and ethical supply chain. We are and will continue to pursue our corporate responsibilities and create a positive effect on human rights as well as the environment. If, despite third-party audits, the manufacturing facilities engage in workplace or human rights violations and we are unable to identify or correct it, it may negatively affect our business and harm our brand.</w:t>
      </w:r>
    </w:p>
    <w:p>
      <w:pPr>
        <w:spacing w:after="0" w:line="2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62"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We may be harmed by security risks we face in connection with our electronic processing and transmission of confidential customer information. The majority of our retail sales are settled through credit and debit card transactions. While our Board of Directors has a Cybersecurity and Data Privacy Committee to oversee the monitoring and management of cyber risk and data privacy for our Company, and we have not had any security breaches to date, any breach could expose us to risks of loss, litigation, and liability and could adversely affect our operations as well as cause our shoppers to stop shopping with us as a result of their lack of confidence in the security of their personally identifiable information, which could have a negative impact on our sales and profitability. We attempt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ind w:right="60"/>
        <w:spacing w:after="0" w:line="238" w:lineRule="auto"/>
        <w:rPr>
          <w:sz w:val="20"/>
          <w:szCs w:val="20"/>
          <w:color w:val="auto"/>
        </w:rPr>
      </w:pPr>
      <w:r>
        <w:rPr>
          <w:rFonts w:ascii="Arial" w:cs="Arial" w:eastAsia="Arial" w:hAnsi="Arial"/>
          <w:sz w:val="17"/>
          <w:szCs w:val="17"/>
          <w:color w:val="auto"/>
        </w:rPr>
        <w:t>to limit exposures to security breaches and sensitive customer data through the use of “tokens” in connection with both in-store and online credit card transactions, which eliminates the storage of credit card numbers. Like many retailers, we have seen an increase in cyberattack attempts, predominantly through phishing and social engineering scams, and in particular, ransomware. While none of these attempts has been successful, there can be no assurance that our continued security measures will be effective or sufficient in the future. If third parties are able to penetrate our network security or otherwise misappropriate the personal information or credit card information of our customers or if third parties gain unauthorized and improper access to such information, we could be subject to liability. These liabilities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177"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Further, if a third party were to use this proprietary customer information in order to compete with us, it could have a material adverse impact on our business and could result in litigation.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business is highly competitive, and competitive factors may reduce our revenues and profit margins.</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United States big &amp; tall men’s apparel market is highly competitive with many national and regional department stores, mass merchandisers, specialty apparel retailers, discount stores and online retailers offering a broad range of apparel products similar to the products that we sell. Besides retail competitors, we consider any manufacturer of big &amp; tall men’s merchandise operating in outlet malls throughout the United States to be a competitor. It is also possible that another competitor, either a mass merchant or a men’s specialty store or specialty apparel catalog, could gain market share in big &amp; tall men’s apparel due to more favorable pricing, locations, brand and fashion assortment and size availability. Many of our competitors and potential competitors may have substantially greater financial, manufacturing and marketing resources than we do.</w:t>
      </w:r>
    </w:p>
    <w:p>
      <w:pPr>
        <w:spacing w:after="0" w:line="17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presence in the marketplace of various fashion trends and the limited availability of shelf space also can affect competition. We may not be able to compete successfully with our competitors in the future and could lose market share. A significant loss of market share would adversely affect our revenues and results of operations.</w:t>
      </w:r>
    </w:p>
    <w:p>
      <w:pPr>
        <w:spacing w:after="0" w:line="18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addition, we maintain exclusivity arrangements with several of the brands that we carry. If we were to lose any of these exclusivity arrangements or brands altogether, our revenues may be adversely affected.</w:t>
      </w:r>
    </w:p>
    <w:p>
      <w:pPr>
        <w:spacing w:after="0" w:line="27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u w:val="single" w:color="auto"/>
          <w:color w:val="auto"/>
        </w:rPr>
        <w:t>Our ability to operate and expand our business and to respond to changing business and economic conditions will depend on the availability of adequate capital.</w:t>
      </w:r>
    </w:p>
    <w:p>
      <w:pPr>
        <w:spacing w:after="0" w:line="63"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 We will also need sufficient cash flow to meet our future obligations under our existing credit facility.</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 In addition, because of the disruptions in the supply chain, inventory levels may be lower than expected. This directly impacts our borrowing base and there can be no assurance that we can effectively manage the balance of maintaining inventory and sufficient availability, especially during peak selling periods.</w:t>
      </w:r>
    </w:p>
    <w:p>
      <w:pPr>
        <w:spacing w:after="0" w:line="18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cannot makes assurances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significant financial and other covenants that may significantly restrict our operations and we cannot ensure we would be able to obtain refinancing or that such additional financing would be on favorable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business is seasonal and is affected by general economic conditions.</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business is seasonal. Historically, a significant portion of our operating income has been generated during our fourth quarter (November-January). If, for any reason, we miscalculate the demand for our products during our fourth quarter, our sales in that quarter could decline, resulting in higher labor costs as a percentage of sales, lower margins and excess inventory, which could cause our annual operating results to suffer. In addition, our operations may be negatively affected by local, regional or national economic conditions, such as levels of disposable consumer income, inflation, consumer debt, interest rates, consumer confidence and other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macro issues. Due to our seasonality, the possible adverse impact from such risks is potentially greater if any such risks occurs during our fourth quarter.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 may be unable to achieve our environmental, social and governance goals.</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committed to corporate social responsibility and sustainability and we recognize the importance of environmental, social and governance ("ESG") issues. During fiscal 2021, we formed the Corporate Social Responsibility Committee, comprising a cross-discipline of corporate management and engaged with a third-party firm to assist us in the development of the Company's ESG policies and initiatives.</w:t>
      </w:r>
    </w:p>
    <w:p>
      <w:pPr>
        <w:spacing w:after="0" w:line="74"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Achievement of our initiatives is subject to risks and uncertainties and we may fail to achieve our objectives. We may also incur additional costs and require additional resources to monitor, report, and comply with such ESG practices and regulations. We may also face pressure from our stockholders, customers and employees to make accelerated and material advancements in these ESG matters.</w:t>
      </w:r>
    </w:p>
    <w:p>
      <w:pPr>
        <w:spacing w:after="0" w:line="7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an increasing number of our stakeholders are considering sustainability factors when making related decisions regarding employment, brand loyalty and investment. Failure to establish effective policies, procedures and metrics may negatively affect our reputation, and it may be more difficult for us to compete effectively, all of which would have an adverse effect on our business, operating results, and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 may be unable to predict fashion trends and customer preferences successfully.</w:t>
      </w:r>
    </w:p>
    <w:p>
      <w:pPr>
        <w:spacing w:after="0" w:line="9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from our website, could have serious longer-term consequences, such as an adverse impact on our brand value and the loss of market share to our competitors.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loss of any of our key trademarks or licenses could adversely affect demand for our products.</w:t>
      </w:r>
    </w:p>
    <w:p>
      <w:pPr>
        <w:spacing w:after="0" w:line="9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 That May Affect Our Business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If our long-lived assets become impaired, we may need to record significant non-cash impairment charges.</w:t>
      </w:r>
    </w:p>
    <w:p>
      <w:pPr>
        <w:spacing w:after="0" w:line="90"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right-of-use assets and its property and equipment. In addition, significant negative industry or general economic trends, disruptions to our business and unexpected significant changes or planned changes in our use of the assets (such as store relocations or closures) may also result in impairment charges. Due to the uncertainty that remains regarding the duration of the pandemic and its impact on our store locations, we may need to take additional impairment charges. Any such impairment charges, if significant, could adversely affect our financial position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Changes to LIBOR may negatively impact us.</w:t>
      </w:r>
    </w:p>
    <w:p>
      <w:pPr>
        <w:spacing w:after="0" w:line="171"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The London interbank offered rate (“LIBOR”) is the basic rate of interest used in lending between banks on the London interbank market and is widely used as a reference for setting the interest rate on loans globally. Our current credit facility provides us an option to convert some of our prime-based borrowings into short-term LIBOR contracts.</w:t>
      </w:r>
    </w:p>
    <w:p>
      <w:pPr>
        <w:spacing w:after="0" w:line="16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Regulators in the United Kingdom that oversee LIBOR have stated that they cannot guarantee LIBOR's availability beyond the end of 2021 and expects that reliance on LIBOR will be phased out through June 2023. In the absence of a LIBOR rate, our credit facility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7" w:name="page18"/>
    <w:bookmarkEnd w:id="17"/>
    <w:p>
      <w:pPr>
        <w:spacing w:after="0" w:line="241" w:lineRule="auto"/>
        <w:rPr>
          <w:sz w:val="20"/>
          <w:szCs w:val="20"/>
          <w:color w:val="auto"/>
        </w:rPr>
      </w:pPr>
      <w:r>
        <w:rPr>
          <w:rFonts w:ascii="Arial" w:cs="Arial" w:eastAsia="Arial" w:hAnsi="Arial"/>
          <w:sz w:val="18"/>
          <w:szCs w:val="18"/>
          <w:color w:val="auto"/>
        </w:rPr>
        <w:t>with Citizens Bank, N.A. provides for a successor rate, based on the Secured Overnight Financing Rate. As such, while we do not expect that we will have to renegotiate our credit facility, we do not know whether it could result in increased interest costs. In the absence of a favorable LIBOR or successor rate, our borrowings bear interest based on the Federal Funds rate. At January 29, 2022, there were no outstanding borrowings under our credit facility, however, we cannot provide assurance that future interest rate charges will not have a material negative impact on our business, financial position, or operating results.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success depends significantly on our key personnel and our ability to attract and retain additional personnel.</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future success is dependent on the personal efforts, performance and abilities of our key management, which includes our executive officers as well as members of our senior management.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 The competition is intense for the type of highly skilled individuals with relevant industry experience that we require and we may not be able to continue to attract and retain new employees of the caliber needed to achieve our objectives.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Labor shortages or increases in labor costs due to new regulations could harm our business.</w:t>
      </w:r>
    </w:p>
    <w:p>
      <w:pPr>
        <w:spacing w:after="0" w:line="10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Due to the COVID-19 pandemic, during fiscal 2021 we continued to experience labor shortages primarily in our distribution facility and in our stores. If such labor shortages continue, especially during peak-selling periods, it may negatively impact our ability to process inventory in a timely manner and effectively staff our stores. Because of the tight labor market, during fiscal 2021, we increased our starting hourly rate to attract candidates. If we are unable to pass on these higher costs through price increases or reduced workforce hours, our margins and profitability may be adversely impacted which could have a material adverse effect on our business, results of operations or financial condition.</w:t>
      </w:r>
    </w:p>
    <w:p>
      <w:pPr>
        <w:spacing w:after="0" w:line="6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expect that the costs associated with ocean, rail and road transportation will continue to be higher than pre-pandemic levels and may increase further in fiscal 2022 as a result of continuing supply chain challenges and a tight labor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Fluctuations in the price, availability and quality of raw materials and finished goods could increase costs.</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Due to the COVID-19 pandemic and the ban of Xinjiang cotton, we are seeing cost increases in labor and across raw materials. We have secured raw materials in key item programs to reduce the impact on our gross margin. 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Failure to comply with laws, rules and regulations could negatively affect our business operations and financial performance</w:t>
      </w:r>
      <w:r>
        <w:rPr>
          <w:rFonts w:ascii="Arial" w:cs="Arial" w:eastAsia="Arial" w:hAnsi="Arial"/>
          <w:sz w:val="18"/>
          <w:szCs w:val="18"/>
          <w:b w:val="1"/>
          <w:bCs w:val="1"/>
          <w:i w:val="1"/>
          <w:iCs w:val="1"/>
          <w:color w:val="auto"/>
        </w:rPr>
        <w:t>.</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business is subject to federal, state, and increasing local rules and regulations, such as state and local wage and hour laws, the U.S. Foreign Corrupt Practices Act, the Employee Retirement Income Security Act (“ERISA”), securities laws, import and export laws (including customs regulations), privacy and information security regulations, unclaimed property laws,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Corporate Structure and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will likely continue to be volatile and fluctuate substantially.</w:t>
      </w:r>
    </w:p>
    <w:p>
      <w:pPr>
        <w:spacing w:after="0" w:line="17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market price of our common stock has been and will likely continue to fluctuate substantially as a result of many factors, some of which are beyond our control. For example, from September 8, 2021, when we relisted on the Nasdaq Global market through January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8" w:name="page19"/>
    <w:bookmarkEnd w:id="18"/>
    <w:p>
      <w:pPr>
        <w:ind w:right="100"/>
        <w:spacing w:after="0" w:line="261" w:lineRule="auto"/>
        <w:rPr>
          <w:sz w:val="20"/>
          <w:szCs w:val="20"/>
          <w:color w:val="auto"/>
        </w:rPr>
      </w:pPr>
      <w:r>
        <w:rPr>
          <w:rFonts w:ascii="Arial" w:cs="Arial" w:eastAsia="Arial" w:hAnsi="Arial"/>
          <w:sz w:val="18"/>
          <w:szCs w:val="18"/>
          <w:color w:val="auto"/>
        </w:rPr>
        <w:t>29, 2022, the reported price of our common stock has ranged from a low of $4.20 on January 28, 2022, to a high of $8.99 on November 17, 2021. Factors that could cause fluctuations in the market price of our common stock include the following:</w:t>
      </w:r>
    </w:p>
    <w:p>
      <w:pPr>
        <w:spacing w:after="0" w:line="130" w:lineRule="exact"/>
        <w:rPr>
          <w:sz w:val="20"/>
          <w:szCs w:val="20"/>
          <w:color w:val="auto"/>
        </w:rPr>
      </w:pPr>
    </w:p>
    <w:p>
      <w:pPr>
        <w:ind w:left="1500" w:hanging="369"/>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ongoing effect of the COVID pandemic and its variants on the retail industry and overall economy;</w:t>
      </w:r>
    </w:p>
    <w:p>
      <w:pPr>
        <w:spacing w:after="0" w:line="184" w:lineRule="exact"/>
        <w:rPr>
          <w:rFonts w:ascii="Arial" w:cs="Arial" w:eastAsia="Arial" w:hAnsi="Arial"/>
          <w:sz w:val="18"/>
          <w:szCs w:val="18"/>
          <w:color w:val="auto"/>
        </w:rPr>
      </w:pPr>
    </w:p>
    <w:p>
      <w:pPr>
        <w:ind w:left="1500" w:hanging="369"/>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 including the effects of inflation;</w:t>
      </w:r>
    </w:p>
    <w:p>
      <w:pPr>
        <w:spacing w:after="0" w:line="171" w:lineRule="exact"/>
        <w:rPr>
          <w:rFonts w:ascii="Arial" w:cs="Arial" w:eastAsia="Arial" w:hAnsi="Arial"/>
          <w:sz w:val="18"/>
          <w:szCs w:val="18"/>
          <w:color w:val="auto"/>
        </w:rPr>
      </w:pPr>
    </w:p>
    <w:p>
      <w:pPr>
        <w:ind w:left="1500" w:hanging="369"/>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news announcements regarding our quarterly or annual results of operations;</w:t>
      </w:r>
    </w:p>
    <w:p>
      <w:pPr>
        <w:spacing w:after="0" w:line="171" w:lineRule="exact"/>
        <w:rPr>
          <w:rFonts w:ascii="Arial" w:cs="Arial" w:eastAsia="Arial" w:hAnsi="Arial"/>
          <w:sz w:val="18"/>
          <w:szCs w:val="18"/>
          <w:color w:val="auto"/>
        </w:rPr>
      </w:pPr>
    </w:p>
    <w:p>
      <w:pPr>
        <w:ind w:left="1500" w:hanging="369"/>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184" w:lineRule="exact"/>
        <w:rPr>
          <w:rFonts w:ascii="Arial" w:cs="Arial" w:eastAsia="Arial" w:hAnsi="Arial"/>
          <w:sz w:val="18"/>
          <w:szCs w:val="18"/>
          <w:color w:val="auto"/>
        </w:rPr>
      </w:pPr>
    </w:p>
    <w:p>
      <w:pPr>
        <w:ind w:left="1500" w:hanging="369"/>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71" w:lineRule="exact"/>
        <w:rPr>
          <w:rFonts w:ascii="Arial" w:cs="Arial" w:eastAsia="Arial" w:hAnsi="Arial"/>
          <w:sz w:val="18"/>
          <w:szCs w:val="18"/>
          <w:color w:val="auto"/>
        </w:rPr>
      </w:pPr>
    </w:p>
    <w:p>
      <w:pPr>
        <w:ind w:left="1500" w:hanging="369"/>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171" w:lineRule="exact"/>
        <w:rPr>
          <w:rFonts w:ascii="Arial" w:cs="Arial" w:eastAsia="Arial" w:hAnsi="Arial"/>
          <w:sz w:val="18"/>
          <w:szCs w:val="18"/>
          <w:color w:val="auto"/>
        </w:rPr>
      </w:pPr>
    </w:p>
    <w:p>
      <w:pPr>
        <w:ind w:left="1500" w:hanging="369"/>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governmental regulation (such as increased wage and paid benefits laws);</w:t>
      </w:r>
    </w:p>
    <w:p>
      <w:pPr>
        <w:spacing w:after="0" w:line="184" w:lineRule="exact"/>
        <w:rPr>
          <w:rFonts w:ascii="Arial" w:cs="Arial" w:eastAsia="Arial" w:hAnsi="Arial"/>
          <w:sz w:val="18"/>
          <w:szCs w:val="18"/>
          <w:color w:val="auto"/>
        </w:rPr>
      </w:pPr>
    </w:p>
    <w:p>
      <w:pPr>
        <w:ind w:left="1500" w:hanging="369"/>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171" w:lineRule="exact"/>
        <w:rPr>
          <w:rFonts w:ascii="Arial" w:cs="Arial" w:eastAsia="Arial" w:hAnsi="Arial"/>
          <w:sz w:val="18"/>
          <w:szCs w:val="18"/>
          <w:color w:val="auto"/>
        </w:rPr>
      </w:pPr>
    </w:p>
    <w:p>
      <w:pPr>
        <w:ind w:left="1500" w:hanging="369"/>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views as to the prospects of the retail clothing industry generally.</w:t>
      </w:r>
    </w:p>
    <w:p>
      <w:pPr>
        <w:spacing w:after="0" w:line="32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u w:val="single" w:color="auto"/>
          <w:color w:val="auto"/>
        </w:rPr>
        <w:t>Our certificate of incorporation, as amended, limits transfers of our common stock and may, along with state law, inhibit potential acquisition bids that could be beneficial to our stockholders.</w:t>
      </w:r>
    </w:p>
    <w:p>
      <w:pPr>
        <w:spacing w:after="0" w:line="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certificate of incorporation, as amended, contains provisions that restrict any person or entity from attempting to purchase our stock, without prior permission from the Board of Directors, to the extent that such transfer would (i) create or result in an individual or entity becoming a five-percent stockholder of our stock, or (ii) increase the stock ownership percentage of any existing five-percent stockholder. These provisions provide that any transfer that violates such provisions shall be null and void and would require the purported transferee, upon demand by us, to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19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08" w:lineRule="exact"/>
        <w:rPr>
          <w:sz w:val="20"/>
          <w:szCs w:val="20"/>
          <w:color w:val="auto"/>
        </w:rPr>
      </w:pPr>
    </w:p>
    <w:p>
      <w:pPr>
        <w:jc w:val="both"/>
        <w:ind w:right="220"/>
        <w:spacing w:after="0" w:line="243" w:lineRule="auto"/>
        <w:rPr>
          <w:sz w:val="20"/>
          <w:szCs w:val="20"/>
          <w:color w:val="auto"/>
        </w:rPr>
      </w:pPr>
      <w:r>
        <w:rPr>
          <w:rFonts w:ascii="Arial" w:cs="Arial" w:eastAsia="Arial" w:hAnsi="Arial"/>
          <w:sz w:val="18"/>
          <w:szCs w:val="18"/>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whereby we entered into a twenty-year lease agreement for an initial annual rent payment of $4.6 million, with periodic increases every fifth anniversary of the lease.</w:t>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of January 29, 2022, we operated 220 Destination XL retail stores, 16 Destination XL outlet stores, 35 Casual Male XL retail stores and 19 Casual Male XL outlet stores. We lease all of these stores directly from owners of several different types of centers, including life-style centers, shopping centers, freestanding buildings, outlet centers and downtown locations. The store leases are generally 5 to 10 years in length and contain renewal options extending their terms by between 5 and 10 years. Following this discussion is a listing by state of all store locations open at January 29, 2022.</w:t>
      </w:r>
    </w:p>
    <w:p>
      <w:pPr>
        <w:spacing w:after="0" w:line="15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Sites for new stores are selected based on several factors, including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3" w:right="359" w:bottom="1440" w:gutter="0" w:footer="0" w:header="0"/>
        </w:sectPr>
      </w:pPr>
    </w:p>
    <w:bookmarkStart w:id="20" w:name="page21"/>
    <w:bookmarkEnd w:id="20"/>
    <w:p>
      <w:pPr>
        <w:ind w:left="4080"/>
        <w:spacing w:after="0"/>
        <w:rPr>
          <w:sz w:val="20"/>
          <w:szCs w:val="20"/>
          <w:color w:val="auto"/>
        </w:rPr>
      </w:pPr>
      <w:r>
        <w:rPr>
          <w:rFonts w:ascii="Arial" w:cs="Arial" w:eastAsia="Arial" w:hAnsi="Arial"/>
          <w:sz w:val="18"/>
          <w:szCs w:val="18"/>
          <w:b w:val="1"/>
          <w:bCs w:val="1"/>
          <w:u w:val="single" w:color="auto"/>
          <w:color w:val="auto"/>
        </w:rPr>
        <w:t>Store count by state at January 29, 2022</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jc w:val="center"/>
              <w:ind w:left="8"/>
              <w:spacing w:after="0"/>
              <w:rPr>
                <w:sz w:val="20"/>
                <w:szCs w:val="20"/>
                <w:color w:val="auto"/>
              </w:rPr>
            </w:pPr>
            <w:r>
              <w:rPr>
                <w:rFonts w:ascii="Arial" w:cs="Arial" w:eastAsia="Arial" w:hAnsi="Arial"/>
                <w:sz w:val="14"/>
                <w:szCs w:val="14"/>
                <w:color w:val="auto"/>
                <w:w w:val="97"/>
              </w:rPr>
              <w:t>Casual Male XL</w:t>
            </w:r>
          </w:p>
        </w:tc>
        <w:tc>
          <w:tcPr>
            <w:tcW w:w="60" w:type="dxa"/>
            <w:vAlign w:val="bottom"/>
          </w:tcPr>
          <w:p>
            <w:pPr>
              <w:spacing w:after="0"/>
              <w:rPr>
                <w:sz w:val="14"/>
                <w:szCs w:val="14"/>
                <w:color w:val="auto"/>
              </w:rPr>
            </w:pPr>
          </w:p>
        </w:tc>
      </w:tr>
      <w:tr>
        <w:trPr>
          <w:trHeight w:val="148"/>
        </w:trPr>
        <w:tc>
          <w:tcPr>
            <w:tcW w:w="8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DXL retail and</w:t>
            </w:r>
          </w:p>
        </w:tc>
        <w:tc>
          <w:tcPr>
            <w:tcW w:w="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6"/>
              </w:rPr>
              <w:t>retail and outlet</w:t>
            </w:r>
          </w:p>
        </w:tc>
        <w:tc>
          <w:tcPr>
            <w:tcW w:w="60" w:type="dxa"/>
            <w:vAlign w:val="bottom"/>
          </w:tcPr>
          <w:p>
            <w:pPr>
              <w:spacing w:after="0"/>
              <w:rPr>
                <w:sz w:val="12"/>
                <w:szCs w:val="12"/>
                <w:color w:val="auto"/>
              </w:rPr>
            </w:pPr>
          </w:p>
        </w:tc>
      </w:tr>
      <w:tr>
        <w:trPr>
          <w:trHeight w:val="174"/>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United States</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outlet stores</w:t>
            </w:r>
          </w:p>
        </w:tc>
        <w:tc>
          <w:tcPr>
            <w:tcW w:w="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stores</w:t>
            </w:r>
          </w:p>
        </w:tc>
        <w:tc>
          <w:tcPr>
            <w:tcW w:w="60" w:type="dxa"/>
            <w:vAlign w:val="bottom"/>
          </w:tcPr>
          <w:p>
            <w:pPr>
              <w:spacing w:after="0"/>
              <w:rPr>
                <w:sz w:val="15"/>
                <w:szCs w:val="15"/>
                <w:color w:val="auto"/>
              </w:rPr>
            </w:pPr>
          </w:p>
        </w:tc>
      </w:tr>
      <w:tr>
        <w:trPr>
          <w:trHeight w:val="176"/>
        </w:trPr>
        <w:tc>
          <w:tcPr>
            <w:tcW w:w="82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Alabama</w:t>
            </w:r>
          </w:p>
        </w:tc>
        <w:tc>
          <w:tcPr>
            <w:tcW w:w="4400" w:type="dxa"/>
            <w:vAlign w:val="bottom"/>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Arizona</w:t>
            </w: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Arkansas</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California</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Colorado</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6"/>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Connecticut</w:t>
            </w: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Delaware</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6"/>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Florida</w:t>
            </w: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Georgia</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15"/>
                <w:szCs w:val="15"/>
                <w:color w:val="auto"/>
              </w:rPr>
            </w:pPr>
          </w:p>
        </w:tc>
      </w:tr>
      <w:tr>
        <w:trPr>
          <w:trHeight w:val="176"/>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Idaho</w:t>
            </w: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Illinois</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Indiana</w:t>
            </w: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Iowa</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Kansas</w:t>
            </w: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Kentucky</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Louisiana</w:t>
            </w: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Maine</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6"/>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Maryland</w:t>
            </w: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Massachusetts</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15"/>
                <w:szCs w:val="15"/>
                <w:color w:val="auto"/>
              </w:rPr>
            </w:pPr>
          </w:p>
        </w:tc>
      </w:tr>
      <w:tr>
        <w:trPr>
          <w:trHeight w:val="176"/>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Michigan</w:t>
            </w: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Minnesota</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5"/>
                <w:szCs w:val="15"/>
                <w:color w:val="auto"/>
              </w:rPr>
            </w:pPr>
          </w:p>
        </w:tc>
      </w:tr>
      <w:tr>
        <w:trPr>
          <w:trHeight w:val="176"/>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Mississippi</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Missouri</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Montana</w:t>
            </w: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Nebraska</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Nevada</w:t>
            </w: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New Hampshire</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New Jersey</w:t>
            </w: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New Mexico</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New York</w:t>
            </w:r>
          </w:p>
        </w:tc>
        <w:tc>
          <w:tcPr>
            <w:tcW w:w="1180" w:type="dxa"/>
            <w:vAlign w:val="bottom"/>
          </w:tcPr>
          <w:p>
            <w:pPr>
              <w:jc w:val="right"/>
              <w:spacing w:after="0"/>
              <w:rPr>
                <w:sz w:val="20"/>
                <w:szCs w:val="20"/>
                <w:color w:val="auto"/>
              </w:rPr>
            </w:pPr>
            <w:r>
              <w:rPr>
                <w:rFonts w:ascii="Arial" w:cs="Arial" w:eastAsia="Arial" w:hAnsi="Arial"/>
                <w:sz w:val="14"/>
                <w:szCs w:val="14"/>
                <w:color w:val="auto"/>
              </w:rPr>
              <w:t>17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North Carolina</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15"/>
                <w:szCs w:val="15"/>
                <w:color w:val="auto"/>
              </w:rPr>
            </w:pPr>
          </w:p>
        </w:tc>
      </w:tr>
      <w:tr>
        <w:trPr>
          <w:trHeight w:val="176"/>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North Dakota</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Ohio</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Oklahoma</w:t>
            </w: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Oregon</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Pennsylvania</w:t>
            </w:r>
          </w:p>
        </w:tc>
        <w:tc>
          <w:tcPr>
            <w:tcW w:w="1180" w:type="dxa"/>
            <w:vAlign w:val="bottom"/>
          </w:tcPr>
          <w:p>
            <w:pPr>
              <w:jc w:val="right"/>
              <w:spacing w:after="0"/>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Rhode Island</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South Carolina</w:t>
            </w: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South Dakota</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Tennessee</w:t>
            </w: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Texas</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Utah</w:t>
            </w: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6"/>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Vermont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Virginia</w:t>
            </w: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Washington</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West Virginia</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r>
      <w:tr>
        <w:trPr>
          <w:trHeight w:val="175"/>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Wisconsin</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8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9"/>
        </w:trPr>
        <w:tc>
          <w:tcPr>
            <w:tcW w:w="522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International</w:t>
            </w:r>
          </w:p>
        </w:tc>
        <w:tc>
          <w:tcPr>
            <w:tcW w:w="1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27"/>
        </w:trPr>
        <w:tc>
          <w:tcPr>
            <w:tcW w:w="820" w:type="dxa"/>
            <w:vAlign w:val="bottom"/>
            <w:shd w:val="clear" w:color="auto" w:fill="000000"/>
          </w:tcPr>
          <w:p>
            <w:pPr>
              <w:spacing w:after="0"/>
              <w:rPr>
                <w:sz w:val="2"/>
                <w:szCs w:val="2"/>
                <w:color w:val="auto"/>
              </w:rPr>
            </w:pPr>
          </w:p>
        </w:tc>
        <w:tc>
          <w:tcPr>
            <w:tcW w:w="44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r>
      <w:tr>
        <w:trPr>
          <w:trHeight w:val="182"/>
        </w:trPr>
        <w:tc>
          <w:tcPr>
            <w:tcW w:w="5220" w:type="dxa"/>
            <w:vAlign w:val="bottom"/>
            <w:gridSpan w:val="2"/>
          </w:tcPr>
          <w:p>
            <w:pPr>
              <w:ind w:left="100"/>
              <w:spacing w:after="0"/>
              <w:rPr>
                <w:sz w:val="20"/>
                <w:szCs w:val="20"/>
                <w:color w:val="auto"/>
              </w:rPr>
            </w:pPr>
            <w:r>
              <w:rPr>
                <w:rFonts w:ascii="Arial" w:cs="Arial" w:eastAsia="Arial" w:hAnsi="Arial"/>
                <w:sz w:val="14"/>
                <w:szCs w:val="14"/>
                <w:color w:val="auto"/>
              </w:rPr>
              <w:t>Toronto, Canada</w:t>
            </w: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864" w:right="8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trading on the Nasdaq Global Market under the symbol “DXLG”.</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Holders</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of March 15, 2022, based upon data provided by the transfer agent for our common stock, there were approximately 78 holders of record of our common stock. The number of holders does not include individuals or entities who beneficially own shares but whose shares are held of record by a broker or clearing agent.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repurchases during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following Performance Graph compares our cumulative stockholder return with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2017. We paid no cash dividends during the periods shown. The performance of the indices is shown on a total return (dividends reinvested) basis. The graph lines merely connect January 31 of each year and do not reflect fluctuations between those dates. In addition, we have included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172200" cy="2922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vMerge w:val="restart"/>
          </w:tcPr>
          <w:p>
            <w:pPr>
              <w:spacing w:after="0"/>
              <w:rPr>
                <w:sz w:val="14"/>
                <w:szCs w:val="14"/>
                <w:color w:val="auto"/>
              </w:rPr>
            </w:pPr>
          </w:p>
        </w:tc>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Company/Index</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Year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Jan 18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Jan 19</w:t>
            </w:r>
          </w:p>
        </w:tc>
        <w:tc>
          <w:tcPr>
            <w:tcW w:w="14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Jan 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Jan 21</w:t>
            </w:r>
          </w:p>
        </w:tc>
        <w:tc>
          <w:tcPr>
            <w:tcW w:w="160" w:type="dxa"/>
            <w:vAlign w:val="bottom"/>
          </w:tcPr>
          <w:p>
            <w:pPr>
              <w:spacing w:after="0"/>
              <w:rPr>
                <w:sz w:val="15"/>
                <w:szCs w:val="15"/>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4"/>
                <w:szCs w:val="14"/>
                <w:color w:val="auto"/>
                <w:w w:val="95"/>
              </w:rPr>
              <w:t>Jan 22</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DXLG</w:t>
            </w:r>
          </w:p>
        </w:tc>
        <w:tc>
          <w:tcPr>
            <w:tcW w:w="3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(21.8</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w:t>
            </w:r>
          </w:p>
        </w:tc>
        <w:tc>
          <w:tcPr>
            <w:tcW w:w="16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(56.0</w:t>
            </w:r>
          </w:p>
        </w:tc>
        <w:tc>
          <w:tcPr>
            <w:tcW w:w="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90"/>
              </w:rPr>
              <w:t>%)</w:t>
            </w:r>
          </w:p>
        </w:tc>
        <w:tc>
          <w:tcPr>
            <w:tcW w:w="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(27.9</w:t>
            </w: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441.3</w:t>
            </w:r>
          </w:p>
        </w:tc>
        <w:tc>
          <w:tcPr>
            <w:tcW w:w="2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S&amp;P 500</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20.4 %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03"/>
        </w:trPr>
        <w:tc>
          <w:tcPr>
            <w:tcW w:w="45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Dow Jones U.S. Apparel Retailers</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9.4 %</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8.4 %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10.8 %</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6.2 %</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419"/>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Indexed Returns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Base Period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Jan 17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color w:val="auto"/>
              </w:rPr>
              <w:t>Jan 18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color w:val="auto"/>
              </w:rPr>
              <w:t>Jan 19</w:t>
            </w:r>
          </w:p>
        </w:tc>
        <w:tc>
          <w:tcPr>
            <w:tcW w:w="140" w:type="dxa"/>
            <w:vAlign w:val="bottom"/>
          </w:tcPr>
          <w:p>
            <w:pPr>
              <w:spacing w:after="0"/>
              <w:rPr>
                <w:sz w:val="16"/>
                <w:szCs w:val="16"/>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color w:val="auto"/>
              </w:rPr>
              <w:t>Jan 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color w:val="auto"/>
              </w:rPr>
              <w:t>Jan 21</w:t>
            </w:r>
          </w:p>
        </w:tc>
        <w:tc>
          <w:tcPr>
            <w:tcW w:w="160" w:type="dxa"/>
            <w:vAlign w:val="bottom"/>
          </w:tcPr>
          <w:p>
            <w:pPr>
              <w:spacing w:after="0"/>
              <w:rPr>
                <w:sz w:val="16"/>
                <w:szCs w:val="16"/>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color w:val="auto"/>
              </w:rPr>
              <w:t>Jan 22</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560" w:type="dxa"/>
            <w:vAlign w:val="bottom"/>
            <w:gridSpan w:val="2"/>
            <w:shd w:val="clear" w:color="auto" w:fill="CFF0FC"/>
          </w:tcPr>
          <w:p>
            <w:pPr>
              <w:spacing w:after="0" w:line="169" w:lineRule="exact"/>
              <w:rPr>
                <w:sz w:val="20"/>
                <w:szCs w:val="20"/>
                <w:color w:val="auto"/>
              </w:rPr>
            </w:pPr>
            <w:r>
              <w:rPr>
                <w:rFonts w:ascii="Arial" w:cs="Arial" w:eastAsia="Arial" w:hAnsi="Arial"/>
                <w:sz w:val="18"/>
                <w:szCs w:val="18"/>
                <w:color w:val="auto"/>
              </w:rPr>
              <w:t>Company/Index</w:t>
            </w: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DXLG</w:t>
            </w:r>
          </w:p>
        </w:tc>
        <w:tc>
          <w:tcPr>
            <w:tcW w:w="34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gridSpan w:val="2"/>
          </w:tcPr>
          <w:p>
            <w:pPr>
              <w:jc w:val="right"/>
              <w:spacing w:after="0" w:line="202" w:lineRule="exact"/>
              <w:rPr>
                <w:sz w:val="20"/>
                <w:szCs w:val="20"/>
                <w:color w:val="auto"/>
              </w:rPr>
            </w:pPr>
            <w:r>
              <w:rPr>
                <w:rFonts w:ascii="Arial" w:cs="Arial" w:eastAsia="Arial" w:hAnsi="Arial"/>
                <w:sz w:val="18"/>
                <w:szCs w:val="18"/>
                <w:color w:val="auto"/>
              </w:rPr>
              <w:t>78.18</w:t>
            </w: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CFF0FC"/>
            </w:tcBorders>
            <w:gridSpan w:val="2"/>
          </w:tcPr>
          <w:p>
            <w:pPr>
              <w:jc w:val="right"/>
              <w:spacing w:after="0" w:line="202" w:lineRule="exact"/>
              <w:rPr>
                <w:sz w:val="20"/>
                <w:szCs w:val="20"/>
                <w:color w:val="auto"/>
              </w:rPr>
            </w:pPr>
            <w:r>
              <w:rPr>
                <w:rFonts w:ascii="Arial" w:cs="Arial" w:eastAsia="Arial" w:hAnsi="Arial"/>
                <w:sz w:val="18"/>
                <w:szCs w:val="18"/>
                <w:color w:val="auto"/>
              </w:rPr>
              <w:t>76.36</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FF0FC"/>
            </w:tcBorders>
            <w:gridSpan w:val="2"/>
          </w:tcPr>
          <w:p>
            <w:pPr>
              <w:jc w:val="right"/>
              <w:spacing w:after="0" w:line="202" w:lineRule="exact"/>
              <w:rPr>
                <w:sz w:val="20"/>
                <w:szCs w:val="20"/>
                <w:color w:val="auto"/>
              </w:rPr>
            </w:pPr>
            <w:r>
              <w:rPr>
                <w:rFonts w:ascii="Arial" w:cs="Arial" w:eastAsia="Arial" w:hAnsi="Arial"/>
                <w:sz w:val="18"/>
                <w:szCs w:val="18"/>
                <w:color w:val="auto"/>
              </w:rPr>
              <w:t>33.64</w:t>
            </w: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gridSpan w:val="2"/>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CFF0FC"/>
            </w:tcBorders>
            <w:gridSpan w:val="2"/>
          </w:tcPr>
          <w:p>
            <w:pPr>
              <w:jc w:val="right"/>
              <w:spacing w:after="0" w:line="202" w:lineRule="exact"/>
              <w:rPr>
                <w:sz w:val="20"/>
                <w:szCs w:val="20"/>
                <w:color w:val="auto"/>
              </w:rPr>
            </w:pPr>
            <w:r>
              <w:rPr>
                <w:rFonts w:ascii="Arial" w:cs="Arial" w:eastAsia="Arial" w:hAnsi="Arial"/>
                <w:sz w:val="18"/>
                <w:szCs w:val="18"/>
                <w:color w:val="auto"/>
              </w:rPr>
              <w:t>24.24</w:t>
            </w: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CFF0FC"/>
            </w:tcBorders>
            <w:gridSpan w:val="2"/>
          </w:tcPr>
          <w:p>
            <w:pPr>
              <w:jc w:val="right"/>
              <w:spacing w:after="0" w:line="202" w:lineRule="exact"/>
              <w:rPr>
                <w:sz w:val="20"/>
                <w:szCs w:val="20"/>
                <w:color w:val="auto"/>
              </w:rPr>
            </w:pPr>
            <w:r>
              <w:rPr>
                <w:rFonts w:ascii="Arial" w:cs="Arial" w:eastAsia="Arial" w:hAnsi="Arial"/>
                <w:sz w:val="18"/>
                <w:szCs w:val="18"/>
                <w:color w:val="auto"/>
              </w:rPr>
              <w:t>131.21</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S&amp;P 500</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120.37</w:t>
            </w:r>
          </w:p>
        </w:tc>
        <w:tc>
          <w:tcPr>
            <w:tcW w:w="16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117.95</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140.56</w:t>
            </w:r>
          </w:p>
        </w:tc>
        <w:tc>
          <w:tcPr>
            <w:tcW w:w="16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161.86</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193.13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Dow Jones U.S. Apparel Retailers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109.41</w:t>
            </w:r>
          </w:p>
        </w:tc>
        <w:tc>
          <w:tcPr>
            <w:tcW w:w="1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118.60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131.47</w:t>
            </w:r>
          </w:p>
        </w:tc>
        <w:tc>
          <w:tcPr>
            <w:tcW w:w="16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139.65</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noted above in Part 1, this Annual Report, including, without limitation, this Item 7, contains “forward-looking statements,” including forward-looking statements within the meaning of the Private Securities Litigation Reform Act of 1995. Actual results or developments could differ materially from those projected in such statements because of numerous factors, including, without limitation those risks and uncertainties set forth in Item 1A, Risk Factors, which you are encouraged to read. These forward-looking statements generally relate to plans and objectives for future operations and are based upon management’s reasonable estimates of future results or trends. Such statements include the potential impact on results in fiscal 2022 as it relates to the ongoing global supply chain disruptions, the geopolitical instability from Russia's invasion of Ukraine, the increase in freight costs, the increase in certain raw materials and labor shortages as well as overall changes in consumer spending and demand due to the continued risk of new variants and inflation.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7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Certain figures discussed below may not foot due to rounding.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have three principal operating segments: our stores, direct business and our wholesale business. We consider our stores and direct business segments to be similar in terms of economic characteristics, production processes and operations, and have therefore aggregated them into one reportable segment, retail segment, consistent with our omni-channel business approach. Due to the immateriality of the wholesale segment’s revenues, profits and assets, its operating results have been aggregated with the retail segment for all periods.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 on our Business in Fiscal 2021</w:t>
      </w:r>
    </w:p>
    <w:p>
      <w:pPr>
        <w:spacing w:after="0" w:line="10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COVID-19 pandemic and its variants continued to impact our business and results of operations in fiscal 2021. While we saw significant improvement in our business from fiscal 2020, substantial uncertainty remains regarding the impact of the pandemic, including the potential impact of new variants, continued disruptions in the supply chain, labor shortages and the long-term effect on the global economy, and overall consumer demand and spending.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Sales and E-Commerce (Direct) Sales Definition</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or at curbside.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6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81" w:lineRule="exact"/>
        <w:rPr>
          <w:sz w:val="20"/>
          <w:szCs w:val="20"/>
          <w:color w:val="auto"/>
        </w:rPr>
      </w:pPr>
    </w:p>
    <w:p>
      <w:pPr>
        <w:jc w:val="both"/>
        <w:ind w:right="520"/>
        <w:spacing w:after="0" w:line="248" w:lineRule="auto"/>
        <w:rPr>
          <w:sz w:val="20"/>
          <w:szCs w:val="20"/>
          <w:color w:val="auto"/>
        </w:rPr>
      </w:pPr>
      <w:r>
        <w:rPr>
          <w:rFonts w:ascii="Arial" w:cs="Arial" w:eastAsia="Arial" w:hAnsi="Arial"/>
          <w:sz w:val="18"/>
          <w:szCs w:val="18"/>
          <w:color w:val="auto"/>
        </w:rPr>
        <w:t>The Company has not carved-out prior year sales for periods where the stores were temporarily closed in fiscal 2020 due to the pandemic. However, because the Company’s store in Canada was closed by government edict for a significant portion of fiscal 2021, we have removed it from the current calculation of comparable sales.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0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monitor certain non-GAAP financial measures on a regular basis in order to track the progress of our business. These measures include free cash flow, EBITDA, adjusted EBITDA and adjusted EBITDA margin. We believe these measures provide helpful information with respect to the Company’s operating performance and that the inclusion of these non-GAAP measures is important to assist investors in comparing our performance in fiscal 2021 to fiscal 2020 and fiscal 2019. We also provide certain forward-looking information with respect to certain of these non-GAAP financial measures. However, these measures may not be comparable to</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24" w:name="page25"/>
    <w:bookmarkEnd w:id="24"/>
    <w:p>
      <w:pPr>
        <w:ind w:right="120"/>
        <w:spacing w:after="0" w:line="248" w:lineRule="auto"/>
        <w:rPr>
          <w:sz w:val="20"/>
          <w:szCs w:val="20"/>
          <w:color w:val="auto"/>
        </w:rPr>
      </w:pPr>
      <w:r>
        <w:rPr>
          <w:rFonts w:ascii="Arial" w:cs="Arial" w:eastAsia="Arial" w:hAnsi="Arial"/>
          <w:sz w:val="18"/>
          <w:szCs w:val="18"/>
          <w:color w:val="auto"/>
        </w:rPr>
        <w:t>similar measures used by other companies and should not be considered superior to or as a substitute for net income (loss), net income (loss) per diluted share or cash flow from operating activities in accordance with GAAP. See “Non-GAAP Reconciliations” below for additional information on these non-GAAP financial measures and reconciliations to comparable GAAP measures.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is a 52- or 53-week period ending on the Saturday closest to January 31. Fiscal 2021, fiscal 2020 and fiscal 2019 were all 52-week periods.</w:t>
      </w:r>
    </w:p>
    <w:p>
      <w:pPr>
        <w:spacing w:after="0" w:line="127"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The following review of our results for fiscal 2021 includes certain comparisons against fiscal 2019 in addition to fiscal 2020. Due to the COVID-19 pandemic and its impact on our results, particularly during fiscal 2020, we believe that the additional discussion against fiscal 2019 provides a more meaningful comparison of our business results in fiscal 2021. Our Annual Report on Form 10-K for the year ended January 30, 2021 (fiscal 2020) includes a discussion and analysis of our financial condition and results of operations comparing fiscal 2020 to fiscal 2019 in Item 7 of Part II, “Management’s Discussion and Analysis of Financial Condition and Results of Operations.”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4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97"/>
              </w:rPr>
              <w:t>Fiscal 2021</w:t>
            </w: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2"/>
              </w:rPr>
              <w:t>Fiscal 2020</w:t>
            </w:r>
          </w:p>
        </w:tc>
        <w:tc>
          <w:tcPr>
            <w:tcW w:w="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w w:val="92"/>
              </w:rPr>
              <w:t>Fiscal 2019</w:t>
            </w:r>
          </w:p>
        </w:tc>
        <w:tc>
          <w:tcPr>
            <w:tcW w:w="340" w:type="dxa"/>
            <w:vAlign w:val="bottom"/>
          </w:tcPr>
          <w:p>
            <w:pPr>
              <w:spacing w:after="0"/>
              <w:rPr>
                <w:sz w:val="15"/>
                <w:szCs w:val="15"/>
                <w:color w:val="auto"/>
              </w:rPr>
            </w:pPr>
          </w:p>
        </w:tc>
      </w:tr>
      <w:tr>
        <w:trPr>
          <w:trHeight w:val="156"/>
        </w:trPr>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20" w:type="dxa"/>
            <w:vAlign w:val="bottom"/>
            <w:gridSpan w:val="10"/>
          </w:tcPr>
          <w:p>
            <w:pPr>
              <w:jc w:val="right"/>
              <w:ind w:right="600"/>
              <w:spacing w:after="0" w:line="155" w:lineRule="exact"/>
              <w:rPr>
                <w:sz w:val="20"/>
                <w:szCs w:val="20"/>
                <w:color w:val="auto"/>
              </w:rPr>
            </w:pPr>
            <w:r>
              <w:rPr>
                <w:rFonts w:ascii="Arial" w:cs="Arial" w:eastAsia="Arial" w:hAnsi="Arial"/>
                <w:sz w:val="14"/>
                <w:szCs w:val="14"/>
                <w:i w:val="1"/>
                <w:iCs w:val="1"/>
                <w:color w:val="auto"/>
                <w:w w:val="95"/>
              </w:rPr>
              <w:t>(in millions, except for percentage of sales and per share data)</w:t>
            </w: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505.0</w:t>
            </w: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318.9</w:t>
            </w: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474.0</w:t>
            </w:r>
          </w:p>
        </w:tc>
        <w:tc>
          <w:tcPr>
            <w:tcW w:w="34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56.7</w:t>
            </w:r>
          </w:p>
        </w:tc>
        <w:tc>
          <w:tcPr>
            <w:tcW w:w="4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(64.5 )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(7.8 )</w:t>
            </w: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(Non-GAAP)</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76.9</w:t>
            </w: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540"/>
              <w:spacing w:after="0" w:line="202" w:lineRule="exact"/>
              <w:rPr>
                <w:sz w:val="20"/>
                <w:szCs w:val="20"/>
                <w:color w:val="auto"/>
              </w:rPr>
            </w:pPr>
            <w:r>
              <w:rPr>
                <w:rFonts w:ascii="Arial" w:cs="Arial" w:eastAsia="Arial" w:hAnsi="Arial"/>
                <w:sz w:val="18"/>
                <w:szCs w:val="18"/>
                <w:color w:val="auto"/>
              </w:rPr>
              <w:t>(24.2 )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23.5</w:t>
            </w:r>
          </w:p>
        </w:tc>
        <w:tc>
          <w:tcPr>
            <w:tcW w:w="34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i w:val="1"/>
                <w:iCs w:val="1"/>
                <w:color w:val="auto"/>
              </w:rPr>
              <w:t>As a percentage of sales:</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7"/>
                <w:szCs w:val="17"/>
                <w:color w:val="auto"/>
              </w:rPr>
            </w:pPr>
          </w:p>
        </w:tc>
        <w:tc>
          <w:tcPr>
            <w:tcW w:w="14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49.5 %</w:t>
            </w:r>
          </w:p>
        </w:tc>
        <w:tc>
          <w:tcPr>
            <w:tcW w:w="140" w:type="dxa"/>
            <w:vAlign w:val="bottom"/>
          </w:tcPr>
          <w:p>
            <w:pPr>
              <w:spacing w:after="0"/>
              <w:rPr>
                <w:sz w:val="17"/>
                <w:szCs w:val="17"/>
                <w:color w:val="auto"/>
              </w:rPr>
            </w:pPr>
          </w:p>
        </w:tc>
        <w:tc>
          <w:tcPr>
            <w:tcW w:w="14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32.9 %</w:t>
            </w:r>
          </w:p>
        </w:tc>
        <w:tc>
          <w:tcPr>
            <w:tcW w:w="140" w:type="dxa"/>
            <w:vAlign w:val="bottom"/>
          </w:tcPr>
          <w:p>
            <w:pPr>
              <w:spacing w:after="0"/>
              <w:rPr>
                <w:sz w:val="17"/>
                <w:szCs w:val="17"/>
                <w:color w:val="auto"/>
              </w:rPr>
            </w:pPr>
          </w:p>
        </w:tc>
        <w:tc>
          <w:tcPr>
            <w:tcW w:w="11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43.1 %</w:t>
            </w: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SG&amp;A expenses</w:t>
            </w:r>
          </w:p>
        </w:tc>
        <w:tc>
          <w:tcPr>
            <w:tcW w:w="14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34.2 %</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40.5 %</w:t>
            </w: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38.1 %</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17"/>
                <w:szCs w:val="17"/>
                <w:color w:val="auto"/>
              </w:rPr>
            </w:pPr>
          </w:p>
        </w:tc>
        <w:tc>
          <w:tcPr>
            <w:tcW w:w="14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12.3 %</w:t>
            </w:r>
          </w:p>
        </w:tc>
        <w:tc>
          <w:tcPr>
            <w:tcW w:w="140" w:type="dxa"/>
            <w:vAlign w:val="bottom"/>
          </w:tcPr>
          <w:p>
            <w:pPr>
              <w:spacing w:after="0"/>
              <w:rPr>
                <w:sz w:val="17"/>
                <w:szCs w:val="17"/>
                <w:color w:val="auto"/>
              </w:rPr>
            </w:pPr>
          </w:p>
        </w:tc>
        <w:tc>
          <w:tcPr>
            <w:tcW w:w="14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(19.0 %)</w:t>
            </w:r>
          </w:p>
        </w:tc>
        <w:tc>
          <w:tcPr>
            <w:tcW w:w="140" w:type="dxa"/>
            <w:vAlign w:val="bottom"/>
          </w:tcPr>
          <w:p>
            <w:pPr>
              <w:spacing w:after="0"/>
              <w:rPr>
                <w:sz w:val="17"/>
                <w:szCs w:val="17"/>
                <w:color w:val="auto"/>
              </w:rPr>
            </w:pP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(0.9 %)</w:t>
            </w: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(Non-GAAP)</w:t>
            </w:r>
          </w:p>
        </w:tc>
        <w:tc>
          <w:tcPr>
            <w:tcW w:w="14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15.2 %</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(7.6 %)</w:t>
            </w: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5.0 %</w:t>
            </w:r>
          </w:p>
        </w:tc>
      </w:tr>
      <w:tr>
        <w:trPr>
          <w:trHeight w:val="203"/>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i w:val="1"/>
                <w:iCs w:val="1"/>
                <w:color w:val="auto"/>
              </w:rPr>
              <w:t>Per diluted share:</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0.83</w:t>
            </w:r>
          </w:p>
        </w:tc>
        <w:tc>
          <w:tcPr>
            <w:tcW w:w="4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(1.26 )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(0.16 )</w:t>
            </w:r>
          </w:p>
        </w:tc>
      </w:tr>
      <w:tr>
        <w:trPr>
          <w:trHeight w:val="203"/>
        </w:trPr>
        <w:tc>
          <w:tcPr>
            <w:tcW w:w="4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i w:val="1"/>
                <w:iCs w:val="1"/>
                <w:color w:val="auto"/>
              </w:rPr>
              <w:t>Liquidity: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flow from operating activities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75.5</w:t>
            </w: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540"/>
              <w:spacing w:after="0" w:line="202" w:lineRule="exact"/>
              <w:rPr>
                <w:sz w:val="20"/>
                <w:szCs w:val="20"/>
                <w:color w:val="auto"/>
              </w:rPr>
            </w:pPr>
            <w:r>
              <w:rPr>
                <w:rFonts w:ascii="Arial" w:cs="Arial" w:eastAsia="Arial" w:hAnsi="Arial"/>
                <w:sz w:val="18"/>
                <w:szCs w:val="18"/>
                <w:color w:val="auto"/>
              </w:rPr>
              <w:t>(1.2 )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15.8</w:t>
            </w:r>
          </w:p>
        </w:tc>
        <w:tc>
          <w:tcPr>
            <w:tcW w:w="340" w:type="dxa"/>
            <w:vAlign w:val="bottom"/>
            <w:shd w:val="clear" w:color="auto" w:fill="CFF0FC"/>
          </w:tcPr>
          <w:p>
            <w:pPr>
              <w:spacing w:after="0"/>
              <w:rPr>
                <w:sz w:val="17"/>
                <w:szCs w:val="17"/>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Free cash flow (Non-GAAP)</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4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(5.5 )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0"/>
                <w:szCs w:val="20"/>
                <w:color w:val="auto"/>
              </w:rPr>
            </w:pPr>
          </w:p>
        </w:tc>
      </w:tr>
    </w:tbl>
    <w:p>
      <w:pPr>
        <w:spacing w:after="0" w:line="26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For the first time in the Company's history, we exceeded $500.0 million in sales, with growth across all retail channels during fiscal 2021. As compared to fiscal 2019, our comparable sales increased 14.2% driven by a comparable sales increase in the direct business of 44.0% and an increase in stores of 4.8%. This growth was the result of new customer acquisition, which was up 27% over fiscal 2019, as well as increases in conversion rate and dollars per transaction. We achieved this top-line growth while maintaining a low promotional posture, resulting in a 300 basis point improvement in merchandise margins as compared to fiscal 2019. As a result of this margin improvement, coupled with our restructured lease portfolio and lower operating cost base, we reported net income for fiscal 2021 of $56.7 million, or $0.83 per diluted share, and adjusted EBITDA of $76.9 million.</w:t>
      </w:r>
    </w:p>
    <w:p>
      <w:pPr>
        <w:spacing w:after="0" w:line="53"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We ended fiscal 2021 in a substantially stronger liquidity position than a year ago. As a result of our earnings, we generated $75.5 million in cash flows from operations during fiscal 2021, resulting in $70.3 million of free cash flow, which we used to retire our long-term debt, pay off our revolver and renegotiate our credit facility on more favorable terms. At January 29, 2022, we are debt-free and have cash on hand of $15.5 million and excess availability under our credit facility of $68.9 million.</w:t>
      </w:r>
    </w:p>
    <w:p>
      <w:pPr>
        <w:spacing w:after="0" w:line="80"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Our primary objective for fiscal 2022 is to build off the many successes we had in fiscal 2021 by continuing to drive new customer acquisition and lifetime value through greater retention and new channels of distribution. We are excited about the growth we saw this year and believe that we gained market share during this fiscal year. However, we also recognize that our business benefited this year from many macro-level tailwinds as well, including emergence from the pandemic restrictions, pent-up demand, and fiscal stimulus policy which we do not expect to deliver the same sales lift in fiscal 2022. We are also cautious of the ongoing global issues that may impact us through fiscal 2022, including the Russian invasion of Ukraine, supply chain disruptions, increased freight costs, increased cost of raw materials, labor shortages and overall changes in consumer sentiment.</w:t>
      </w:r>
    </w:p>
    <w:p>
      <w:pPr>
        <w:spacing w:after="0" w:line="53"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As discussed more fully below under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subsequent to the end of fiscal 2021, our Board of Directors approved a stock repurchase plan, pursuant to which we can purchase up to $15.0 million of our outstanding common stock through March 15, 2023.</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i w:val="1"/>
          <w:iCs w:val="1"/>
          <w:color w:val="auto"/>
        </w:rPr>
        <w:t>SALES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For fiscal 2021, total sales increased 58.3% to $505.0 million from $318.9 million for fiscal 2020 and increased 6.5% from $474.0 million in fiscal 2019.</w:t>
      </w:r>
    </w:p>
    <w:p>
      <w:pPr>
        <w:spacing w:after="0" w:line="16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As compared to fiscal 2020, comparable sales increased 68.5%, with stores up 98.1% and the direct business up 25.4%. The comparable sales increase from our stores is largely due to the fact that our stores in fiscal 2020 were closed for a period of time due to the pandemic and many operated with reduced hours after reopening. In fiscal 2021, our customers returned to in-person shopping and our stores out-performed our expectations. Despite the surge of customers returning to stores, our direct business continued to grow in fiscal 2021, primarily driven by increased sales from our dxl.com website and mobile app. We also saw continued sales growth through our third-party marketplace presence, which is attracting a new customer to DXL.</w:t>
      </w:r>
    </w:p>
    <w:p>
      <w:pPr>
        <w:spacing w:after="0" w:line="7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As compared to fiscal 2019, comparable sales increased 14.2%, primarily due to a comparable sales increase in the direct business of 44.0% and an increase in stores of 4.8%. The growth in our direct business is due largely to our website and the growth from our mobile app. While store traffic remained soft during fiscal 2021, we saw strong increases in conversion rates and dollars per transaction as compared to fiscal 2019. The majority of our stores improved their performance as compared to fiscal 2019, but our Southeast, Midwest and South Central stores generally outperformed the other regions of the country. We attribute this trend to the fact that some areas of the country lifted mandates earlier than others and customer comfort level regarding in-store shopping differed throughout the country.</w:t>
      </w:r>
    </w:p>
    <w:p>
      <w:pPr>
        <w:spacing w:after="0" w:line="122"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For fiscal 2021, wholesale revenues were $5.4 million as compared to $16.6 million in fiscal 2020 and $12.5 million in fiscal 2019. While a significant portion of our wholesale revenues in fiscal 2020 were due to the sale of masks, our wholesale business was driven primarily by our relationship with Amazon. Based on several factors, including low margins, volatility in the global supply chain, increasing lead times and the shifting dynamics of the business, the Company and Amazon have agreed to end the wholesale relationship.</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gross margin rate for fiscal 2021, inclusive of occupancy costs, was 49.5% compared to 32.9% in or fiscal 2020 and 43.1% for fiscal 2019.</w:t>
      </w:r>
    </w:p>
    <w:p>
      <w:pPr>
        <w:spacing w:after="0" w:line="11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compared to fiscal 2020, our gross margin rate improved by 1660 basis points, driven by an increase in merchandise margin of 860 basis points and an improvement in occupancy of 800 basis points due to the leveraging of sales. On a dollar basis, occupancy costs decreased $4.2 million, or 6.7% as a result of our lease renegotiations as well as closed stores.</w:t>
      </w:r>
    </w:p>
    <w:p>
      <w:pPr>
        <w:spacing w:after="0" w:line="7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compared to fiscal 2019, our gross margin rate for the year improved by 640 basis points, driven by a 300 basis point improvement in merchandise margins and a 340 basis point improvement in occupancy costs. As a result of our lease renegotiations as well as closed stores, on a dollar basis, occupancy costs for fiscal 2021 decreased by $12.5 million, or 17.7%, as compared to fiscal 2019.</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improvement in merchandise margin in fiscal year 2021 was primarily driven by our low promotional strategy and low clearance levels. Partially offsetting the savings from the reduction in markdowns was the continuing increase in the cost of freight due to shortages of vessels for overseas product, port congestion, and labor shortages of truck drivers. We estimate that the supply chain disruptions negatively impacted gross margin by approximately 84 basis points and we expect that we will continue to experience cost increases related to these supply chain issues as well as due to the increase in the cost of certain raw materials, particularly cotton, well into fiscal 2022. In aggregate, we expect that gross margin for fiscal 2022 may be impacted by upwards of 200 basis points after factoring in freight, markdowns, and the increased cost of certain raw materials.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as a percentage of sales were 34.2% for fiscal 2021, as compared to 40.5% in fiscal 2020 and 38.1% in fiscal 2019.</w:t>
      </w:r>
    </w:p>
    <w:p>
      <w:pPr>
        <w:spacing w:after="0" w:line="104"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On a dollar basis, compared to fiscal 2020, SG&amp;A expenses increased by $43.9 million primarily driven by an increase in variable costs as a result of our sales growth, including increases in store payroll and payroll-related costs, performance incentives and advertising. However, our costs as a percentage of sales significantly improved as a result of the cost-savings initiatives implemented in fiscal 2020.</w:t>
      </w:r>
    </w:p>
    <w:p>
      <w:pPr>
        <w:spacing w:after="0" w:line="7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a dollar basis, compared to fiscal 2019, SG&amp;A expenses for fiscal 2021 decreased $7.7 million. The decrease in SG&amp;A expenses for the year was primarily due to the cost-savings initiatives implemented in fiscal 2020 and reductions in payroll and payroll-related costs. These costs were partially offset by an increase in incentive performance-based accruals and the reinstatement of our 401(k) profit sharing contribution.</w:t>
      </w:r>
    </w:p>
    <w:p>
      <w:pPr>
        <w:spacing w:after="0" w:line="56"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Management views SG&amp;A expenses through two primary cost centers: Customer Facing Costs and Corporate Support Costs. Customer Facing Costs, which include store payroll, marketing and other store operating costs, represented 19.1% of sales for fiscal 2021, compared to 20.2% of sales for fiscal 2020 and 22.6% of sales for fiscal 2019. Corporate Support Costs, which include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distribution center and corporate overhead costs, represented 15.1% of sales, compared to 20.3% of sales for fiscal 2020 and 15.5% of sales for fiscal 2019.</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ASSETS</w:t>
      </w:r>
    </w:p>
    <w:p>
      <w:pPr>
        <w:spacing w:after="0" w:line="104"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Asset impairment charges primarily represent the write-down of operating lease right-of-use assets, where the carrying value exceeds fair value, and the write-down of store property and equipment. 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w:t>
      </w:r>
    </w:p>
    <w:p>
      <w:pPr>
        <w:spacing w:after="0" w:line="80"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For fiscal 2021, the Company recorded a non-cash gain of $2.7 million on the reduction of its operating lease liability in connection with its decision to close certain retail stores, which resulted in a revaluation of the lease liability. Of the total non-cash gain, $2.3 million related to leases where the right-of-use assets had previously been impaired, and therefore, the gain was recorded as a reduction of the previously-recorded impairment. The remaining gain $0.4 million was recorded as a reduction to occupancy costs.</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fiscal 2020, the asset impairment charge was $14.8 million, which included $13.3 for the write-down of operating lease right-of-use assets and $4.1 million for the write-down of store assets, partially offset by a non-cash gain of $2.6 million. The asset impairment charge for fiscal 2019 was $0.9 million, which included $0.7 million for the write-down of right-of-use assets and $0.2 million for the write-down of store assets.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Depreciation and amortization expense was $17.2 million, as compared to $21.5 million in fiscal 2020 and $24.6 million for fiscal 2019. Our depreciation expense has been decreasing over the past few years, due to our reduced capital expenditures.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w:t>
      </w:r>
    </w:p>
    <w:p>
      <w:pPr>
        <w:spacing w:after="0" w:line="10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Net interest expense for fiscal 2021 was $4.4 million, as compared to $3.9 million for fiscal 2020 and $3.3 million for fiscal 2019. The interest expense for fiscal 2021 includes a prepayment penalty of $1.1 million in connection with the Company's early prepayment of its $17.5 million FILO loan as well as $0.9 million for the write-off unamortized debt issuance costs associated with both the FILO loan and our prior credit facility. These costs were partially offset by a decrease in interest expense due to reduced borrowing levels in fiscal 2021 as compared to fiscal 2020 and fiscal 2019.</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Realization of our deferred tax assets, which relate principally to federal net operating loss carryforwards, of which approximately $100.7 million will expire from fiscal 2028 through fiscal 2037, is dependent on generating sufficient taxable income. In addition, there are $43.1 million of federal net operating loss carryforwards that do not expire.</w:t>
      </w:r>
    </w:p>
    <w:p>
      <w:pPr>
        <w:spacing w:after="0" w:line="7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At the end of fiscal 2013, we entered a three-year cumulative loss and based on all positive and negative evidence at February 1, 2014, we established a full valuation allowance against our net deferred tax assets. Although we returned to profitability in fiscal 2021, we believe that a full valuation allowance remains appropriate at this time. Our conclusion is based on the fact that we remain in a three-year cumulative loss position, which is considered significant negative evidence. Once we transition to a three-year cumulative profit position and demonstrate more consistent and prolonged profitability, we will reevaluate the valuation allowance.</w:t>
      </w:r>
    </w:p>
    <w:p>
      <w:pPr>
        <w:spacing w:after="0" w:line="189"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Our tax provision for fiscal 2021 was primarily due to income tax in states where NOL usage is statutorily limited. Our tax provision for fiscal 2020 was primarily due to state margin tax, based on gross receipts less certain deductions. See Note F of the Notes to the Consolidated Financial Statements.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(LOSS )</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Net income for fiscal 2021 was $56.7 million, or $0.83 per diluted share, as compared to a net loss of $(64.5) million, or $(1.26) per diluted share, in fiscal 2020 and a net loss of $(7.8) million, or $(0.16) per diluted share, in fiscal 2019. The improvement in earnings for fiscal 2021 was due to an increase in our comparable sales as compared to both fiscal 2020 and fiscal 2019, an improvement in gross margin driven by lower markdowns and restructured lease portfolio, and a reduction in operating costs, as a percentage of sales, as a result of our cost-savings initiatives implemented in fiscal 2020. In addition, our significant net operating loss carryforwards minimized our cash tax payments.</w:t>
      </w:r>
    </w:p>
    <w:p>
      <w:pPr>
        <w:spacing w:after="0" w:line="8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Included in our results for fiscal 2021 was a gain of $2.3 million against previously recognized impairment charges. Results for fiscal 2020 and fiscal 2019 included asset impairment charges of $14.8 million and $0.9 million, respectively. Fiscal 2019 also included charges of $1.7 million for exit costs associated with our London operations and $0.7 million in CEO transition costs.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i w:val="1"/>
          <w:iCs w:val="1"/>
          <w:color w:val="auto"/>
        </w:rPr>
        <w:t>SEASONALITY</w:t>
      </w:r>
    </w:p>
    <w:p>
      <w:pPr>
        <w:spacing w:after="0" w:line="10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 comparison of sales in each quarter of the past three fiscal years is presented below. The sales results for fiscal 2020 reflect the impact that the COVID-19 pandemic had on the Company’s business, especially in the first and second quarters when we temporarily closed all of our stores in response to the pandemic. The amounts shown are also not necessarily indicative of actual trends, because such amounts also reflect the addition of new stores and the remodeling and closing of other stores during these periods. Consistent with the retail apparel industry, our business is seasonal. (Certain columns may not foot due to rounding)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320" w:type="dxa"/>
            <w:vAlign w:val="bottom"/>
          </w:tcPr>
          <w:p>
            <w:pPr>
              <w:spacing w:after="0"/>
              <w:rPr>
                <w:sz w:val="14"/>
                <w:szCs w:val="14"/>
                <w:color w:val="auto"/>
              </w:rPr>
            </w:pPr>
          </w:p>
        </w:tc>
        <w:tc>
          <w:tcPr>
            <w:tcW w:w="1080" w:type="dxa"/>
            <w:vAlign w:val="bottom"/>
            <w:gridSpan w:val="3"/>
          </w:tcPr>
          <w:p>
            <w:pPr>
              <w:ind w:left="300"/>
              <w:spacing w:after="0"/>
              <w:rPr>
                <w:sz w:val="20"/>
                <w:szCs w:val="20"/>
                <w:color w:val="auto"/>
              </w:rPr>
            </w:pPr>
            <w:r>
              <w:rPr>
                <w:rFonts w:ascii="Arial" w:cs="Arial" w:eastAsia="Arial" w:hAnsi="Arial"/>
                <w:sz w:val="14"/>
                <w:szCs w:val="14"/>
                <w:color w:val="auto"/>
              </w:rPr>
              <w:t>Fiscal 2021</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ind w:left="320"/>
              <w:spacing w:after="0"/>
              <w:rPr>
                <w:sz w:val="20"/>
                <w:szCs w:val="20"/>
                <w:color w:val="auto"/>
              </w:rPr>
            </w:pPr>
            <w:r>
              <w:rPr>
                <w:rFonts w:ascii="Arial" w:cs="Arial" w:eastAsia="Arial" w:hAnsi="Arial"/>
                <w:sz w:val="14"/>
                <w:szCs w:val="14"/>
                <w:color w:val="auto"/>
              </w:rPr>
              <w:t>Fiscal 2020</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ind w:left="280"/>
              <w:spacing w:after="0"/>
              <w:rPr>
                <w:sz w:val="20"/>
                <w:szCs w:val="20"/>
                <w:color w:val="auto"/>
              </w:rPr>
            </w:pPr>
            <w:r>
              <w:rPr>
                <w:rFonts w:ascii="Arial" w:cs="Arial" w:eastAsia="Arial" w:hAnsi="Arial"/>
                <w:sz w:val="14"/>
                <w:szCs w:val="14"/>
                <w:color w:val="auto"/>
              </w:rPr>
              <w:t>Fiscal 2019</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58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8"/>
                <w:szCs w:val="18"/>
                <w:color w:val="auto"/>
              </w:rPr>
              <w:t>First quarter</w:t>
            </w:r>
          </w:p>
        </w:tc>
        <w:tc>
          <w:tcPr>
            <w:tcW w:w="320" w:type="dxa"/>
            <w:vAlign w:val="bottom"/>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111.5</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22.1</w:t>
            </w:r>
          </w:p>
        </w:tc>
        <w:tc>
          <w:tcPr>
            <w:tcW w:w="340" w:type="dxa"/>
            <w:vAlign w:val="bottom"/>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87"/>
              </w:rPr>
              <w:t>%</w:t>
            </w:r>
          </w:p>
        </w:tc>
        <w:tc>
          <w:tcPr>
            <w:tcW w:w="320" w:type="dxa"/>
            <w:vAlign w:val="bottom"/>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57.2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17.9</w:t>
            </w:r>
          </w:p>
        </w:tc>
        <w:tc>
          <w:tcPr>
            <w:tcW w:w="340" w:type="dxa"/>
            <w:vAlign w:val="bottom"/>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87"/>
              </w:rPr>
              <w:t>%</w:t>
            </w:r>
          </w:p>
        </w:tc>
        <w:tc>
          <w:tcPr>
            <w:tcW w:w="320" w:type="dxa"/>
            <w:vAlign w:val="bottom"/>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113.0</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23.8</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87"/>
              </w:rPr>
              <w:t>%</w:t>
            </w:r>
          </w:p>
        </w:tc>
      </w:tr>
      <w:tr>
        <w:trPr>
          <w:trHeight w:val="203"/>
        </w:trPr>
        <w:tc>
          <w:tcPr>
            <w:tcW w:w="4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Second quarter</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138.6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27.4 %</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76.4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24.0 %</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123.2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26.0 %</w:t>
            </w:r>
          </w:p>
        </w:tc>
      </w:tr>
      <w:tr>
        <w:trPr>
          <w:trHeight w:val="203"/>
        </w:trPr>
        <w:tc>
          <w:tcPr>
            <w:tcW w:w="45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Third quarter</w:t>
            </w:r>
          </w:p>
        </w:tc>
        <w:tc>
          <w:tcPr>
            <w:tcW w:w="3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121.5</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24.1 %</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85.2</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26.7 %</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22.1 %</w:t>
            </w:r>
          </w:p>
        </w:tc>
      </w:tr>
      <w:tr>
        <w:trPr>
          <w:trHeight w:val="203"/>
        </w:trPr>
        <w:tc>
          <w:tcPr>
            <w:tcW w:w="4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Fourth quarter</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133.5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26.4 %</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100.1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31.4 %</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131.2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27.7 %</w:t>
            </w:r>
          </w:p>
        </w:tc>
      </w:tr>
      <w:tr>
        <w:trPr>
          <w:trHeight w:val="196"/>
        </w:trPr>
        <w:tc>
          <w:tcPr>
            <w:tcW w:w="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505.0</w:t>
            </w: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318.9</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474.0</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EFFECTS OF INFLATION</w:t>
      </w:r>
    </w:p>
    <w:p>
      <w:pPr>
        <w:spacing w:after="0" w:line="10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During fiscal 2021, we began to be impacted by the effects of the inflationary pressures on freight, raw materials, and labor. We have taken selective price increases on our merchandise assortment to mitigate the pressure on gross margin. If such inflationary pressures increase, the effects may have an increased impact on our financial results in fiscal 2022.</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LIQUIDITY AND CAPITAL RESOURCES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primary sources of liquidity are cash generated from operations and availability under our credit facility, which is discussed below. We took several actions during fiscal 2020 to preserve our liquidity, and in the first quarter of fiscal 2021, we further strengthened our liquidity position by completing a direct offering of our common stock, which raised $4.4 million, net of offering costs. Also in the first quarter of fiscal 2021, we refinanced our then existing $15.0 million FILO loan by entering into a new $17.5 million FILO loan, which increased our borrowing capacity. As a result of our improved earnings and free cash flow, in the third quarter of fiscal 2021, we used a portion of the excess cash flow to prepay the FILO loan, which bore an interest rate of 8.50%. At January 29, 2022, we had no outstanding debt, including no borrowings under our credit facility.</w:t>
      </w:r>
    </w:p>
    <w:p>
      <w:pPr>
        <w:spacing w:after="0" w:line="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At January 29, 2022, our material contractual obligations primarily consisted of our operating lease obligations, as disclosed in Note E, </w:t>
      </w:r>
      <w:r>
        <w:rPr>
          <w:rFonts w:ascii="Arial" w:cs="Arial" w:eastAsia="Arial" w:hAnsi="Arial"/>
          <w:sz w:val="17"/>
          <w:szCs w:val="17"/>
          <w:i w:val="1"/>
          <w:iCs w:val="1"/>
          <w:color w:val="auto"/>
        </w:rPr>
        <w:t>Leases</w:t>
      </w:r>
      <w:r>
        <w:rPr>
          <w:rFonts w:ascii="Arial" w:cs="Arial" w:eastAsia="Arial" w:hAnsi="Arial"/>
          <w:sz w:val="17"/>
          <w:szCs w:val="17"/>
          <w:color w:val="auto"/>
        </w:rPr>
        <w:t>, to the Notes to the Consolidated Financial Statements. In addition to our lease obligations, at January 29, 2022, we were also contractually committed pursuant to a merchandise purchase obligation to meet minimum purchases of $10.0 million in each fiscal year through fiscal 2023.</w:t>
      </w:r>
    </w:p>
    <w:p>
      <w:pPr>
        <w:spacing w:after="0" w:line="56"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We believe our cash on hand, availability under our credit facility, and ongoing cash generated from our operations will be sufficient to fund our working capital requirements, commitments, capital expenditures and, as discussed further below, our stock repurchase program which was announced in March 2022. However, we remain cautious regarding the effect that the pandemic could have on consumer sentiment and the geopolitical impact of Russia's invasion of Ukraine on our business and the global economy.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Pr>
          <w:p>
            <w:pPr>
              <w:spacing w:after="0"/>
              <w:rPr>
                <w:sz w:val="16"/>
                <w:szCs w:val="16"/>
                <w:color w:val="auto"/>
              </w:rPr>
            </w:pPr>
          </w:p>
        </w:tc>
        <w:tc>
          <w:tcPr>
            <w:tcW w:w="39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2021</w:t>
            </w:r>
          </w:p>
        </w:tc>
        <w:tc>
          <w:tcPr>
            <w:tcW w:w="160" w:type="dxa"/>
            <w:vAlign w:val="bottom"/>
          </w:tcPr>
          <w:p>
            <w:pPr>
              <w:spacing w:after="0"/>
              <w:rPr>
                <w:sz w:val="16"/>
                <w:szCs w:val="16"/>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4"/>
                <w:szCs w:val="14"/>
                <w:color w:val="auto"/>
                <w:w w:val="97"/>
              </w:rPr>
              <w:t>Fiscal 2020</w:t>
            </w:r>
          </w:p>
        </w:tc>
        <w:tc>
          <w:tcPr>
            <w:tcW w:w="16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Fiscal 2019</w:t>
            </w:r>
          </w:p>
        </w:tc>
        <w:tc>
          <w:tcPr>
            <w:tcW w:w="1120" w:type="dxa"/>
            <w:vAlign w:val="bottom"/>
          </w:tcPr>
          <w:p>
            <w:pPr>
              <w:spacing w:after="0"/>
              <w:rPr>
                <w:sz w:val="16"/>
                <w:szCs w:val="16"/>
                <w:color w:val="auto"/>
              </w:rPr>
            </w:pPr>
          </w:p>
        </w:tc>
      </w:tr>
      <w:tr>
        <w:trPr>
          <w:trHeight w:val="190"/>
        </w:trPr>
        <w:tc>
          <w:tcPr>
            <w:tcW w:w="1160" w:type="dxa"/>
            <w:vAlign w:val="bottom"/>
          </w:tcPr>
          <w:p>
            <w:pPr>
              <w:spacing w:after="0"/>
              <w:rPr>
                <w:sz w:val="16"/>
                <w:szCs w:val="16"/>
                <w:color w:val="auto"/>
              </w:rPr>
            </w:pPr>
          </w:p>
        </w:tc>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5"/>
              </w:rPr>
              <w:t>Cash flow</w:t>
            </w:r>
          </w:p>
        </w:tc>
        <w:tc>
          <w:tcPr>
            <w:tcW w:w="3280" w:type="dxa"/>
            <w:vAlign w:val="bottom"/>
          </w:tcPr>
          <w:p>
            <w:pPr>
              <w:ind w:left="60"/>
              <w:spacing w:after="0" w:line="189" w:lineRule="exact"/>
              <w:rPr>
                <w:sz w:val="20"/>
                <w:szCs w:val="20"/>
                <w:color w:val="auto"/>
              </w:rPr>
            </w:pPr>
            <w:r>
              <w:rPr>
                <w:rFonts w:ascii="Arial" w:cs="Arial" w:eastAsia="Arial" w:hAnsi="Arial"/>
                <w:sz w:val="18"/>
                <w:szCs w:val="18"/>
                <w:color w:val="auto"/>
              </w:rPr>
              <w:t>from operating activities</w:t>
            </w:r>
          </w:p>
        </w:tc>
        <w:tc>
          <w:tcPr>
            <w:tcW w:w="1040" w:type="dxa"/>
            <w:vAlign w:val="bottom"/>
          </w:tcPr>
          <w:p>
            <w:pPr>
              <w:spacing w:after="0"/>
              <w:rPr>
                <w:sz w:val="16"/>
                <w:szCs w:val="16"/>
                <w:color w:val="auto"/>
              </w:rPr>
            </w:pPr>
          </w:p>
        </w:tc>
        <w:tc>
          <w:tcPr>
            <w:tcW w:w="1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75.5</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1160" w:type="dxa"/>
            <w:vAlign w:val="bottom"/>
            <w:tcBorders>
              <w:right w:val="single" w:sz="8" w:color="CFF0FC"/>
            </w:tcBorders>
          </w:tcPr>
          <w:p>
            <w:pPr>
              <w:spacing w:after="0"/>
              <w:rPr>
                <w:sz w:val="17"/>
                <w:szCs w:val="17"/>
                <w:color w:val="auto"/>
              </w:rPr>
            </w:pPr>
          </w:p>
        </w:tc>
        <w:tc>
          <w:tcPr>
            <w:tcW w:w="39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Capital expenditures</w:t>
            </w: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(5.3 )</w:t>
            </w: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(4.2 )</w:t>
            </w: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(13.4 )</w:t>
            </w:r>
          </w:p>
        </w:tc>
        <w:tc>
          <w:tcPr>
            <w:tcW w:w="1120" w:type="dxa"/>
            <w:vAlign w:val="bottom"/>
          </w:tcPr>
          <w:p>
            <w:pPr>
              <w:spacing w:after="0"/>
              <w:rPr>
                <w:sz w:val="17"/>
                <w:szCs w:val="17"/>
                <w:color w:val="auto"/>
              </w:rPr>
            </w:pPr>
          </w:p>
        </w:tc>
      </w:tr>
      <w:tr>
        <w:trPr>
          <w:trHeight w:val="20"/>
        </w:trPr>
        <w:tc>
          <w:tcPr>
            <w:tcW w:w="1160" w:type="dxa"/>
            <w:vAlign w:val="bottom"/>
            <w:tcBorders>
              <w:right w:val="single" w:sz="8" w:color="CFF0FC"/>
            </w:tcBorders>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Free Cash Flow (Non-GAAP)</w:t>
            </w:r>
          </w:p>
        </w:tc>
        <w:tc>
          <w:tcPr>
            <w:tcW w:w="10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70.3</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(5.5 )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60" w:type="dxa"/>
            <w:vAlign w:val="bottom"/>
            <w:tcBorders>
              <w:right w:val="single" w:sz="8" w:color="CFF0FC"/>
            </w:tcBorders>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116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Cash on hand, at year end</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2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60" w:type="dxa"/>
            <w:vAlign w:val="bottom"/>
            <w:tcBorders>
              <w:right w:val="single" w:sz="8" w:color="CFF0FC"/>
            </w:tcBorders>
          </w:tcPr>
          <w:p>
            <w:pPr>
              <w:spacing w:after="0"/>
              <w:rPr>
                <w:sz w:val="17"/>
                <w:szCs w:val="17"/>
                <w:color w:val="auto"/>
              </w:rPr>
            </w:pPr>
          </w:p>
        </w:tc>
        <w:tc>
          <w:tcPr>
            <w:tcW w:w="39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w w:val="98"/>
              </w:rPr>
              <w:t>Total debt, net of unamortized debt issuance costs</w:t>
            </w: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54.1</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Unused excess availability under Credit Facility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34"/>
        </w:trPr>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-1144905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-1144905</wp:posOffset>
            </wp:positionV>
            <wp:extent cx="6032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-1144905</wp:posOffset>
            </wp:positionV>
            <wp:extent cx="596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On October 28, 2021, we entered into a new $125.0 million revolving credit agreement, which replaced our prior credit facility that was due to expire in May 2023 (the "New Credit Facility"). The New Credit Facility has a five-year term and provides more favorable terms than the previous credit facility. The New Credit Facility includes a sublimit of $20.0 million for commercial and standby letters of credit and a sublimit of up to $15.0 million for swingline loans. Borrowings made pursuant to the New Credit Facility will be made pursuant to either a Base Rate loan or LIBOR Rate loan, at the Company's option. Base Rate loans will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will bear interest at (i) the LIBOR rate, or the Benchmark Rate as defined in the credit agreement plus (ii) a varying percentage based on the Company’s average excess availability, of either 1.25% or 1.50%.</w:t>
      </w:r>
    </w:p>
    <w:p>
      <w:pPr>
        <w:spacing w:after="0" w:line="6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had no outstanding borrowings under the New Credit Facility at January 29, 2022. At January 29, 2022, outstanding standby letters of credit were $2.7 million and outstanding documentary letters of credit of $1.4 million. The average monthly borrowing outstanding under the credit facilities during fiscal 2021 was approximately $16.4 million, resulting in an average unused excess availability of approximately $56.2 million. Unused excess availability at January 29, 2022 was $68.9 million. Our obligations under the New Credit Facility are secured by a lien on substantially all of our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Our New Credit Facility is described in more detail in Note D to the Notes to the Consolidated Financial Statements.</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FILO Loan</w:t>
      </w:r>
    </w:p>
    <w:p>
      <w:pPr>
        <w:spacing w:after="0" w:line="104"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auto"/>
        </w:rPr>
        <w:t>In March 2021, we refinanced our existing $15.0 million FILO loan (the “existing FILO loan”) and entered into a new $17.5 million FILO loan (the “new FILO loan”). The new FILO loan had higher advance rates, provided additional borrowing capacity of approximately $5.0 to $10.0 million, and carried an interest rate of 8.50%. The terms of the new FILO loan included a prepayment penalty, if any portion of the principal for the new FILO Loan was prepaid during the initial two-year period, equal to the greater of (i) the incremental interest that would have been incurred with respect to that principal repayment during the two year period and (ii) 3% of the principal prepayment, unless the prepayment occurs after March 16, 2022 in connection with the Company’s renegotiation of its Credit Agreement in which case the prepayment premium would be equal to 1% of the principal prepayment.</w:t>
      </w:r>
    </w:p>
    <w:p>
      <w:pPr>
        <w:spacing w:after="0" w:line="5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On September 3, 2021, we prepaid the outstanding balance of $17.5 million under the new FILO loan. In connection with the prepayment, we negotiated a reduced prepayment penalty of $1.1 million and wrote-off unamortized debt issuance costs of $0.9 million. At January 29, 2022, the Company has no outstanding long-term debt.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Stock Repurchase Program</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Subsequent to the end of fiscal 2022, our Board of Directors approved a stock repurchase plan. Under the stock repurchase plan, we may purchase up to $15.0 million of our common stock through open market and privately negotiated transactions during fiscal 2022. The timing and the amount of any repurchases of common stock will be determined based on the Company’s evaluation of market conditions and other factors. The stock repurchase program is expected to commence in the first quarter of fiscal 2022 and will expire on March 15, 2023 but may be suspended, terminated or modified at any time for any reason. We expect to finance the repurchases from operating funds and/or periodic borrowings on our credit facility. Any repurchased common stock will be held as treasury stock.</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At January 29, 2022, total inventories decreased to $81.8 million from $85.0 million at January 30, 2021 and $102.4 million at February 1, 2020. Maintaining sufficient inventory levels, given the ongoing supply chain disruptions, remains a primary focus. We believe that we have secured sufficient inventory to support our current sales forecast. We are continuing to manage our inventory conservatively, narrowing our assortments and increasing exclusivity with our national brands. As a result, we were able to increase our inventory turnover to over 2.0 times as compared to historical turnover of approximately 1.5 times. At January 29, 2022, our clearance inventory was 6.0% of our inventory as compared to 10.4% at January 30, 2021 and 10.0% at February 1, 2020.</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i w:val="1"/>
          <w:iCs w:val="1"/>
          <w:color w:val="auto"/>
        </w:rPr>
        <w:t>CAPITAL EXPENDITURES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January 29, 2022 and January 30, 2021 respectively:</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color w:val="auto"/>
              </w:rPr>
              <w:t>At January 29, 2022</w:t>
            </w:r>
          </w:p>
        </w:tc>
        <w:tc>
          <w:tcPr>
            <w:tcW w:w="220" w:type="dxa"/>
            <w:vAlign w:val="bottom"/>
          </w:tcPr>
          <w:p>
            <w:pPr>
              <w:spacing w:after="0"/>
              <w:rPr>
                <w:sz w:val="15"/>
                <w:szCs w:val="15"/>
                <w:color w:val="auto"/>
              </w:rPr>
            </w:pPr>
          </w:p>
        </w:tc>
        <w:tc>
          <w:tcPr>
            <w:tcW w:w="23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color w:val="auto"/>
              </w:rPr>
              <w:t>At January 30, 2021</w:t>
            </w:r>
          </w:p>
        </w:tc>
        <w:tc>
          <w:tcPr>
            <w:tcW w:w="100" w:type="dxa"/>
            <w:vAlign w:val="bottom"/>
          </w:tcPr>
          <w:p>
            <w:pPr>
              <w:spacing w:after="0"/>
              <w:rPr>
                <w:sz w:val="15"/>
                <w:szCs w:val="15"/>
                <w:color w:val="auto"/>
              </w:rPr>
            </w:pPr>
          </w:p>
        </w:tc>
      </w:tr>
      <w:tr>
        <w:trPr>
          <w:trHeight w:val="137"/>
        </w:trPr>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137"/>
              <w:spacing w:after="0" w:line="137"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268"/>
              <w:spacing w:after="0" w:line="137" w:lineRule="exact"/>
              <w:rPr>
                <w:sz w:val="20"/>
                <w:szCs w:val="20"/>
                <w:color w:val="auto"/>
              </w:rPr>
            </w:pPr>
            <w:r>
              <w:rPr>
                <w:rFonts w:ascii="Arial" w:cs="Arial" w:eastAsia="Arial" w:hAnsi="Arial"/>
                <w:sz w:val="14"/>
                <w:szCs w:val="14"/>
                <w:color w:val="auto"/>
              </w:rPr>
              <w:t>Square</w:t>
            </w:r>
          </w:p>
        </w:tc>
        <w:tc>
          <w:tcPr>
            <w:tcW w:w="220" w:type="dxa"/>
            <w:vAlign w:val="bottom"/>
          </w:tcPr>
          <w:p>
            <w:pPr>
              <w:spacing w:after="0"/>
              <w:rPr>
                <w:sz w:val="11"/>
                <w:szCs w:val="11"/>
                <w:color w:val="auto"/>
              </w:rPr>
            </w:pPr>
          </w:p>
        </w:tc>
        <w:tc>
          <w:tcPr>
            <w:tcW w:w="1080" w:type="dxa"/>
            <w:vAlign w:val="bottom"/>
          </w:tcPr>
          <w:p>
            <w:pPr>
              <w:jc w:val="right"/>
              <w:ind w:right="144"/>
              <w:spacing w:after="0" w:line="137" w:lineRule="exact"/>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248"/>
              <w:spacing w:after="0" w:line="137" w:lineRule="exact"/>
              <w:rPr>
                <w:sz w:val="20"/>
                <w:szCs w:val="20"/>
                <w:color w:val="auto"/>
              </w:rPr>
            </w:pPr>
            <w:r>
              <w:rPr>
                <w:rFonts w:ascii="Arial" w:cs="Arial" w:eastAsia="Arial" w:hAnsi="Arial"/>
                <w:sz w:val="14"/>
                <w:szCs w:val="14"/>
                <w:color w:val="auto"/>
              </w:rPr>
              <w:t>Square</w:t>
            </w:r>
          </w:p>
        </w:tc>
        <w:tc>
          <w:tcPr>
            <w:tcW w:w="100" w:type="dxa"/>
            <w:vAlign w:val="bottom"/>
          </w:tcPr>
          <w:p>
            <w:pPr>
              <w:spacing w:after="0"/>
              <w:rPr>
                <w:sz w:val="11"/>
                <w:szCs w:val="11"/>
                <w:color w:val="auto"/>
              </w:rPr>
            </w:pPr>
          </w:p>
        </w:tc>
      </w:tr>
      <w:tr>
        <w:trPr>
          <w:trHeight w:val="181"/>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Store Concept</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Stores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Footage</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color w:val="auto"/>
              </w:rPr>
              <w:t>Stores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Footage</w:t>
            </w:r>
          </w:p>
        </w:tc>
        <w:tc>
          <w:tcPr>
            <w:tcW w:w="100" w:type="dxa"/>
            <w:vAlign w:val="bottom"/>
          </w:tcPr>
          <w:p>
            <w:pPr>
              <w:spacing w:after="0"/>
              <w:rPr>
                <w:sz w:val="15"/>
                <w:szCs w:val="15"/>
                <w:color w:val="auto"/>
              </w:rPr>
            </w:pPr>
          </w:p>
        </w:tc>
      </w:tr>
      <w:tr>
        <w:trPr>
          <w:trHeight w:val="190"/>
        </w:trPr>
        <w:tc>
          <w:tcPr>
            <w:tcW w:w="5100" w:type="dxa"/>
            <w:vAlign w:val="bottom"/>
            <w:gridSpan w:val="2"/>
          </w:tcPr>
          <w:p>
            <w:pPr>
              <w:spacing w:after="0"/>
              <w:rPr>
                <w:sz w:val="20"/>
                <w:szCs w:val="20"/>
                <w:color w:val="auto"/>
              </w:rPr>
            </w:pPr>
            <w:r>
              <w:rPr>
                <w:rFonts w:ascii="Arial" w:cs="Arial" w:eastAsia="Arial" w:hAnsi="Arial"/>
                <w:sz w:val="14"/>
                <w:szCs w:val="14"/>
                <w:i w:val="1"/>
                <w:iCs w:val="1"/>
                <w:color w:val="auto"/>
              </w:rPr>
              <w:t>(square footage in thousands)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FF0FC"/>
          </w:tcPr>
          <w:p>
            <w:pPr>
              <w:spacing w:after="0"/>
              <w:rPr>
                <w:sz w:val="18"/>
                <w:szCs w:val="18"/>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DXL Outlet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r>
      <w:tr>
        <w:trPr>
          <w:trHeight w:val="203"/>
        </w:trPr>
        <w:tc>
          <w:tcPr>
            <w:tcW w:w="51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Casual Male XL Retail</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13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115</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12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7"/>
                <w:szCs w:val="17"/>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Casual Male XL Outlet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57</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r>
      <w:tr>
        <w:trPr>
          <w:trHeight w:val="196"/>
        </w:trPr>
        <w:tc>
          <w:tcPr>
            <w:tcW w:w="51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Stores</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7"/>
                <w:szCs w:val="17"/>
                <w:color w:val="auto"/>
              </w:rPr>
            </w:pPr>
          </w:p>
        </w:tc>
        <w:tc>
          <w:tcPr>
            <w:tcW w:w="11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1,930</w:t>
            </w:r>
          </w:p>
        </w:tc>
        <w:tc>
          <w:tcPr>
            <w:tcW w:w="2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7"/>
                <w:szCs w:val="17"/>
                <w:color w:val="auto"/>
              </w:rPr>
            </w:pPr>
          </w:p>
        </w:tc>
        <w:tc>
          <w:tcPr>
            <w:tcW w:w="11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2,018</w:t>
            </w:r>
          </w:p>
        </w:tc>
        <w:tc>
          <w:tcPr>
            <w:tcW w:w="10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rebrand any of our Casual Male XL stores or open any new DXL locations during fiscal 2021. In total, we closed 21 stores during the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those store closings from January 30, 2021 to January 29,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Casual Male</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Casual Male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5160" w:type="dxa"/>
            <w:vAlign w:val="bottom"/>
          </w:tcPr>
          <w:p>
            <w:pPr>
              <w:ind w:left="20"/>
              <w:spacing w:after="0"/>
              <w:rPr>
                <w:sz w:val="20"/>
                <w:szCs w:val="20"/>
                <w:color w:val="auto"/>
              </w:rPr>
            </w:pPr>
            <w:r>
              <w:rPr>
                <w:rFonts w:ascii="Arial" w:cs="Arial" w:eastAsia="Arial" w:hAnsi="Arial"/>
                <w:sz w:val="14"/>
                <w:szCs w:val="14"/>
                <w:color w:val="auto"/>
              </w:rPr>
              <w:t>Number of Stores:</w:t>
            </w:r>
          </w:p>
        </w:tc>
        <w:tc>
          <w:tcPr>
            <w:tcW w:w="12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color w:val="auto"/>
              </w:rPr>
              <w:t>DXL Retail</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DXL Outlet</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XL Retail</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XL Outlet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Total Stores</w:t>
            </w:r>
          </w:p>
        </w:tc>
      </w:tr>
      <w:tr>
        <w:trPr>
          <w:trHeight w:val="196"/>
        </w:trPr>
        <w:tc>
          <w:tcPr>
            <w:tcW w:w="51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At January 30, 2021</w:t>
            </w:r>
          </w:p>
        </w:tc>
        <w:tc>
          <w:tcPr>
            <w:tcW w:w="1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w:t>
            </w:r>
          </w:p>
        </w:tc>
        <w:tc>
          <w:tcPr>
            <w:tcW w:w="24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Closed retail stores</w:t>
            </w:r>
          </w:p>
        </w:tc>
        <w:tc>
          <w:tcPr>
            <w:tcW w:w="14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(6 )</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(1 )</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(11 )</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(3 )</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(21 )</w:t>
            </w: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At January 29, 2022</w:t>
            </w:r>
          </w:p>
        </w:tc>
        <w:tc>
          <w:tcPr>
            <w:tcW w:w="1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w:t>
            </w:r>
          </w:p>
        </w:tc>
        <w:tc>
          <w:tcPr>
            <w:tcW w:w="24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capital expenditures for fiscal 2021 were $5.3 million, as compared to $4.2 million in fiscal 2020. The capital expenditures for fiscal 2021 primarily related to management information projects to support our distribution center, marketing, stores and website.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response to the pandemic, capital expenditures for the past two years have been limited. For fiscal 2022, our capital expenditures are expected to be approximately $10.0-$12.0 million. In addition to technology investments related to our marketing and merchandising initiatives, we are also actively reviewing opportunities to relocate or convert Casual Male XL stores to DXL and we are reviewing white space opportunities in markets where our store footprint is underpenetrated. We believe that our store portfolio is a vital asset to our business strategy and we expect to continue to invest in stores over the next several years as we further strengthen the store portfolio. Over the next three to five years, based on our preliminary store development plan, we believe that we could potentially open up to 50 new and relocated stores.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Reconciliations</w:t>
      </w:r>
    </w:p>
    <w:p>
      <w:pPr>
        <w:spacing w:after="0" w:line="9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monitor certain non-GAAP financial measures on a regular basis in order to track the progress of our business, including the measures below. We believe these measures provide helpful information with respect to the Company’s operating performance to shareholders, investors and analysts, and that the inclusion of these non-GAAP measures is important to assist investors in comparing our performance in fiscal 2021 to fiscal 2020 and fiscal 2019, on a comparable basis. However, these measures may not be comparable to similar measures used by other companies and should not be considered superior to or as a substitute for operating net income (loss), net income (loss) per diluted share or cash flows from operating activities in accordance with GAAP. (Certain amounts in the following tables may not foot due to rounding.)</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Free Cash Flow</w:t>
      </w:r>
    </w:p>
    <w:p>
      <w:pPr>
        <w:spacing w:after="0" w:line="104"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We calculate free cash flow as cash flow provided by operating activities less capital expenditures. Free cash flow excludes the mandatory and discretionary repayment of debt. The following table provides a reconciliation of free cash flow: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2021</w:t>
            </w:r>
          </w:p>
        </w:tc>
        <w:tc>
          <w:tcPr>
            <w:tcW w:w="220" w:type="dxa"/>
            <w:vAlign w:val="bottom"/>
          </w:tcPr>
          <w:p>
            <w:pPr>
              <w:spacing w:after="0"/>
              <w:rPr>
                <w:sz w:val="14"/>
                <w:szCs w:val="14"/>
                <w:color w:val="auto"/>
              </w:rPr>
            </w:pPr>
          </w:p>
        </w:tc>
        <w:tc>
          <w:tcPr>
            <w:tcW w:w="1360" w:type="dxa"/>
            <w:vAlign w:val="bottom"/>
            <w:gridSpan w:val="2"/>
          </w:tcPr>
          <w:p>
            <w:pPr>
              <w:jc w:val="right"/>
              <w:ind w:right="479"/>
              <w:spacing w:after="0"/>
              <w:rPr>
                <w:sz w:val="20"/>
                <w:szCs w:val="20"/>
                <w:color w:val="auto"/>
              </w:rPr>
            </w:pPr>
            <w:r>
              <w:rPr>
                <w:rFonts w:ascii="Arial" w:cs="Arial" w:eastAsia="Arial" w:hAnsi="Arial"/>
                <w:sz w:val="14"/>
                <w:szCs w:val="14"/>
                <w:color w:val="auto"/>
              </w:rPr>
              <w:t>Fiscal 2020</w:t>
            </w:r>
          </w:p>
        </w:tc>
        <w:tc>
          <w:tcPr>
            <w:tcW w:w="22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2019</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6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flow from operating activities (GAAP)</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FF0FC"/>
          </w:tcPr>
          <w:p>
            <w:pPr>
              <w:spacing w:after="0"/>
              <w:rPr>
                <w:sz w:val="16"/>
                <w:szCs w:val="16"/>
                <w:color w:val="auto"/>
              </w:rPr>
            </w:pPr>
          </w:p>
        </w:tc>
      </w:tr>
      <w:tr>
        <w:trPr>
          <w:trHeight w:val="189"/>
        </w:trPr>
        <w:tc>
          <w:tcPr>
            <w:tcW w:w="6560" w:type="dxa"/>
            <w:vAlign w:val="bottom"/>
            <w:gridSpan w:val="3"/>
          </w:tcPr>
          <w:p>
            <w:pPr>
              <w:ind w:left="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(5.3 )</w:t>
            </w:r>
          </w:p>
        </w:tc>
        <w:tc>
          <w:tcPr>
            <w:tcW w:w="220" w:type="dxa"/>
            <w:vAlign w:val="bottom"/>
          </w:tcPr>
          <w:p>
            <w:pPr>
              <w:spacing w:after="0"/>
              <w:rPr>
                <w:sz w:val="16"/>
                <w:szCs w:val="16"/>
                <w:color w:val="auto"/>
              </w:rPr>
            </w:pPr>
          </w:p>
        </w:tc>
        <w:tc>
          <w:tcPr>
            <w:tcW w:w="1360" w:type="dxa"/>
            <w:vAlign w:val="bottom"/>
            <w:gridSpan w:val="2"/>
          </w:tcPr>
          <w:p>
            <w:pPr>
              <w:jc w:val="right"/>
              <w:ind w:right="79"/>
              <w:spacing w:after="0"/>
              <w:rPr>
                <w:sz w:val="20"/>
                <w:szCs w:val="20"/>
                <w:color w:val="auto"/>
              </w:rPr>
            </w:pPr>
            <w:r>
              <w:rPr>
                <w:rFonts w:ascii="Arial" w:cs="Arial" w:eastAsia="Arial" w:hAnsi="Arial"/>
                <w:sz w:val="16"/>
                <w:szCs w:val="16"/>
                <w:color w:val="auto"/>
              </w:rPr>
              <w:t>(4.2 )</w:t>
            </w:r>
          </w:p>
        </w:tc>
        <w:tc>
          <w:tcPr>
            <w:tcW w:w="22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(13.4 )</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6540" w:type="dxa"/>
            <w:vAlign w:val="bottom"/>
            <w:tcBorders>
              <w:bottom w:val="single" w:sz="8" w:color="CFF0FC"/>
            </w:tcBorders>
            <w:gridSpan w:val="2"/>
            <w:shd w:val="clear" w:color="auto" w:fill="CFF0FC"/>
          </w:tcPr>
          <w:p>
            <w:pPr>
              <w:ind w:left="180"/>
              <w:spacing w:after="0" w:line="169" w:lineRule="exact"/>
              <w:rPr>
                <w:sz w:val="20"/>
                <w:szCs w:val="20"/>
                <w:color w:val="auto"/>
              </w:rPr>
            </w:pPr>
            <w:r>
              <w:rPr>
                <w:rFonts w:ascii="Arial" w:cs="Arial" w:eastAsia="Arial" w:hAnsi="Arial"/>
                <w:sz w:val="16"/>
                <w:szCs w:val="16"/>
                <w:color w:val="auto"/>
              </w:rPr>
              <w:t>Free cash flow (non-GAAP)</w:t>
            </w:r>
          </w:p>
        </w:tc>
        <w:tc>
          <w:tcPr>
            <w:tcW w:w="240" w:type="dxa"/>
            <w:vAlign w:val="bottom"/>
            <w:tcBorders>
              <w:top w:val="single" w:sz="8" w:color="auto"/>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70.3</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(5.5</w:t>
            </w:r>
          </w:p>
        </w:tc>
        <w:tc>
          <w:tcPr>
            <w:tcW w:w="220" w:type="dxa"/>
            <w:vAlign w:val="bottom"/>
            <w:tcBorders>
              <w:bottom w:val="single" w:sz="8" w:color="CFF0FC"/>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51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51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i w:val="1"/>
          <w:iCs w:val="1"/>
          <w:color w:val="auto"/>
        </w:rPr>
        <w:t>EBITDA, Adjusted EBITDA, EBITDA Margin and Adjusted EBITDA Margin</w:t>
      </w:r>
    </w:p>
    <w:p>
      <w:pPr>
        <w:spacing w:after="0" w:line="10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EBITDA, Adjusted EBITDA, EBITDA margin and adjusted EBITDA margin are presented because we believe that these measures are useful to investors in evaluating our performance. Management uses EBITDA as a key metric to measure profitability and economic productivity. EBITDA is calculated as earnings before interest, taxes, depreciation and amortization. Adjusted EBITDA is calculated as EBITDA before asset impairment charges, exit costs associated with London operations, CEO transition costs and corporate restructuring. EBITDA margin and Adjusted EBITDA margin are calculated as EBITDA and Adjusted EBITDA, respectively, divided by sales.</w:t>
      </w:r>
    </w:p>
    <w:p>
      <w:pPr>
        <w:spacing w:after="0" w:line="18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is a reconciliation of net income (loss) on a GAAP basis to EBITDA and Adjusted EBITDA, on a non-GAAP basis, for each fiscal year:</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920" w:type="dxa"/>
            <w:vAlign w:val="bottom"/>
            <w:gridSpan w:val="2"/>
          </w:tcPr>
          <w:p>
            <w:pPr>
              <w:spacing w:after="0"/>
              <w:rPr>
                <w:sz w:val="20"/>
                <w:szCs w:val="20"/>
                <w:color w:val="auto"/>
              </w:rPr>
            </w:pPr>
            <w:r>
              <w:rPr>
                <w:rFonts w:ascii="Arial" w:cs="Arial" w:eastAsia="Arial" w:hAnsi="Arial"/>
                <w:sz w:val="16"/>
                <w:szCs w:val="16"/>
                <w:i w:val="1"/>
                <w:iCs w:val="1"/>
                <w:color w:val="auto"/>
              </w:rPr>
              <w:t>(in millions, except percentages)</w:t>
            </w:r>
          </w:p>
        </w:tc>
        <w:tc>
          <w:tcPr>
            <w:tcW w:w="220" w:type="dxa"/>
            <w:vAlign w:val="bottom"/>
          </w:tcPr>
          <w:p>
            <w:pPr>
              <w:spacing w:after="0"/>
              <w:rPr>
                <w:sz w:val="16"/>
                <w:szCs w:val="16"/>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color w:val="auto"/>
              </w:rPr>
              <w:t>Fiscal 2021</w:t>
            </w:r>
          </w:p>
        </w:tc>
        <w:tc>
          <w:tcPr>
            <w:tcW w:w="200" w:type="dxa"/>
            <w:vAlign w:val="bottom"/>
          </w:tcPr>
          <w:p>
            <w:pPr>
              <w:spacing w:after="0"/>
              <w:rPr>
                <w:sz w:val="16"/>
                <w:szCs w:val="16"/>
                <w:color w:val="auto"/>
              </w:rPr>
            </w:pPr>
          </w:p>
        </w:tc>
        <w:tc>
          <w:tcPr>
            <w:tcW w:w="1540" w:type="dxa"/>
            <w:vAlign w:val="bottom"/>
            <w:gridSpan w:val="2"/>
          </w:tcPr>
          <w:p>
            <w:pPr>
              <w:jc w:val="right"/>
              <w:ind w:right="681"/>
              <w:spacing w:after="0"/>
              <w:rPr>
                <w:sz w:val="20"/>
                <w:szCs w:val="20"/>
                <w:color w:val="auto"/>
              </w:rPr>
            </w:pPr>
            <w:r>
              <w:rPr>
                <w:rFonts w:ascii="Arial" w:cs="Arial" w:eastAsia="Arial" w:hAnsi="Arial"/>
                <w:sz w:val="14"/>
                <w:szCs w:val="14"/>
                <w:color w:val="auto"/>
              </w:rPr>
              <w:t>Fiscal 2020</w:t>
            </w:r>
          </w:p>
        </w:tc>
        <w:tc>
          <w:tcPr>
            <w:tcW w:w="200" w:type="dxa"/>
            <w:vAlign w:val="bottom"/>
          </w:tcPr>
          <w:p>
            <w:pPr>
              <w:spacing w:after="0"/>
              <w:rPr>
                <w:sz w:val="16"/>
                <w:szCs w:val="16"/>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4"/>
                <w:szCs w:val="14"/>
                <w:color w:val="auto"/>
              </w:rPr>
              <w:t>Fiscal 2019</w:t>
            </w: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38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9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on a GAAP basis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301"/>
              <w:spacing w:after="0" w:line="202" w:lineRule="exact"/>
              <w:rPr>
                <w:sz w:val="20"/>
                <w:szCs w:val="20"/>
                <w:color w:val="auto"/>
              </w:rPr>
            </w:pPr>
            <w:r>
              <w:rPr>
                <w:rFonts w:ascii="Arial" w:cs="Arial" w:eastAsia="Arial" w:hAnsi="Arial"/>
                <w:sz w:val="18"/>
                <w:szCs w:val="18"/>
                <w:color w:val="auto"/>
              </w:rPr>
              <w:t>(64.5 )</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500"/>
              <w:spacing w:after="0" w:line="202" w:lineRule="exact"/>
              <w:rPr>
                <w:sz w:val="20"/>
                <w:szCs w:val="20"/>
                <w:color w:val="auto"/>
              </w:rPr>
            </w:pPr>
            <w:r>
              <w:rPr>
                <w:rFonts w:ascii="Arial" w:cs="Arial" w:eastAsia="Arial" w:hAnsi="Arial"/>
                <w:sz w:val="18"/>
                <w:szCs w:val="18"/>
                <w:color w:val="auto"/>
              </w:rPr>
              <w:t>(7.8 )</w:t>
            </w:r>
          </w:p>
        </w:tc>
      </w:tr>
      <w:tr>
        <w:trPr>
          <w:trHeight w:val="203"/>
        </w:trPr>
        <w:tc>
          <w:tcPr>
            <w:tcW w:w="59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Add back:</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9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560" w:type="dxa"/>
            <w:vAlign w:val="bottom"/>
            <w:shd w:val="clear" w:color="auto" w:fill="CFF0FC"/>
          </w:tcPr>
          <w:p>
            <w:pPr>
              <w:spacing w:after="0"/>
              <w:rPr>
                <w:sz w:val="17"/>
                <w:szCs w:val="17"/>
                <w:color w:val="auto"/>
              </w:rPr>
            </w:pPr>
          </w:p>
        </w:tc>
      </w:tr>
      <w:tr>
        <w:trPr>
          <w:trHeight w:val="203"/>
        </w:trPr>
        <w:tc>
          <w:tcPr>
            <w:tcW w:w="59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560" w:type="dxa"/>
            <w:vAlign w:val="bottom"/>
          </w:tcPr>
          <w:p>
            <w:pPr>
              <w:spacing w:after="0"/>
              <w:rPr>
                <w:sz w:val="17"/>
                <w:szCs w:val="17"/>
                <w:color w:val="auto"/>
              </w:rPr>
            </w:pPr>
          </w:p>
        </w:tc>
      </w:tr>
      <w:tr>
        <w:trPr>
          <w:trHeight w:val="203"/>
        </w:trPr>
        <w:tc>
          <w:tcPr>
            <w:tcW w:w="594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17.2</w:t>
            </w:r>
          </w:p>
        </w:tc>
        <w:tc>
          <w:tcPr>
            <w:tcW w:w="3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21.5</w:t>
            </w:r>
          </w:p>
        </w:tc>
        <w:tc>
          <w:tcPr>
            <w:tcW w:w="4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24.6</w:t>
            </w:r>
          </w:p>
        </w:tc>
        <w:tc>
          <w:tcPr>
            <w:tcW w:w="560" w:type="dxa"/>
            <w:vAlign w:val="bottom"/>
            <w:tcBorders>
              <w:bottom w:val="single" w:sz="8" w:color="CFF0FC"/>
            </w:tcBorders>
            <w:shd w:val="clear" w:color="auto" w:fill="CFF0FC"/>
          </w:tcPr>
          <w:p>
            <w:pPr>
              <w:spacing w:after="0"/>
              <w:rPr>
                <w:sz w:val="17"/>
                <w:szCs w:val="17"/>
                <w:color w:val="auto"/>
              </w:rPr>
            </w:pPr>
          </w:p>
        </w:tc>
      </w:tr>
      <w:tr>
        <w:trPr>
          <w:trHeight w:val="196"/>
        </w:trPr>
        <w:tc>
          <w:tcPr>
            <w:tcW w:w="59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EBITDA, on a non-GAAP basis</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79.2</w:t>
            </w:r>
          </w:p>
        </w:tc>
        <w:tc>
          <w:tcPr>
            <w:tcW w:w="38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01"/>
              <w:spacing w:after="0" w:line="196" w:lineRule="exact"/>
              <w:rPr>
                <w:sz w:val="20"/>
                <w:szCs w:val="20"/>
                <w:color w:val="auto"/>
              </w:rPr>
            </w:pPr>
            <w:r>
              <w:rPr>
                <w:rFonts w:ascii="Arial" w:cs="Arial" w:eastAsia="Arial" w:hAnsi="Arial"/>
                <w:sz w:val="18"/>
                <w:szCs w:val="18"/>
                <w:color w:val="auto"/>
              </w:rPr>
              <w:t>(39.0 )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20.2</w:t>
            </w:r>
          </w:p>
        </w:tc>
        <w:tc>
          <w:tcPr>
            <w:tcW w:w="560" w:type="dxa"/>
            <w:vAlign w:val="bottom"/>
          </w:tcPr>
          <w:p>
            <w:pPr>
              <w:spacing w:after="0"/>
              <w:rPr>
                <w:sz w:val="17"/>
                <w:szCs w:val="17"/>
                <w:color w:val="auto"/>
              </w:rPr>
            </w:pPr>
          </w:p>
        </w:tc>
      </w:tr>
      <w:tr>
        <w:trPr>
          <w:trHeight w:val="203"/>
        </w:trPr>
        <w:tc>
          <w:tcPr>
            <w:tcW w:w="59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Add back:</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Exit costs associated with London operations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81"/>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5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592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CEO transition costs</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8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w:t>
            </w:r>
          </w:p>
        </w:tc>
        <w:tc>
          <w:tcPr>
            <w:tcW w:w="5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Impairment of assets</w:t>
            </w:r>
          </w:p>
        </w:tc>
        <w:tc>
          <w:tcPr>
            <w:tcW w:w="220" w:type="dxa"/>
            <w:vAlign w:val="bottom"/>
          </w:tcPr>
          <w:p>
            <w:pPr>
              <w:spacing w:after="0"/>
              <w:rPr>
                <w:sz w:val="17"/>
                <w:szCs w:val="17"/>
                <w:color w:val="auto"/>
              </w:rPr>
            </w:pPr>
          </w:p>
        </w:tc>
        <w:tc>
          <w:tcPr>
            <w:tcW w:w="14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(2.3 )</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560" w:type="dxa"/>
            <w:vAlign w:val="bottom"/>
          </w:tcPr>
          <w:p>
            <w:pPr>
              <w:spacing w:after="0"/>
              <w:rPr>
                <w:sz w:val="17"/>
                <w:szCs w:val="17"/>
                <w:color w:val="auto"/>
              </w:rPr>
            </w:pPr>
          </w:p>
        </w:tc>
      </w:tr>
      <w:tr>
        <w:trPr>
          <w:trHeight w:val="196"/>
        </w:trPr>
        <w:tc>
          <w:tcPr>
            <w:tcW w:w="594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EBITDA, on a non-GAAP basis</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76.9</w:t>
            </w:r>
          </w:p>
        </w:tc>
        <w:tc>
          <w:tcPr>
            <w:tcW w:w="3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w:t>
            </w:r>
          </w:p>
        </w:tc>
        <w:tc>
          <w:tcPr>
            <w:tcW w:w="440" w:type="dxa"/>
            <w:vAlign w:val="bottom"/>
            <w:tcBorders>
              <w:bottom w:val="single" w:sz="8" w:color="CFF0FC"/>
            </w:tcBorders>
            <w:shd w:val="clear" w:color="auto" w:fill="CFF0FC"/>
          </w:tcPr>
          <w:p>
            <w:pPr>
              <w:jc w:val="right"/>
              <w:ind w:right="3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w:t>
            </w:r>
          </w:p>
        </w:tc>
        <w:tc>
          <w:tcPr>
            <w:tcW w:w="5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-793750</wp:posOffset>
            </wp:positionV>
            <wp:extent cx="5969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-793750</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-793750</wp:posOffset>
            </wp:positionV>
            <wp:extent cx="514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-5080</wp:posOffset>
            </wp:positionV>
            <wp:extent cx="5969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-5080</wp:posOffset>
            </wp:positionV>
            <wp:extent cx="5143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-5080</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 is a reconciliation of operating margin, on a GAAP basis, to EBITDA margin and Adjusted EBITDA margin, on a non-GAAP basis, for each fiscal year: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6140" w:type="dxa"/>
            <w:vAlign w:val="bottom"/>
            <w:gridSpan w:val="2"/>
          </w:tcPr>
          <w:p>
            <w:pPr>
              <w:spacing w:after="0"/>
              <w:rPr>
                <w:sz w:val="20"/>
                <w:szCs w:val="20"/>
                <w:color w:val="auto"/>
              </w:rPr>
            </w:pPr>
            <w:r>
              <w:rPr>
                <w:rFonts w:ascii="Arial" w:cs="Arial" w:eastAsia="Arial" w:hAnsi="Arial"/>
                <w:sz w:val="16"/>
                <w:szCs w:val="16"/>
                <w:i w:val="1"/>
                <w:iCs w:val="1"/>
                <w:color w:val="auto"/>
              </w:rPr>
              <w:t>(as a percentage of sales)</w:t>
            </w:r>
          </w:p>
        </w:tc>
        <w:tc>
          <w:tcPr>
            <w:tcW w:w="1800" w:type="dxa"/>
            <w:vAlign w:val="bottom"/>
            <w:gridSpan w:val="2"/>
          </w:tcPr>
          <w:p>
            <w:pPr>
              <w:jc w:val="right"/>
              <w:ind w:right="790"/>
              <w:spacing w:after="0"/>
              <w:rPr>
                <w:sz w:val="20"/>
                <w:szCs w:val="20"/>
                <w:color w:val="auto"/>
              </w:rPr>
            </w:pPr>
            <w:r>
              <w:rPr>
                <w:rFonts w:ascii="Arial" w:cs="Arial" w:eastAsia="Arial" w:hAnsi="Arial"/>
                <w:sz w:val="14"/>
                <w:szCs w:val="14"/>
                <w:color w:val="auto"/>
              </w:rPr>
              <w:t>Fiscal 2021</w:t>
            </w:r>
          </w:p>
        </w:tc>
        <w:tc>
          <w:tcPr>
            <w:tcW w:w="1840" w:type="dxa"/>
            <w:vAlign w:val="bottom"/>
            <w:gridSpan w:val="2"/>
          </w:tcPr>
          <w:p>
            <w:pPr>
              <w:jc w:val="right"/>
              <w:ind w:right="850"/>
              <w:spacing w:after="0"/>
              <w:rPr>
                <w:sz w:val="20"/>
                <w:szCs w:val="20"/>
                <w:color w:val="auto"/>
              </w:rPr>
            </w:pPr>
            <w:r>
              <w:rPr>
                <w:rFonts w:ascii="Arial" w:cs="Arial" w:eastAsia="Arial" w:hAnsi="Arial"/>
                <w:sz w:val="14"/>
                <w:szCs w:val="14"/>
                <w:color w:val="auto"/>
              </w:rPr>
              <w:t>Fiscal 2020</w:t>
            </w:r>
          </w:p>
        </w:tc>
        <w:tc>
          <w:tcPr>
            <w:tcW w:w="1440" w:type="dxa"/>
            <w:vAlign w:val="bottom"/>
            <w:gridSpan w:val="2"/>
          </w:tcPr>
          <w:p>
            <w:pPr>
              <w:jc w:val="right"/>
              <w:ind w:right="450"/>
              <w:spacing w:after="0"/>
              <w:rPr>
                <w:sz w:val="20"/>
                <w:szCs w:val="20"/>
                <w:color w:val="auto"/>
              </w:rPr>
            </w:pPr>
            <w:r>
              <w:rPr>
                <w:rFonts w:ascii="Arial" w:cs="Arial" w:eastAsia="Arial" w:hAnsi="Arial"/>
                <w:sz w:val="14"/>
                <w:szCs w:val="14"/>
                <w:color w:val="auto"/>
              </w:rPr>
              <w:t>Fiscal 2019</w:t>
            </w:r>
          </w:p>
        </w:tc>
      </w:tr>
      <w:tr>
        <w:trPr>
          <w:trHeight w:val="203"/>
        </w:trPr>
        <w:tc>
          <w:tcPr>
            <w:tcW w:w="2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44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61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margin, on a GAAP basis</w:t>
            </w:r>
          </w:p>
        </w:tc>
        <w:tc>
          <w:tcPr>
            <w:tcW w:w="1800" w:type="dxa"/>
            <w:vAlign w:val="bottom"/>
            <w:gridSpan w:val="2"/>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12.3 %</w:t>
            </w:r>
          </w:p>
        </w:tc>
        <w:tc>
          <w:tcPr>
            <w:tcW w:w="1840" w:type="dxa"/>
            <w:vAlign w:val="bottom"/>
            <w:gridSpan w:val="2"/>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(19.0 %)</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(0.9 %)</w:t>
            </w:r>
          </w:p>
        </w:tc>
      </w:tr>
      <w:tr>
        <w:trPr>
          <w:trHeight w:val="203"/>
        </w:trPr>
        <w:tc>
          <w:tcPr>
            <w:tcW w:w="6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Add back:</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61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800" w:type="dxa"/>
            <w:vAlign w:val="bottom"/>
            <w:gridSpan w:val="2"/>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3.4 %</w:t>
            </w:r>
          </w:p>
        </w:tc>
        <w:tc>
          <w:tcPr>
            <w:tcW w:w="1840" w:type="dxa"/>
            <w:vAlign w:val="bottom"/>
            <w:gridSpan w:val="2"/>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rPr>
              <w:t>6.7 %</w:t>
            </w:r>
          </w:p>
        </w:tc>
        <w:tc>
          <w:tcPr>
            <w:tcW w:w="14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5.2 %</w:t>
            </w:r>
          </w:p>
        </w:tc>
      </w:tr>
      <w:tr>
        <w:trPr>
          <w:trHeight w:val="20"/>
        </w:trPr>
        <w:tc>
          <w:tcPr>
            <w:tcW w:w="2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44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6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EBITDA margin</w:t>
            </w:r>
          </w:p>
        </w:tc>
        <w:tc>
          <w:tcPr>
            <w:tcW w:w="1800" w:type="dxa"/>
            <w:vAlign w:val="bottom"/>
            <w:gridSpan w:val="2"/>
          </w:tcPr>
          <w:p>
            <w:pPr>
              <w:jc w:val="right"/>
              <w:ind w:right="390"/>
              <w:spacing w:after="0" w:line="196" w:lineRule="exact"/>
              <w:rPr>
                <w:sz w:val="20"/>
                <w:szCs w:val="20"/>
                <w:color w:val="auto"/>
              </w:rPr>
            </w:pPr>
            <w:r>
              <w:rPr>
                <w:rFonts w:ascii="Arial" w:cs="Arial" w:eastAsia="Arial" w:hAnsi="Arial"/>
                <w:sz w:val="18"/>
                <w:szCs w:val="18"/>
                <w:color w:val="auto"/>
              </w:rPr>
              <w:t>15.7 %</w:t>
            </w:r>
          </w:p>
        </w:tc>
        <w:tc>
          <w:tcPr>
            <w:tcW w:w="1840" w:type="dxa"/>
            <w:vAlign w:val="bottom"/>
            <w:gridSpan w:val="2"/>
          </w:tcPr>
          <w:p>
            <w:pPr>
              <w:jc w:val="right"/>
              <w:ind w:right="390"/>
              <w:spacing w:after="0" w:line="196" w:lineRule="exact"/>
              <w:rPr>
                <w:sz w:val="20"/>
                <w:szCs w:val="20"/>
                <w:color w:val="auto"/>
              </w:rPr>
            </w:pPr>
            <w:r>
              <w:rPr>
                <w:rFonts w:ascii="Arial" w:cs="Arial" w:eastAsia="Arial" w:hAnsi="Arial"/>
                <w:sz w:val="18"/>
                <w:szCs w:val="18"/>
                <w:color w:val="auto"/>
              </w:rPr>
              <w:t>(12.2 %)</w:t>
            </w:r>
          </w:p>
        </w:tc>
        <w:tc>
          <w:tcPr>
            <w:tcW w:w="14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4.3 %</w:t>
            </w:r>
          </w:p>
        </w:tc>
      </w:tr>
      <w:tr>
        <w:trPr>
          <w:trHeight w:val="203"/>
        </w:trPr>
        <w:tc>
          <w:tcPr>
            <w:tcW w:w="61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Add back:</w:t>
            </w:r>
          </w:p>
        </w:tc>
        <w:tc>
          <w:tcPr>
            <w:tcW w:w="1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Exit costs associated with London operations</w:t>
            </w:r>
          </w:p>
        </w:tc>
        <w:tc>
          <w:tcPr>
            <w:tcW w:w="180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0.4 %</w:t>
            </w:r>
          </w:p>
        </w:tc>
      </w:tr>
      <w:tr>
        <w:trPr>
          <w:trHeight w:val="203"/>
        </w:trPr>
        <w:tc>
          <w:tcPr>
            <w:tcW w:w="20" w:type="dxa"/>
            <w:vAlign w:val="bottom"/>
            <w:shd w:val="clear" w:color="auto" w:fill="CFF0FC"/>
          </w:tcPr>
          <w:p>
            <w:pPr>
              <w:spacing w:after="0"/>
              <w:rPr>
                <w:sz w:val="17"/>
                <w:szCs w:val="17"/>
                <w:color w:val="auto"/>
              </w:rPr>
            </w:pPr>
          </w:p>
        </w:tc>
        <w:tc>
          <w:tcPr>
            <w:tcW w:w="61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CEO transition costs</w:t>
            </w:r>
          </w:p>
        </w:tc>
        <w:tc>
          <w:tcPr>
            <w:tcW w:w="1800" w:type="dxa"/>
            <w:vAlign w:val="bottom"/>
            <w:gridSpan w:val="2"/>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0.2 %</w:t>
            </w:r>
          </w:p>
        </w:tc>
      </w:tr>
      <w:tr>
        <w:trPr>
          <w:trHeight w:val="203"/>
        </w:trPr>
        <w:tc>
          <w:tcPr>
            <w:tcW w:w="20" w:type="dxa"/>
            <w:vAlign w:val="bottom"/>
          </w:tcPr>
          <w:p>
            <w:pPr>
              <w:spacing w:after="0"/>
              <w:rPr>
                <w:sz w:val="17"/>
                <w:szCs w:val="17"/>
                <w:color w:val="auto"/>
              </w:rPr>
            </w:pPr>
          </w:p>
        </w:tc>
        <w:tc>
          <w:tcPr>
            <w:tcW w:w="61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Impairment of assets</w:t>
            </w:r>
          </w:p>
        </w:tc>
        <w:tc>
          <w:tcPr>
            <w:tcW w:w="180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(0.5 %)</w:t>
            </w:r>
          </w:p>
        </w:tc>
        <w:tc>
          <w:tcPr>
            <w:tcW w:w="1840" w:type="dxa"/>
            <w:vAlign w:val="bottom"/>
            <w:gridSpan w:val="2"/>
          </w:tcPr>
          <w:p>
            <w:pPr>
              <w:jc w:val="right"/>
              <w:ind w:right="450"/>
              <w:spacing w:after="0" w:line="202" w:lineRule="exact"/>
              <w:rPr>
                <w:sz w:val="20"/>
                <w:szCs w:val="20"/>
                <w:color w:val="auto"/>
              </w:rPr>
            </w:pPr>
            <w:r>
              <w:rPr>
                <w:rFonts w:ascii="Arial" w:cs="Arial" w:eastAsia="Arial" w:hAnsi="Arial"/>
                <w:sz w:val="18"/>
                <w:szCs w:val="18"/>
                <w:color w:val="auto"/>
              </w:rPr>
              <w:t>4.7 %</w:t>
            </w:r>
          </w:p>
        </w:tc>
        <w:tc>
          <w:tcPr>
            <w:tcW w:w="1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0.2 %</w:t>
            </w:r>
          </w:p>
        </w:tc>
      </w:tr>
      <w:tr>
        <w:trPr>
          <w:trHeight w:val="196"/>
        </w:trPr>
        <w:tc>
          <w:tcPr>
            <w:tcW w:w="616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EBITDA margin, on a non-GAAP basis</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w:t>
            </w:r>
          </w:p>
        </w:tc>
        <w:tc>
          <w:tcPr>
            <w:tcW w:w="64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w:t>
            </w:r>
          </w:p>
        </w:tc>
        <w:tc>
          <w:tcPr>
            <w:tcW w:w="70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0"/>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-784860</wp:posOffset>
            </wp:positionV>
            <wp:extent cx="2057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-784860</wp:posOffset>
            </wp:positionV>
            <wp:extent cx="19685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-784860</wp:posOffset>
            </wp:positionV>
            <wp:extent cx="19748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7485" cy="57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CRITICAL ACCOUNTING POLICIES; USE OF ESTIMATES</w:t>
      </w:r>
    </w:p>
    <w:p>
      <w:pPr>
        <w:spacing w:after="0" w:line="104"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Incentive Plans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Stock awards are primarily granted pursuant to our Long-Term Incentive Plans (“LTIPs”). During fiscal 2021, we had three active LTIPs: the 2019-2021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LTIP, the 2020-2022 LTIP and the 2021-2023 LTIP. See Note H to </w:t>
      </w:r>
      <w:r>
        <w:rPr>
          <w:rFonts w:ascii="Arial" w:cs="Arial" w:eastAsia="Arial" w:hAnsi="Arial"/>
          <w:sz w:val="16"/>
          <w:szCs w:val="16"/>
          <w:color w:val="212121"/>
        </w:rPr>
        <w:t>the Notes to the Consolidated Financial Statements for additional discussion of our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12121"/>
        </w:rPr>
        <w:t>LTIPs. Awards under each LTIP consist of 50% time-based awards and 50% performance-based awards. A</w:t>
      </w:r>
      <w:r>
        <w:rPr>
          <w:rFonts w:ascii="Arial" w:cs="Arial" w:eastAsia="Arial" w:hAnsi="Arial"/>
          <w:sz w:val="16"/>
          <w:szCs w:val="16"/>
          <w:color w:val="000000"/>
        </w:rPr>
        <w:t>ll time-based awards are amortized over each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LTIP’s respective vesting periods.</w:t>
      </w:r>
    </w:p>
    <w:p>
      <w:pPr>
        <w:spacing w:after="0" w:line="196"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212121"/>
        </w:rPr>
        <w:t>The performance-based component of each LTIP is a dollar-denominated award. Equity awards will only be granted if such performance targets are achieved. Accordingly, each quarter the Company reviews its expected achievement against such performance targets to assess whether an accrual is necessary. The performance metrics are for three-year performance periods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ind w:right="120"/>
        <w:spacing w:after="0" w:line="243" w:lineRule="auto"/>
        <w:rPr>
          <w:sz w:val="20"/>
          <w:szCs w:val="20"/>
          <w:color w:val="auto"/>
        </w:rPr>
      </w:pPr>
      <w:r>
        <w:rPr>
          <w:rFonts w:ascii="Arial" w:cs="Arial" w:eastAsia="Arial" w:hAnsi="Arial"/>
          <w:sz w:val="18"/>
          <w:szCs w:val="18"/>
          <w:color w:val="212121"/>
        </w:rPr>
        <w:t>may include metrics such as total shareholder return against peers, 3-year stacked comparable sales or Adjusted EBITDA. As such, the accruals are based on projections that may extend beyond a year and are subject to change quarter to quarter based on actual performance. All accruals are recorded as a liability. If performance targets are achieved and equity awards are granted, the related cost of those awards will be reclassified from the accrual to stock-based compensation on grant date.</w:t>
      </w:r>
    </w:p>
    <w:p>
      <w:pPr>
        <w:spacing w:after="0" w:line="18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performance targets under the 2019-2021 LTIP were achieved at the end of fiscal 2021. Based on that achievement, subsequent to the end of fiscal 2021, on March 15, 2022, the Compensation Committee approved a total performance award of $2.6 million, to be awarded in a combination of 50% cash and 50% RSUs. All awards are subject to further vesting through August 31, 2022. Accordingly, at January 29, 2022, the Company has accrued $2.3 million of the $2.6 million award.</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With respect to the performance-based component of the 2020-2022 LTIP and the 2021-2023 LTIP, which each approximate $1.9 million, at target, awards will be granted at the end of the respective performance period if the performance targets are achieved. Through the end of fiscal 2021, we have accrued approximately $1.5 million and $0.8 million for performance under the 2020-2022 LTIP and the 2021-2023 LTIP, respectively.</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9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evaluate property and equipment and operating lease right-of-use assets for impairment when facts and circumstances indicate that the carrying values of such assets may not be recoverable. Our judgment regarding the identification of impairment indicators is based on operational performance at the store level. Factors considered by us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We will recognize an impairment when the undiscounted cash flow estimated to be generated by those assets is less than the assets’ carrying amount. If actual market conditions are less favorable than management’s projections, future write-offs may be necessary.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 Due to uncertainty around the duration and extent of the pandemic’s impact on future cash flows, the Company’s projections in fiscal 2020 were based on multiple probability-weighted scenarios and assumed that consumer retail spending would remain substantially curtailed for a period of time.</w:t>
      </w:r>
    </w:p>
    <w:p>
      <w:pPr>
        <w:spacing w:after="0" w:line="69" w:lineRule="exact"/>
        <w:rPr>
          <w:sz w:val="20"/>
          <w:szCs w:val="20"/>
          <w:color w:val="auto"/>
        </w:rPr>
      </w:pPr>
    </w:p>
    <w:p>
      <w:pPr>
        <w:ind w:right="780"/>
        <w:spacing w:after="0" w:line="307" w:lineRule="auto"/>
        <w:rPr>
          <w:sz w:val="20"/>
          <w:szCs w:val="20"/>
          <w:color w:val="auto"/>
        </w:rPr>
      </w:pPr>
      <w:r>
        <w:rPr>
          <w:rFonts w:ascii="Arial" w:cs="Arial" w:eastAsia="Arial" w:hAnsi="Arial"/>
          <w:sz w:val="16"/>
          <w:szCs w:val="16"/>
          <w:color w:val="auto"/>
        </w:rPr>
        <w:t>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w:t>
      </w:r>
    </w:p>
    <w:p>
      <w:pPr>
        <w:spacing w:after="0" w:line="1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fiscal 2021, we recognized a gain against previously recorded impairment charges of $2.3 million. In fiscal 2020 and fiscal 2019, we recorded net asset impairment charges of $14.8 million and $0.9 million, respectively.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Leases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accordance with ASU 2016-02, “Leases (Topic 842)” our operating leases are reported as right-of-use assets with corresponding lease liabilities on our Consolidated Balance Sheet. As discussed above, we evaluate, at the individual store level, the right-of-use assets for impairment at least annually but also when facts and circumstances indicate that the carrying value may not be recoverable. Furthermore as the interest rate implicit in the Company’s leases is not readily determinable, the Company utilizes its incremental borrowing rate, based on information available at the lease measurement date to determine the present value of future payments. See Note A to the Notes to the Consolidated Financial Statements.</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104"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We have reviewed accounting pronouncements and interpretations thereof that have effective dates during the periods reported and in future periods. See Note A to the Notes to the Consolidated Financial Statements included in this report for information on recent accounting pronouncements and the impact of impending standards on our future filings.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0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u w:val="single" w:color="auto"/>
          <w:color w:val="auto"/>
        </w:rPr>
        <w:t>Interest Rates</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utilize cash from operations and from our Credit Facility to fund our working capital needs. Our Credit Facility is not used for trading or speculative purposes. In addition, under our Credit Facility we have available letters of credit as sources of financing for our working capital requirements. Borrowings under the Credit Facility, which expires October 28, 2026, bear interest at variable rates based on the prime rate or LIBOR.</w:t>
      </w:r>
    </w:p>
    <w:p>
      <w:pPr>
        <w:spacing w:after="0" w:line="56"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At January 29, 2022, we had no outstanding borrowings under the Credit Facility and no long-term debt. Based upon a sensitivity analysis as of January 29, 2022, assuming average outstanding borrowings during fiscal 2021 of $16.4 million under our Credit Facility and an average outstanding balance for the FILO loan of approximately $10.8 million, a 50 basis point increase in interest rates would have increased interest expense by approximately $0.1 million on an annualized basis.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Currency</w:t>
      </w:r>
    </w:p>
    <w:p>
      <w:pPr>
        <w:spacing w:after="0" w:line="104"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Our DXL store located in Toronto, Canada, which closed subsequent to the end of fiscal 2021 on February 28, 2022, conducted business in Canadian dollars. As of January 29, 2022, sales from this store were immaterial to consolidated sales. As such, we believe that movement in foreign currency exchange rates did not have a material adverse effect on our financial position or results of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DESTINATION XL GROUP,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vMerge w:val="restart"/>
          </w:tcPr>
          <w:p>
            <w:pPr>
              <w:spacing w:after="0"/>
              <w:rPr>
                <w:sz w:val="16"/>
                <w:szCs w:val="16"/>
                <w:color w:val="auto"/>
              </w:rPr>
            </w:pPr>
          </w:p>
        </w:tc>
        <w:tc>
          <w:tcPr>
            <w:tcW w:w="10680" w:type="dxa"/>
            <w:vAlign w:val="bottom"/>
            <w:gridSpan w:val="14"/>
            <w:vMerge w:val="restart"/>
          </w:tcPr>
          <w:p>
            <w:pPr>
              <w:spacing w:after="0"/>
              <w:rPr>
                <w:rFonts w:ascii="Arial" w:cs="Arial" w:eastAsia="Arial" w:hAnsi="Arial"/>
                <w:sz w:val="18"/>
                <w:szCs w:val="18"/>
                <w:color w:val="auto"/>
              </w:rPr>
            </w:pPr>
            <w:hyperlink w:anchor="page35">
              <w:r>
                <w:rPr>
                  <w:rFonts w:ascii="Arial" w:cs="Arial" w:eastAsia="Arial" w:hAnsi="Arial"/>
                  <w:sz w:val="18"/>
                  <w:szCs w:val="18"/>
                  <w:color w:val="auto"/>
                </w:rPr>
                <w:t xml:space="preserve">Report of Independent Registered Public Accounting Firm </w:t>
              </w:r>
            </w:hyperlink>
            <w:r>
              <w:rPr>
                <w:rFonts w:ascii="Arial" w:cs="Arial" w:eastAsia="Arial" w:hAnsi="Arial"/>
                <w:sz w:val="18"/>
                <w:szCs w:val="18"/>
                <w:color w:val="auto"/>
              </w:rPr>
              <w:t>(KPMG LLP, Boston, MA, Auditor Firm ID: 185)</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680" w:type="dxa"/>
            <w:vAlign w:val="bottom"/>
            <w:gridSpan w:val="14"/>
            <w:vMerge w:val="continue"/>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646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680" w:type="dxa"/>
            <w:vAlign w:val="bottom"/>
            <w:gridSpan w:val="14"/>
          </w:tcPr>
          <w:p>
            <w:pPr>
              <w:ind w:left="440"/>
              <w:spacing w:after="0"/>
              <w:rPr>
                <w:rFonts w:ascii="Arial" w:cs="Arial" w:eastAsia="Arial" w:hAnsi="Arial"/>
                <w:sz w:val="18"/>
                <w:szCs w:val="18"/>
                <w:color w:val="auto"/>
              </w:rPr>
            </w:pPr>
            <w:hyperlink w:anchor="page37">
              <w:r>
                <w:rPr>
                  <w:rFonts w:ascii="Arial" w:cs="Arial" w:eastAsia="Arial" w:hAnsi="Arial"/>
                  <w:sz w:val="18"/>
                  <w:szCs w:val="18"/>
                  <w:color w:val="auto"/>
                </w:rPr>
                <w:t>Consolidated Balance Sheets at January 29, 2022 and January 30, 2021</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680" w:type="dxa"/>
            <w:vAlign w:val="bottom"/>
            <w:gridSpan w:val="14"/>
          </w:tcPr>
          <w:p>
            <w:pPr>
              <w:ind w:left="440"/>
              <w:spacing w:after="0"/>
              <w:rPr>
                <w:rFonts w:ascii="Arial" w:cs="Arial" w:eastAsia="Arial" w:hAnsi="Arial"/>
                <w:sz w:val="18"/>
                <w:szCs w:val="18"/>
                <w:color w:val="auto"/>
              </w:rPr>
            </w:pPr>
            <w:hyperlink w:anchor="page38">
              <w:r>
                <w:rPr>
                  <w:rFonts w:ascii="Arial" w:cs="Arial" w:eastAsia="Arial" w:hAnsi="Arial"/>
                  <w:sz w:val="18"/>
                  <w:szCs w:val="18"/>
                  <w:color w:val="auto"/>
                </w:rPr>
                <w:t>Consolidated Statements of Operations for the Fiscal Years Ended January 29, 2022, January 30, 2021 and</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1400" w:type="dxa"/>
            <w:vAlign w:val="bottom"/>
            <w:tcBorders>
              <w:top w:val="single" w:sz="8" w:color="0000EE"/>
              <w:bottom w:val="single" w:sz="8" w:color="0000EE"/>
            </w:tcBorders>
          </w:tcPr>
          <w:p>
            <w:pPr>
              <w:ind w:left="80"/>
              <w:spacing w:after="0" w:line="156" w:lineRule="exact"/>
              <w:rPr>
                <w:rFonts w:ascii="Arial" w:cs="Arial" w:eastAsia="Arial" w:hAnsi="Arial"/>
                <w:sz w:val="18"/>
                <w:szCs w:val="18"/>
                <w:color w:val="auto"/>
                <w:w w:val="94"/>
              </w:rPr>
            </w:pPr>
            <w:hyperlink w:anchor="page38">
              <w:r>
                <w:rPr>
                  <w:rFonts w:ascii="Arial" w:cs="Arial" w:eastAsia="Arial" w:hAnsi="Arial"/>
                  <w:sz w:val="18"/>
                  <w:szCs w:val="18"/>
                  <w:color w:val="auto"/>
                  <w:w w:val="94"/>
                </w:rPr>
                <w:t>February 1, 2020</w:t>
              </w:r>
            </w:hyperlink>
          </w:p>
        </w:tc>
        <w:tc>
          <w:tcPr>
            <w:tcW w:w="5820" w:type="dxa"/>
            <w:vAlign w:val="bottom"/>
            <w:tcBorders>
              <w:top w:val="single" w:sz="8" w:color="0000EE"/>
            </w:tcBorders>
            <w:gridSpan w:val="10"/>
          </w:tcPr>
          <w:p>
            <w:pPr>
              <w:spacing w:after="0"/>
              <w:rPr>
                <w:sz w:val="13"/>
                <w:szCs w:val="13"/>
                <w:color w:val="auto"/>
              </w:rPr>
            </w:pPr>
          </w:p>
        </w:tc>
        <w:tc>
          <w:tcPr>
            <w:tcW w:w="25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680" w:type="dxa"/>
            <w:vAlign w:val="bottom"/>
            <w:gridSpan w:val="14"/>
          </w:tcPr>
          <w:p>
            <w:pPr>
              <w:ind w:left="440"/>
              <w:spacing w:after="0"/>
              <w:rPr>
                <w:rFonts w:ascii="Arial" w:cs="Arial" w:eastAsia="Arial" w:hAnsi="Arial"/>
                <w:sz w:val="18"/>
                <w:szCs w:val="18"/>
                <w:color w:val="auto"/>
              </w:rPr>
            </w:pPr>
            <w:hyperlink w:anchor="page39">
              <w:r>
                <w:rPr>
                  <w:rFonts w:ascii="Arial" w:cs="Arial" w:eastAsia="Arial" w:hAnsi="Arial"/>
                  <w:sz w:val="18"/>
                  <w:szCs w:val="18"/>
                  <w:color w:val="auto"/>
                </w:rPr>
                <w:t>Consolidated Statements of Comprehensive Income (Loss) for the Fiscal Years Ended January 29, 2022,</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900" w:type="dxa"/>
            <w:vAlign w:val="bottom"/>
            <w:tcBorders>
              <w:top w:val="single" w:sz="8" w:color="0000EE"/>
              <w:bottom w:val="single" w:sz="8" w:color="0000EE"/>
            </w:tcBorders>
            <w:gridSpan w:val="4"/>
          </w:tcPr>
          <w:p>
            <w:pPr>
              <w:ind w:left="40"/>
              <w:spacing w:after="0" w:line="156" w:lineRule="exact"/>
              <w:rPr>
                <w:rFonts w:ascii="Arial" w:cs="Arial" w:eastAsia="Arial" w:hAnsi="Arial"/>
                <w:sz w:val="18"/>
                <w:szCs w:val="18"/>
                <w:color w:val="auto"/>
                <w:w w:val="89"/>
              </w:rPr>
            </w:pPr>
            <w:hyperlink w:anchor="page39">
              <w:r>
                <w:rPr>
                  <w:rFonts w:ascii="Arial" w:cs="Arial" w:eastAsia="Arial" w:hAnsi="Arial"/>
                  <w:sz w:val="18"/>
                  <w:szCs w:val="18"/>
                  <w:color w:val="auto"/>
                  <w:w w:val="89"/>
                </w:rPr>
                <w:t>January 30, 2021 and February 1, 2020</w:t>
              </w:r>
            </w:hyperlink>
          </w:p>
        </w:tc>
        <w:tc>
          <w:tcPr>
            <w:tcW w:w="4160" w:type="dxa"/>
            <w:vAlign w:val="bottom"/>
            <w:tcBorders>
              <w:top w:val="single" w:sz="8" w:color="0000EE"/>
            </w:tcBorders>
            <w:gridSpan w:val="6"/>
          </w:tcPr>
          <w:p>
            <w:pPr>
              <w:spacing w:after="0"/>
              <w:rPr>
                <w:sz w:val="13"/>
                <w:szCs w:val="13"/>
                <w:color w:val="auto"/>
              </w:rPr>
            </w:pPr>
          </w:p>
        </w:tc>
        <w:tc>
          <w:tcPr>
            <w:tcW w:w="2740" w:type="dxa"/>
            <w:vAlign w:val="bottom"/>
            <w:gridSpan w:val="2"/>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680" w:type="dxa"/>
            <w:vAlign w:val="bottom"/>
            <w:gridSpan w:val="14"/>
          </w:tcPr>
          <w:p>
            <w:pPr>
              <w:ind w:left="440"/>
              <w:spacing w:after="0"/>
              <w:rPr>
                <w:rFonts w:ascii="Arial" w:cs="Arial" w:eastAsia="Arial" w:hAnsi="Arial"/>
                <w:sz w:val="18"/>
                <w:szCs w:val="18"/>
                <w:color w:val="auto"/>
              </w:rPr>
            </w:pPr>
            <w:hyperlink w:anchor="page40">
              <w:r>
                <w:rPr>
                  <w:rFonts w:ascii="Arial" w:cs="Arial" w:eastAsia="Arial" w:hAnsi="Arial"/>
                  <w:sz w:val="18"/>
                  <w:szCs w:val="18"/>
                  <w:color w:val="auto"/>
                </w:rPr>
                <w:t>Consolidated Statements of Changes in Stockholders’ Equity (Deficit) for the Fiscal Years Ended</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4220" w:type="dxa"/>
            <w:vAlign w:val="bottom"/>
            <w:tcBorders>
              <w:top w:val="single" w:sz="8" w:color="0000EE"/>
              <w:bottom w:val="single" w:sz="8" w:color="0000EE"/>
            </w:tcBorders>
            <w:gridSpan w:val="6"/>
          </w:tcPr>
          <w:p>
            <w:pPr>
              <w:ind w:left="40"/>
              <w:spacing w:after="0" w:line="156" w:lineRule="exact"/>
              <w:rPr>
                <w:rFonts w:ascii="Arial" w:cs="Arial" w:eastAsia="Arial" w:hAnsi="Arial"/>
                <w:sz w:val="18"/>
                <w:szCs w:val="18"/>
                <w:color w:val="auto"/>
                <w:w w:val="89"/>
              </w:rPr>
            </w:pPr>
            <w:hyperlink w:anchor="page40">
              <w:r>
                <w:rPr>
                  <w:rFonts w:ascii="Arial" w:cs="Arial" w:eastAsia="Arial" w:hAnsi="Arial"/>
                  <w:sz w:val="18"/>
                  <w:szCs w:val="18"/>
                  <w:color w:val="auto"/>
                  <w:w w:val="89"/>
                </w:rPr>
                <w:t>January 29, 2022, January 30, 2021 and February 1, 2020</w:t>
              </w:r>
            </w:hyperlink>
          </w:p>
        </w:tc>
        <w:tc>
          <w:tcPr>
            <w:tcW w:w="2340" w:type="dxa"/>
            <w:vAlign w:val="bottom"/>
            <w:tcBorders>
              <w:top w:val="single" w:sz="8" w:color="0000EE"/>
            </w:tcBorders>
            <w:gridSpan w:val="2"/>
          </w:tcPr>
          <w:p>
            <w:pPr>
              <w:spacing w:after="0"/>
              <w:rPr>
                <w:sz w:val="13"/>
                <w:szCs w:val="13"/>
                <w:color w:val="auto"/>
              </w:rPr>
            </w:pPr>
          </w:p>
        </w:tc>
        <w:tc>
          <w:tcPr>
            <w:tcW w:w="460" w:type="dxa"/>
            <w:vAlign w:val="bottom"/>
          </w:tcPr>
          <w:p>
            <w:pPr>
              <w:spacing w:after="0"/>
              <w:rPr>
                <w:sz w:val="13"/>
                <w:szCs w:val="13"/>
                <w:color w:val="auto"/>
              </w:rPr>
            </w:pPr>
          </w:p>
        </w:tc>
        <w:tc>
          <w:tcPr>
            <w:tcW w:w="2780" w:type="dxa"/>
            <w:vAlign w:val="bottom"/>
            <w:gridSpan w:val="3"/>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680" w:type="dxa"/>
            <w:vAlign w:val="bottom"/>
            <w:gridSpan w:val="14"/>
          </w:tcPr>
          <w:p>
            <w:pPr>
              <w:ind w:left="440"/>
              <w:spacing w:after="0"/>
              <w:rPr>
                <w:rFonts w:ascii="Arial" w:cs="Arial" w:eastAsia="Arial" w:hAnsi="Arial"/>
                <w:sz w:val="18"/>
                <w:szCs w:val="18"/>
                <w:color w:val="auto"/>
              </w:rPr>
            </w:pPr>
            <w:hyperlink w:anchor="page41">
              <w:r>
                <w:rPr>
                  <w:rFonts w:ascii="Arial" w:cs="Arial" w:eastAsia="Arial" w:hAnsi="Arial"/>
                  <w:sz w:val="18"/>
                  <w:szCs w:val="18"/>
                  <w:color w:val="auto"/>
                </w:rPr>
                <w:t>Consolidated Statements of Cash Flows for the Fiscal Years Ended January 29, 2022, January 30, 2021</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162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auto"/>
                <w:w w:val="92"/>
              </w:rPr>
            </w:pPr>
            <w:hyperlink w:anchor="page41">
              <w:r>
                <w:rPr>
                  <w:rFonts w:ascii="Arial" w:cs="Arial" w:eastAsia="Arial" w:hAnsi="Arial"/>
                  <w:sz w:val="18"/>
                  <w:szCs w:val="18"/>
                  <w:color w:val="auto"/>
                  <w:w w:val="92"/>
                </w:rPr>
                <w:t>and February 1, 2020</w:t>
              </w:r>
            </w:hyperlink>
          </w:p>
        </w:tc>
        <w:tc>
          <w:tcPr>
            <w:tcW w:w="5400" w:type="dxa"/>
            <w:vAlign w:val="bottom"/>
            <w:tcBorders>
              <w:top w:val="single" w:sz="8" w:color="0000EE"/>
            </w:tcBorders>
            <w:gridSpan w:val="7"/>
          </w:tcPr>
          <w:p>
            <w:pPr>
              <w:spacing w:after="0"/>
              <w:rPr>
                <w:sz w:val="13"/>
                <w:szCs w:val="13"/>
                <w:color w:val="auto"/>
              </w:rPr>
            </w:pPr>
          </w:p>
        </w:tc>
        <w:tc>
          <w:tcPr>
            <w:tcW w:w="2780" w:type="dxa"/>
            <w:vAlign w:val="bottom"/>
            <w:gridSpan w:val="3"/>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680" w:type="dxa"/>
            <w:vAlign w:val="bottom"/>
            <w:gridSpan w:val="14"/>
          </w:tcPr>
          <w:p>
            <w:pPr>
              <w:spacing w:after="0"/>
              <w:rPr>
                <w:rFonts w:ascii="Arial" w:cs="Arial" w:eastAsia="Arial" w:hAnsi="Arial"/>
                <w:sz w:val="18"/>
                <w:szCs w:val="18"/>
                <w:color w:val="auto"/>
              </w:rPr>
            </w:pPr>
            <w:hyperlink w:anchor="page42">
              <w:r>
                <w:rPr>
                  <w:rFonts w:ascii="Arial" w:cs="Arial" w:eastAsia="Arial" w:hAnsi="Arial"/>
                  <w:sz w:val="18"/>
                  <w:szCs w:val="18"/>
                  <w:color w:val="auto"/>
                </w:rPr>
                <w:t>Notes to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4300" w:type="dxa"/>
            <w:vAlign w:val="bottom"/>
            <w:gridSpan w:val="5"/>
          </w:tcPr>
          <w:p>
            <w:pPr>
              <w:jc w:val="right"/>
              <w:ind w:right="1740"/>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audited the accompanying consolidated balance sheets of Destination XL Group, Inc. and subsidiaries (the Company) as of January 29, 2022 and January 30, 2021, the related consolidated statements of operations, comprehensive income (loss), changes in stockholders’ equity (deficit), and cash flows for each of the years in the three-year period ended January 29, 2022, and the related notes (collectively, the consolidated financial statements). In our opinion, the consolidated financial statements present fairly, in all material respects, the financial position of the Company as of January 29, 2022 and January 30, 2021, and the results of its operations and its cash flows for each of the years in the three-year period ended January 29, 2022, in conformity with U.S. generally accepted accounting principles.</w:t>
      </w:r>
    </w:p>
    <w:p>
      <w:pPr>
        <w:spacing w:after="0" w:line="6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January 29,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17, 2022 expressed an unqualified opinion on the effectiveness of the Company’s internal control over financial reporting.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Impairment of long-lived store assets</w:t>
      </w:r>
    </w:p>
    <w:p>
      <w:pPr>
        <w:spacing w:after="0" w:line="104" w:lineRule="exact"/>
        <w:rPr>
          <w:sz w:val="20"/>
          <w:szCs w:val="20"/>
          <w:color w:val="auto"/>
        </w:rPr>
      </w:pPr>
    </w:p>
    <w:p>
      <w:pPr>
        <w:ind w:left="520" w:right="100"/>
        <w:spacing w:after="0" w:line="274" w:lineRule="auto"/>
        <w:rPr>
          <w:sz w:val="20"/>
          <w:szCs w:val="20"/>
          <w:color w:val="auto"/>
        </w:rPr>
      </w:pPr>
      <w:r>
        <w:rPr>
          <w:rFonts w:ascii="Arial" w:cs="Arial" w:eastAsia="Arial" w:hAnsi="Arial"/>
          <w:sz w:val="16"/>
          <w:szCs w:val="16"/>
          <w:color w:val="auto"/>
        </w:rPr>
        <w:t>As discussed in Note A to the consolidated financial statements, the Company reviews its long-lived assets, which include property and equipment and operating lease right-of-use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At January 29, 2022, the Company had property and equipment and operating lease right-of-use assets of $44.4 million and $127.8 million, respectively.</w:t>
      </w:r>
    </w:p>
    <w:p>
      <w:pPr>
        <w:spacing w:after="0" w:line="55" w:lineRule="exact"/>
        <w:rPr>
          <w:sz w:val="20"/>
          <w:szCs w:val="20"/>
          <w:color w:val="auto"/>
        </w:rPr>
      </w:pPr>
    </w:p>
    <w:p>
      <w:pPr>
        <w:ind w:left="520" w:right="180"/>
        <w:spacing w:after="0" w:line="243" w:lineRule="auto"/>
        <w:rPr>
          <w:sz w:val="20"/>
          <w:szCs w:val="20"/>
          <w:color w:val="auto"/>
        </w:rPr>
      </w:pPr>
      <w:r>
        <w:rPr>
          <w:rFonts w:ascii="Arial" w:cs="Arial" w:eastAsia="Arial" w:hAnsi="Arial"/>
          <w:sz w:val="18"/>
          <w:szCs w:val="18"/>
          <w:color w:val="auto"/>
        </w:rPr>
        <w:t>We identified the assessment of impairment triggering events related to long-lived store assets, specifically property and equipment and operating lease right-of-use assets, as a critical audit matter. A high degree of auditor judgment was required to evaluate the Company’s assessment of (1) stores with current period operating or cash flow losses, and (2) underperforming stores based on current period operating or cash flow results relative to their respective historical and expected results.</w:t>
      </w:r>
    </w:p>
    <w:p>
      <w:pPr>
        <w:spacing w:after="0" w:line="80" w:lineRule="exact"/>
        <w:rPr>
          <w:sz w:val="20"/>
          <w:szCs w:val="20"/>
          <w:color w:val="auto"/>
        </w:rPr>
      </w:pPr>
    </w:p>
    <w:p>
      <w:pPr>
        <w:ind w:left="520"/>
        <w:spacing w:after="0" w:line="248"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process of identifying and evaluating potential impairment triggering events. This included a control related to the Company’s assessment of (1) stores with current period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3" w:right="399" w:bottom="1440" w:gutter="0" w:footer="0" w:header="0"/>
        </w:sectPr>
      </w:pPr>
    </w:p>
    <w:bookmarkStart w:id="35" w:name="page36"/>
    <w:bookmarkEnd w:id="35"/>
    <w:p>
      <w:pPr>
        <w:ind w:left="520"/>
        <w:spacing w:after="0" w:line="279" w:lineRule="auto"/>
        <w:rPr>
          <w:sz w:val="20"/>
          <w:szCs w:val="20"/>
          <w:color w:val="auto"/>
        </w:rPr>
      </w:pPr>
      <w:r>
        <w:rPr>
          <w:rFonts w:ascii="Arial" w:cs="Arial" w:eastAsia="Arial" w:hAnsi="Arial"/>
          <w:sz w:val="16"/>
          <w:szCs w:val="16"/>
          <w:color w:val="auto"/>
        </w:rPr>
        <w:t>operating or cash flow losses, and (2) underperforming stores relative to historical or expected operating results. For certain stores, we evaluated the Company’s analysis of potential impairment triggering events by comparing actual operating and cash flow results to historical results, expected results, and the remaining net book value of store assets. We performed sensitivity analyses to assess the impact that reasonably possible changes to future cash flows have on the Company’s evaluation of potential impairment triggering events. We also reviewed board of directors meeting minutes and available industry and analyst information to assess the Company’s identification and evaluation of potential triggering events.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DESTINATION XL GROUP,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80"/>
        <w:spacing w:after="0" w:line="234" w:lineRule="auto"/>
        <w:rPr>
          <w:sz w:val="20"/>
          <w:szCs w:val="20"/>
          <w:color w:val="auto"/>
        </w:rPr>
      </w:pPr>
      <w:r>
        <w:rPr>
          <w:rFonts w:ascii="Arial" w:cs="Arial" w:eastAsia="Arial" w:hAnsi="Arial"/>
          <w:sz w:val="18"/>
          <w:szCs w:val="18"/>
          <w:b w:val="1"/>
          <w:bCs w:val="1"/>
          <w:color w:val="auto"/>
        </w:rPr>
        <w:t>January 29, 2022 and January 30, 2021</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color w:val="auto"/>
                <w:w w:val="97"/>
              </w:rPr>
              <w:t>January 29, 2022</w:t>
            </w:r>
          </w:p>
        </w:tc>
        <w:tc>
          <w:tcPr>
            <w:tcW w:w="200" w:type="dxa"/>
            <w:vAlign w:val="bottom"/>
          </w:tcPr>
          <w:p>
            <w:pPr>
              <w:spacing w:after="0"/>
              <w:rPr>
                <w:sz w:val="15"/>
                <w:szCs w:val="15"/>
                <w:color w:val="auto"/>
              </w:rPr>
            </w:pPr>
          </w:p>
        </w:tc>
        <w:tc>
          <w:tcPr>
            <w:tcW w:w="1480" w:type="dxa"/>
            <w:vAlign w:val="bottom"/>
            <w:gridSpan w:val="2"/>
          </w:tcPr>
          <w:p>
            <w:pPr>
              <w:jc w:val="right"/>
              <w:ind w:right="321"/>
              <w:spacing w:after="0"/>
              <w:rPr>
                <w:sz w:val="20"/>
                <w:szCs w:val="20"/>
                <w:color w:val="auto"/>
              </w:rPr>
            </w:pPr>
            <w:r>
              <w:rPr>
                <w:rFonts w:ascii="Arial" w:cs="Arial" w:eastAsia="Arial" w:hAnsi="Arial"/>
                <w:sz w:val="14"/>
                <w:szCs w:val="14"/>
                <w:color w:val="auto"/>
                <w:w w:val="97"/>
              </w:rPr>
              <w:t>January 30, 2021</w:t>
            </w:r>
          </w:p>
        </w:tc>
        <w:tc>
          <w:tcPr>
            <w:tcW w:w="0" w:type="dxa"/>
            <w:vAlign w:val="bottom"/>
          </w:tcPr>
          <w:p>
            <w:pPr>
              <w:spacing w:after="0"/>
              <w:rPr>
                <w:sz w:val="1"/>
                <w:szCs w:val="1"/>
                <w:color w:val="auto"/>
              </w:rPr>
            </w:pPr>
          </w:p>
        </w:tc>
      </w:tr>
      <w:tr>
        <w:trPr>
          <w:trHeight w:val="181"/>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color w:val="auto"/>
              </w:rPr>
              <w:t>(Fiscal 2021)</w:t>
            </w:r>
          </w:p>
        </w:tc>
        <w:tc>
          <w:tcPr>
            <w:tcW w:w="200" w:type="dxa"/>
            <w:vAlign w:val="bottom"/>
          </w:tcPr>
          <w:p>
            <w:pPr>
              <w:spacing w:after="0"/>
              <w:rPr>
                <w:sz w:val="15"/>
                <w:szCs w:val="15"/>
                <w:color w:val="auto"/>
              </w:rPr>
            </w:pPr>
          </w:p>
        </w:tc>
        <w:tc>
          <w:tcPr>
            <w:tcW w:w="1480" w:type="dxa"/>
            <w:vAlign w:val="bottom"/>
            <w:gridSpan w:val="2"/>
          </w:tcPr>
          <w:p>
            <w:pPr>
              <w:jc w:val="right"/>
              <w:ind w:right="421"/>
              <w:spacing w:after="0"/>
              <w:rPr>
                <w:sz w:val="20"/>
                <w:szCs w:val="20"/>
                <w:color w:val="auto"/>
              </w:rPr>
            </w:pPr>
            <w:r>
              <w:rPr>
                <w:rFonts w:ascii="Arial" w:cs="Arial" w:eastAsia="Arial" w:hAnsi="Arial"/>
                <w:sz w:val="14"/>
                <w:szCs w:val="14"/>
                <w:color w:val="auto"/>
              </w:rPr>
              <w:t>(Fiscal 2020)</w:t>
            </w: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15,506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2,110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6,416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81,764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85,028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6,615</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105,995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114,130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i w:val="1"/>
                <w:iCs w:val="1"/>
                <w:color w:val="auto"/>
              </w:rPr>
              <w:t>Noncurrent assets: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 net of accumulated depreciation and amortization</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44,442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56,552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127,812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134,321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559</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line="182"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279,958</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306,755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LIABILITIES AND STOCKHOLDERS' EQUITY (DEFICIT)</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i w:val="1"/>
                <w:iCs w:val="1"/>
                <w:color w:val="auto"/>
              </w:rPr>
              <w:t>Current liabilities: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25,165</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27,091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35,102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leases, current</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35,191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43,598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Borrowings under credit facility</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59,521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95,458</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155,035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Long-term liabilities: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leases, noncurrent</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120,414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135,819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5,867</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line="196" w:lineRule="exact"/>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126,281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155,797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Stockholders' equity (deficit):</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Preferred stock, $0.01 par value, 1,000,000 shares authorized, none issued</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700" w:type="dxa"/>
            <w:vAlign w:val="bottom"/>
          </w:tcPr>
          <w:p>
            <w:pPr>
              <w:ind w:left="200"/>
              <w:spacing w:after="0" w:line="162" w:lineRule="exact"/>
              <w:rPr>
                <w:sz w:val="20"/>
                <w:szCs w:val="20"/>
                <w:color w:val="auto"/>
              </w:rPr>
            </w:pPr>
            <w:r>
              <w:rPr>
                <w:rFonts w:ascii="Arial" w:cs="Arial" w:eastAsia="Arial" w:hAnsi="Arial"/>
                <w:sz w:val="18"/>
                <w:szCs w:val="18"/>
                <w:color w:val="auto"/>
                <w:w w:val="93"/>
              </w:rPr>
              <w:t>Common stock, $0.01 par value, 125,000,000 shares and 100,000,000 shares authorized at January</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line="176" w:lineRule="exact"/>
              <w:rPr>
                <w:sz w:val="20"/>
                <w:szCs w:val="20"/>
                <w:color w:val="auto"/>
              </w:rPr>
            </w:pPr>
            <w:r>
              <w:rPr>
                <w:rFonts w:ascii="Arial" w:cs="Arial" w:eastAsia="Arial" w:hAnsi="Arial"/>
                <w:sz w:val="18"/>
                <w:szCs w:val="18"/>
                <w:color w:val="auto"/>
                <w:w w:val="91"/>
              </w:rPr>
              <w:t>29, 2022 and January 30, 2021 respectively, 77,025,419 and 64,656,384 shares issued at January 29,</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770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2022 and January 30, 2021, respectively</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319,511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314,747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w w:val="95"/>
              </w:rPr>
              <w:t>Treasury stock at cost, 12,755,873 shares at January 29, 2022 and January 30, 2021, respectively</w:t>
            </w:r>
          </w:p>
        </w:tc>
        <w:tc>
          <w:tcPr>
            <w:tcW w:w="200" w:type="dxa"/>
            <w:vAlign w:val="bottom"/>
          </w:tcPr>
          <w:p>
            <w:pPr>
              <w:spacing w:after="0"/>
              <w:rPr>
                <w:sz w:val="17"/>
                <w:szCs w:val="17"/>
                <w:color w:val="auto"/>
              </w:rPr>
            </w:pPr>
          </w:p>
        </w:tc>
        <w:tc>
          <w:tcPr>
            <w:tcW w:w="1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(92,658 )</w:t>
            </w:r>
          </w:p>
        </w:tc>
        <w:tc>
          <w:tcPr>
            <w:tcW w:w="200" w:type="dxa"/>
            <w:vAlign w:val="bottom"/>
          </w:tcPr>
          <w:p>
            <w:pPr>
              <w:spacing w:after="0"/>
              <w:rPr>
                <w:sz w:val="17"/>
                <w:szCs w:val="17"/>
                <w:color w:val="auto"/>
              </w:rPr>
            </w:pP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(92,658 )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(163,879 )</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(220,592 )</w:t>
            </w: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7"/>
                <w:szCs w:val="17"/>
                <w:color w:val="auto"/>
              </w:rPr>
            </w:pPr>
          </w:p>
        </w:tc>
        <w:tc>
          <w:tcPr>
            <w:tcW w:w="1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(5,525 )</w:t>
            </w:r>
          </w:p>
        </w:tc>
        <w:tc>
          <w:tcPr>
            <w:tcW w:w="200" w:type="dxa"/>
            <w:vAlign w:val="bottom"/>
          </w:tcPr>
          <w:p>
            <w:pPr>
              <w:spacing w:after="0"/>
              <w:rPr>
                <w:sz w:val="17"/>
                <w:szCs w:val="17"/>
                <w:color w:val="auto"/>
              </w:rPr>
            </w:pP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(6,221 )</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 (deficit)</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58,219</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7700" w:type="dxa"/>
            <w:vAlign w:val="bottom"/>
          </w:tcPr>
          <w:p>
            <w:pPr>
              <w:ind w:left="560"/>
              <w:spacing w:after="0" w:line="182" w:lineRule="exact"/>
              <w:rPr>
                <w:sz w:val="20"/>
                <w:szCs w:val="20"/>
                <w:color w:val="auto"/>
              </w:rPr>
            </w:pPr>
            <w:r>
              <w:rPr>
                <w:rFonts w:ascii="Arial" w:cs="Arial" w:eastAsia="Arial" w:hAnsi="Arial"/>
                <w:sz w:val="18"/>
                <w:szCs w:val="18"/>
                <w:color w:val="auto"/>
              </w:rPr>
              <w:t>Total liabilities and stockholders' equity (deficit)</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279,958</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306,755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-3802380</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-3802380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-2739390</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-2739390</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-1950720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-1950720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DESTINATION XL GROUP,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For the fiscal years ended January 29, 2022, January 30, 2021 and February 1, 2020</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color w:val="auto"/>
                <w:w w:val="94"/>
              </w:rPr>
              <w:t>January 29, 2022</w:t>
            </w:r>
          </w:p>
        </w:tc>
        <w:tc>
          <w:tcPr>
            <w:tcW w:w="160" w:type="dxa"/>
            <w:vAlign w:val="bottom"/>
          </w:tcPr>
          <w:p>
            <w:pPr>
              <w:spacing w:after="0"/>
              <w:rPr>
                <w:sz w:val="15"/>
                <w:szCs w:val="15"/>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color w:val="auto"/>
                <w:w w:val="92"/>
              </w:rPr>
              <w:t>January 30, 2021</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February 1, 2020</w:t>
            </w:r>
          </w:p>
        </w:tc>
      </w:tr>
      <w:tr>
        <w:trPr>
          <w:trHeight w:val="181"/>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color w:val="auto"/>
              </w:rPr>
              <w:t>(Fiscal 2021)</w:t>
            </w:r>
          </w:p>
        </w:tc>
        <w:tc>
          <w:tcPr>
            <w:tcW w:w="160" w:type="dxa"/>
            <w:vAlign w:val="bottom"/>
          </w:tcPr>
          <w:p>
            <w:pPr>
              <w:spacing w:after="0"/>
              <w:rPr>
                <w:sz w:val="15"/>
                <w:szCs w:val="15"/>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color w:val="auto"/>
              </w:rPr>
              <w:t>(Fiscal 2020)</w:t>
            </w:r>
          </w:p>
        </w:tc>
        <w:tc>
          <w:tcPr>
            <w:tcW w:w="14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(Fiscal 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Sales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505,021</w:t>
            </w:r>
          </w:p>
        </w:tc>
        <w:tc>
          <w:tcPr>
            <w:tcW w:w="3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318,946</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474,038</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Cost of goods sold including occupancy costs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255,197</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214,081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269,837</w:t>
            </w:r>
          </w:p>
        </w:tc>
        <w:tc>
          <w:tcPr>
            <w:tcW w:w="80" w:type="dxa"/>
            <w:vAlign w:val="bottom"/>
          </w:tcPr>
          <w:p>
            <w:pPr>
              <w:spacing w:after="0"/>
              <w:rPr>
                <w:sz w:val="17"/>
                <w:szCs w:val="17"/>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249,824</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104,865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204,201</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Expenses:</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172,962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129,062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180,663</w:t>
            </w: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Exit costs associated with London operations</w:t>
            </w: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1,737</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CEO transition costs</w:t>
            </w:r>
          </w:p>
        </w:tc>
        <w:tc>
          <w:tcPr>
            <w:tcW w:w="140" w:type="dxa"/>
            <w:vAlign w:val="bottom"/>
          </w:tcPr>
          <w:p>
            <w:pPr>
              <w:spacing w:after="0"/>
              <w:rPr>
                <w:sz w:val="17"/>
                <w:szCs w:val="17"/>
                <w:color w:val="auto"/>
              </w:rPr>
            </w:pPr>
          </w:p>
        </w:tc>
        <w:tc>
          <w:tcPr>
            <w:tcW w:w="15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Impairment of assets</w:t>
            </w: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(2,344 )</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14,841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w:t>
            </w: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17,226</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21,477</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24,563</w:t>
            </w:r>
          </w:p>
        </w:tc>
        <w:tc>
          <w:tcPr>
            <w:tcW w:w="80" w:type="dxa"/>
            <w:vAlign w:val="bottom"/>
          </w:tcPr>
          <w:p>
            <w:pPr>
              <w:spacing w:after="0"/>
              <w:rPr>
                <w:sz w:val="17"/>
                <w:szCs w:val="17"/>
                <w:color w:val="auto"/>
              </w:rPr>
            </w:pPr>
          </w:p>
        </w:tc>
      </w:tr>
      <w:tr>
        <w:trPr>
          <w:trHeight w:val="19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187,844</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165,380</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208,595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61,980</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(60,515 )</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(4,394 )</w:t>
            </w: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(4,350 )</w:t>
            </w: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(3,917 )</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(3,297 )</w:t>
            </w:r>
          </w:p>
        </w:tc>
      </w:tr>
      <w:tr>
        <w:trPr>
          <w:trHeight w:val="196"/>
        </w:trPr>
        <w:tc>
          <w:tcPr>
            <w:tcW w:w="6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(loss) before provision for income taxes</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57,630</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(64,432 )</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(7,691 )</w:t>
            </w: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243"/>
        </w:trPr>
        <w:tc>
          <w:tcPr>
            <w:tcW w:w="66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56,713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(64,538 )</w:t>
            </w: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(7,796 )</w:t>
            </w:r>
          </w:p>
        </w:tc>
      </w:tr>
      <w:tr>
        <w:trPr>
          <w:trHeight w:val="183"/>
        </w:trPr>
        <w:tc>
          <w:tcPr>
            <w:tcW w:w="66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per share - basic</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0.89</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(1.26 )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(0.16 )</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0.83</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(1.26 )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(0.16 )</w:t>
            </w:r>
          </w:p>
        </w:tc>
      </w:tr>
      <w:tr>
        <w:trPr>
          <w:trHeight w:val="175"/>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63,401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51,317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49,992</w:t>
            </w:r>
          </w:p>
        </w:tc>
        <w:tc>
          <w:tcPr>
            <w:tcW w:w="8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68,031</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51,317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49,992</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-2233930</wp:posOffset>
            </wp:positionV>
            <wp:extent cx="5969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-2233930</wp:posOffset>
            </wp:positionV>
            <wp:extent cx="514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-2233930</wp:posOffset>
            </wp:positionV>
            <wp:extent cx="514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-1710690</wp:posOffset>
            </wp:positionV>
            <wp:extent cx="5969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-1710690</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-1710690</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-1188085</wp:posOffset>
            </wp:positionV>
            <wp:extent cx="5969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-1188085</wp:posOffset>
            </wp:positionV>
            <wp:extent cx="514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-1188085</wp:posOffset>
            </wp:positionV>
            <wp:extent cx="514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-925195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-908050</wp:posOffset>
            </wp:positionV>
            <wp:extent cx="59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-925195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-908050</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-925195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-908050</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color w:val="auto"/>
        </w:rPr>
        <w:t>DESTINATION XL GROUP, INC.</w:t>
      </w:r>
    </w:p>
    <w:p>
      <w:pPr>
        <w:spacing w:after="0" w:line="16" w:lineRule="exact"/>
        <w:rPr>
          <w:sz w:val="20"/>
          <w:szCs w:val="20"/>
          <w:color w:val="auto"/>
        </w:rPr>
      </w:pPr>
    </w:p>
    <w:p>
      <w:pPr>
        <w:jc w:val="center"/>
        <w:ind w:left="340" w:right="2400"/>
        <w:spacing w:after="0" w:line="239" w:lineRule="auto"/>
        <w:rPr>
          <w:sz w:val="20"/>
          <w:szCs w:val="20"/>
          <w:color w:val="auto"/>
        </w:rPr>
      </w:pPr>
      <w:r>
        <w:rPr>
          <w:rFonts w:ascii="Arial" w:cs="Arial" w:eastAsia="Arial" w:hAnsi="Arial"/>
          <w:sz w:val="18"/>
          <w:szCs w:val="18"/>
          <w:b w:val="1"/>
          <w:bCs w:val="1"/>
          <w:color w:val="auto"/>
        </w:rPr>
        <w:t>CONSOLIDATED STATEMENTS OF COMPREHENSIVE INCOME (LOSS) For the fiscal years ended January 29, 2022, January 30, 2021 and February 1,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color w:val="auto"/>
                <w:w w:val="94"/>
              </w:rPr>
              <w:t>January 29, 2022</w:t>
            </w:r>
          </w:p>
        </w:tc>
        <w:tc>
          <w:tcPr>
            <w:tcW w:w="140" w:type="dxa"/>
            <w:vAlign w:val="bottom"/>
          </w:tcPr>
          <w:p>
            <w:pPr>
              <w:spacing w:after="0"/>
              <w:rPr>
                <w:sz w:val="15"/>
                <w:szCs w:val="15"/>
                <w:color w:val="auto"/>
              </w:rPr>
            </w:pPr>
          </w:p>
        </w:tc>
        <w:tc>
          <w:tcPr>
            <w:tcW w:w="1460" w:type="dxa"/>
            <w:vAlign w:val="bottom"/>
            <w:gridSpan w:val="2"/>
          </w:tcPr>
          <w:p>
            <w:pPr>
              <w:jc w:val="right"/>
              <w:ind w:right="350"/>
              <w:spacing w:after="0"/>
              <w:rPr>
                <w:sz w:val="20"/>
                <w:szCs w:val="20"/>
                <w:color w:val="auto"/>
              </w:rPr>
            </w:pPr>
            <w:r>
              <w:rPr>
                <w:rFonts w:ascii="Arial" w:cs="Arial" w:eastAsia="Arial" w:hAnsi="Arial"/>
                <w:sz w:val="14"/>
                <w:szCs w:val="14"/>
                <w:color w:val="auto"/>
                <w:w w:val="92"/>
              </w:rPr>
              <w:t>January 30, 2021</w:t>
            </w:r>
          </w:p>
        </w:tc>
        <w:tc>
          <w:tcPr>
            <w:tcW w:w="140" w:type="dxa"/>
            <w:vAlign w:val="bottom"/>
          </w:tcPr>
          <w:p>
            <w:pPr>
              <w:spacing w:after="0"/>
              <w:rPr>
                <w:sz w:val="15"/>
                <w:szCs w:val="15"/>
                <w:color w:val="auto"/>
              </w:rPr>
            </w:pPr>
          </w:p>
        </w:tc>
        <w:tc>
          <w:tcPr>
            <w:tcW w:w="1300" w:type="dxa"/>
            <w:vAlign w:val="bottom"/>
            <w:gridSpan w:val="2"/>
          </w:tcPr>
          <w:p>
            <w:pPr>
              <w:jc w:val="right"/>
              <w:ind w:right="201"/>
              <w:spacing w:after="0"/>
              <w:rPr>
                <w:sz w:val="20"/>
                <w:szCs w:val="20"/>
                <w:color w:val="auto"/>
              </w:rPr>
            </w:pPr>
            <w:r>
              <w:rPr>
                <w:rFonts w:ascii="Arial" w:cs="Arial" w:eastAsia="Arial" w:hAnsi="Arial"/>
                <w:sz w:val="14"/>
                <w:szCs w:val="14"/>
                <w:color w:val="auto"/>
                <w:w w:val="93"/>
              </w:rPr>
              <w:t>February 1, 2020</w:t>
            </w:r>
          </w:p>
        </w:tc>
      </w:tr>
      <w:tr>
        <w:trPr>
          <w:trHeight w:val="181"/>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2021)</w:t>
            </w:r>
          </w:p>
        </w:tc>
        <w:tc>
          <w:tcPr>
            <w:tcW w:w="140" w:type="dxa"/>
            <w:vAlign w:val="bottom"/>
          </w:tcPr>
          <w:p>
            <w:pPr>
              <w:spacing w:after="0"/>
              <w:rPr>
                <w:sz w:val="15"/>
                <w:szCs w:val="15"/>
                <w:color w:val="auto"/>
              </w:rPr>
            </w:pPr>
          </w:p>
        </w:tc>
        <w:tc>
          <w:tcPr>
            <w:tcW w:w="1460" w:type="dxa"/>
            <w:vAlign w:val="bottom"/>
            <w:gridSpan w:val="2"/>
          </w:tcPr>
          <w:p>
            <w:pPr>
              <w:jc w:val="right"/>
              <w:ind w:right="450"/>
              <w:spacing w:after="0"/>
              <w:rPr>
                <w:sz w:val="20"/>
                <w:szCs w:val="20"/>
                <w:color w:val="auto"/>
              </w:rPr>
            </w:pPr>
            <w:r>
              <w:rPr>
                <w:rFonts w:ascii="Arial" w:cs="Arial" w:eastAsia="Arial" w:hAnsi="Arial"/>
                <w:sz w:val="14"/>
                <w:szCs w:val="14"/>
                <w:color w:val="auto"/>
              </w:rPr>
              <w:t>(Fiscal 2020)</w:t>
            </w:r>
          </w:p>
        </w:tc>
        <w:tc>
          <w:tcPr>
            <w:tcW w:w="140" w:type="dxa"/>
            <w:vAlign w:val="bottom"/>
          </w:tcPr>
          <w:p>
            <w:pPr>
              <w:spacing w:after="0"/>
              <w:rPr>
                <w:sz w:val="15"/>
                <w:szCs w:val="15"/>
                <w:color w:val="auto"/>
              </w:rPr>
            </w:pPr>
          </w:p>
        </w:tc>
        <w:tc>
          <w:tcPr>
            <w:tcW w:w="1300" w:type="dxa"/>
            <w:vAlign w:val="bottom"/>
            <w:gridSpan w:val="2"/>
          </w:tcPr>
          <w:p>
            <w:pPr>
              <w:jc w:val="right"/>
              <w:ind w:right="321"/>
              <w:spacing w:after="0"/>
              <w:rPr>
                <w:sz w:val="20"/>
                <w:szCs w:val="20"/>
                <w:color w:val="auto"/>
              </w:rPr>
            </w:pPr>
            <w:r>
              <w:rPr>
                <w:rFonts w:ascii="Arial" w:cs="Arial" w:eastAsia="Arial" w:hAnsi="Arial"/>
                <w:sz w:val="14"/>
                <w:szCs w:val="14"/>
                <w:color w:val="auto"/>
              </w:rPr>
              <w:t>(Fiscal 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56,713</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(64,538</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(7,796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comprehensive income (loss) before taxes:</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Recognition of accumulated foreign currency translation adjustment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6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792</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(62 )</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(44 )</w:t>
            </w: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(83 )</w:t>
            </w: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Pension plan</w:t>
            </w: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758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(957 )</w:t>
            </w:r>
          </w:p>
        </w:tc>
      </w:tr>
      <w:tr>
        <w:trPr>
          <w:trHeight w:val="196"/>
        </w:trPr>
        <w:tc>
          <w:tcPr>
            <w:tcW w:w="660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Other comprehensive income (loss) before taxes</w:t>
            </w: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696</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Tax provision related to items of other comprehensive income (loss)</w:t>
            </w:r>
          </w:p>
        </w:tc>
        <w:tc>
          <w:tcPr>
            <w:tcW w:w="140" w:type="dxa"/>
            <w:vAlign w:val="bottom"/>
          </w:tcPr>
          <w:p>
            <w:pPr>
              <w:spacing w:after="0"/>
              <w:rPr>
                <w:sz w:val="17"/>
                <w:szCs w:val="17"/>
                <w:color w:val="auto"/>
              </w:rPr>
            </w:pP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6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9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696</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600" w:type="dxa"/>
            <w:vAlign w:val="bottom"/>
          </w:tcPr>
          <w:p>
            <w:pPr>
              <w:ind w:left="20"/>
              <w:spacing w:after="0" w:line="182" w:lineRule="exact"/>
              <w:rPr>
                <w:sz w:val="20"/>
                <w:szCs w:val="20"/>
                <w:color w:val="auto"/>
              </w:rPr>
            </w:pPr>
            <w:r>
              <w:rPr>
                <w:rFonts w:ascii="Arial" w:cs="Arial" w:eastAsia="Arial" w:hAnsi="Arial"/>
                <w:sz w:val="18"/>
                <w:szCs w:val="18"/>
                <w:color w:val="auto"/>
              </w:rPr>
              <w:t>Comprehensive income (loss)</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57,409</w:t>
            </w:r>
          </w:p>
        </w:tc>
        <w:tc>
          <w:tcPr>
            <w:tcW w:w="26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(64,328 )</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(8,044 )</w:t>
            </w: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-159385</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18"/>
          <w:szCs w:val="18"/>
          <w:b w:val="1"/>
          <w:bCs w:val="1"/>
          <w:color w:val="auto"/>
        </w:rPr>
        <w:t>DESTINATION XL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jc w:val="center"/>
        <w:spacing w:after="0" w:line="234" w:lineRule="auto"/>
        <w:rPr>
          <w:sz w:val="20"/>
          <w:szCs w:val="20"/>
          <w:color w:val="auto"/>
        </w:rPr>
      </w:pPr>
      <w:r>
        <w:rPr>
          <w:rFonts w:ascii="Arial" w:cs="Arial" w:eastAsia="Arial" w:hAnsi="Arial"/>
          <w:sz w:val="18"/>
          <w:szCs w:val="18"/>
          <w:b w:val="1"/>
          <w:bCs w:val="1"/>
          <w:color w:val="auto"/>
        </w:rPr>
        <w:t>For the fiscal years ended January 29, 2022, January 30, 2021 and February 1, 2020</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57"/>
              <w:spacing w:after="0"/>
              <w:rPr>
                <w:sz w:val="20"/>
                <w:szCs w:val="20"/>
                <w:color w:val="auto"/>
              </w:rPr>
            </w:pPr>
            <w:r>
              <w:rPr>
                <w:rFonts w:ascii="Arial" w:cs="Arial" w:eastAsia="Arial" w:hAnsi="Arial"/>
                <w:sz w:val="13"/>
                <w:szCs w:val="13"/>
                <w:color w:val="auto"/>
                <w:w w:val="90"/>
              </w:rPr>
              <w:t>Accumulated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w w:val="94"/>
              </w:rPr>
              <w:t>Additional</w:t>
            </w:r>
          </w:p>
        </w:tc>
        <w:tc>
          <w:tcPr>
            <w:tcW w:w="940" w:type="dxa"/>
            <w:vAlign w:val="bottom"/>
            <w:gridSpan w:val="2"/>
            <w:vMerge w:val="restart"/>
          </w:tcPr>
          <w:p>
            <w:pPr>
              <w:jc w:val="right"/>
              <w:ind w:right="298"/>
              <w:spacing w:after="0"/>
              <w:rPr>
                <w:sz w:val="20"/>
                <w:szCs w:val="20"/>
                <w:color w:val="auto"/>
              </w:rPr>
            </w:pPr>
            <w:r>
              <w:rPr>
                <w:rFonts w:ascii="Arial" w:cs="Arial" w:eastAsia="Arial" w:hAnsi="Arial"/>
                <w:sz w:val="13"/>
                <w:szCs w:val="13"/>
                <w:color w:val="auto"/>
              </w:rPr>
              <w:t>Treasury</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57"/>
              <w:spacing w:after="0"/>
              <w:rPr>
                <w:sz w:val="20"/>
                <w:szCs w:val="20"/>
                <w:color w:val="auto"/>
              </w:rPr>
            </w:pPr>
            <w:r>
              <w:rPr>
                <w:rFonts w:ascii="Arial" w:cs="Arial" w:eastAsia="Arial" w:hAnsi="Arial"/>
                <w:sz w:val="13"/>
                <w:szCs w:val="13"/>
                <w:color w:val="auto"/>
                <w:w w:val="85"/>
              </w:rPr>
              <w:t>Other</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600" w:type="dxa"/>
            <w:vAlign w:val="bottom"/>
          </w:tcPr>
          <w:p>
            <w:pPr>
              <w:spacing w:after="0"/>
              <w:rPr>
                <w:sz w:val="9"/>
                <w:szCs w:val="9"/>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w w:val="92"/>
              </w:rPr>
              <w:t>Common Stock</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Paid-in</w:t>
            </w: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w w:val="87"/>
              </w:rPr>
              <w:t>Accumulated</w:t>
            </w:r>
          </w:p>
        </w:tc>
        <w:tc>
          <w:tcPr>
            <w:tcW w:w="1060" w:type="dxa"/>
            <w:vAlign w:val="bottom"/>
            <w:gridSpan w:val="3"/>
            <w:vMerge w:val="restart"/>
          </w:tcPr>
          <w:p>
            <w:pPr>
              <w:jc w:val="center"/>
              <w:ind w:right="77"/>
              <w:spacing w:after="0"/>
              <w:rPr>
                <w:sz w:val="20"/>
                <w:szCs w:val="20"/>
                <w:color w:val="auto"/>
              </w:rPr>
            </w:pPr>
            <w:r>
              <w:rPr>
                <w:rFonts w:ascii="Arial" w:cs="Arial" w:eastAsia="Arial" w:hAnsi="Arial"/>
                <w:sz w:val="13"/>
                <w:szCs w:val="13"/>
                <w:color w:val="auto"/>
                <w:w w:val="87"/>
              </w:rPr>
              <w:t>Comprehensive</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tcPr>
          <w:p>
            <w:pPr>
              <w:jc w:val="right"/>
              <w:ind w:right="358"/>
              <w:spacing w:after="0" w:line="148" w:lineRule="exact"/>
              <w:rPr>
                <w:sz w:val="20"/>
                <w:szCs w:val="20"/>
                <w:color w:val="auto"/>
              </w:rPr>
            </w:pPr>
            <w:r>
              <w:rPr>
                <w:rFonts w:ascii="Arial" w:cs="Arial" w:eastAsia="Arial" w:hAnsi="Arial"/>
                <w:sz w:val="13"/>
                <w:szCs w:val="13"/>
                <w:color w:val="auto"/>
              </w:rPr>
              <w:t>Stock</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w w:val="89"/>
              </w:rPr>
              <w:t>Amounts</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Capital</w:t>
            </w:r>
          </w:p>
        </w:tc>
        <w:tc>
          <w:tcPr>
            <w:tcW w:w="940" w:type="dxa"/>
            <w:vAlign w:val="bottom"/>
            <w:gridSpan w:val="2"/>
          </w:tcPr>
          <w:p>
            <w:pPr>
              <w:jc w:val="right"/>
              <w:ind w:right="338"/>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3"/>
                <w:szCs w:val="13"/>
                <w:color w:val="auto"/>
              </w:rPr>
            </w:pPr>
          </w:p>
        </w:tc>
        <w:tc>
          <w:tcPr>
            <w:tcW w:w="800" w:type="dxa"/>
            <w:vAlign w:val="bottom"/>
            <w:gridSpan w:val="2"/>
          </w:tcPr>
          <w:p>
            <w:pPr>
              <w:jc w:val="right"/>
              <w:ind w:right="237"/>
              <w:spacing w:after="0"/>
              <w:rPr>
                <w:sz w:val="20"/>
                <w:szCs w:val="20"/>
                <w:color w:val="auto"/>
              </w:rPr>
            </w:pPr>
            <w:r>
              <w:rPr>
                <w:rFonts w:ascii="Arial" w:cs="Arial" w:eastAsia="Arial" w:hAnsi="Arial"/>
                <w:sz w:val="13"/>
                <w:szCs w:val="13"/>
                <w:color w:val="auto"/>
                <w:w w:val="93"/>
              </w:rPr>
              <w:t>Amounts</w:t>
            </w:r>
          </w:p>
        </w:tc>
        <w:tc>
          <w:tcPr>
            <w:tcW w:w="60" w:type="dxa"/>
            <w:vAlign w:val="bottom"/>
          </w:tcPr>
          <w:p>
            <w:pPr>
              <w:spacing w:after="0"/>
              <w:rPr>
                <w:sz w:val="13"/>
                <w:szCs w:val="13"/>
                <w:color w:val="auto"/>
              </w:rPr>
            </w:pPr>
          </w:p>
        </w:tc>
        <w:tc>
          <w:tcPr>
            <w:tcW w:w="900" w:type="dxa"/>
            <w:vAlign w:val="bottom"/>
            <w:gridSpan w:val="2"/>
          </w:tcPr>
          <w:p>
            <w:pPr>
              <w:jc w:val="right"/>
              <w:ind w:right="317"/>
              <w:spacing w:after="0"/>
              <w:rPr>
                <w:sz w:val="20"/>
                <w:szCs w:val="20"/>
                <w:color w:val="auto"/>
              </w:rPr>
            </w:pPr>
            <w:r>
              <w:rPr>
                <w:rFonts w:ascii="Arial" w:cs="Arial" w:eastAsia="Arial" w:hAnsi="Arial"/>
                <w:sz w:val="13"/>
                <w:szCs w:val="13"/>
                <w:color w:val="auto"/>
              </w:rPr>
              <w:t>Deficit</w:t>
            </w:r>
          </w:p>
        </w:tc>
        <w:tc>
          <w:tcPr>
            <w:tcW w:w="80" w:type="dxa"/>
            <w:vAlign w:val="bottom"/>
          </w:tcPr>
          <w:p>
            <w:pPr>
              <w:spacing w:after="0"/>
              <w:rPr>
                <w:sz w:val="13"/>
                <w:szCs w:val="13"/>
                <w:color w:val="auto"/>
              </w:rPr>
            </w:pPr>
          </w:p>
        </w:tc>
        <w:tc>
          <w:tcPr>
            <w:tcW w:w="980" w:type="dxa"/>
            <w:vAlign w:val="bottom"/>
            <w:gridSpan w:val="2"/>
          </w:tcPr>
          <w:p>
            <w:pPr>
              <w:jc w:val="center"/>
              <w:ind w:right="157"/>
              <w:spacing w:after="0"/>
              <w:rPr>
                <w:sz w:val="20"/>
                <w:szCs w:val="20"/>
                <w:color w:val="auto"/>
              </w:rPr>
            </w:pPr>
            <w:r>
              <w:rPr>
                <w:rFonts w:ascii="Arial" w:cs="Arial" w:eastAsia="Arial" w:hAnsi="Arial"/>
                <w:sz w:val="13"/>
                <w:szCs w:val="13"/>
                <w:color w:val="auto"/>
                <w:w w:val="87"/>
              </w:rPr>
              <w:t>Income (Loss)</w:t>
            </w:r>
          </w:p>
        </w:tc>
        <w:tc>
          <w:tcPr>
            <w:tcW w:w="16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98"/>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February 2, 2019</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62,242</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310,393</w:t>
            </w:r>
          </w:p>
        </w:tc>
        <w:tc>
          <w:tcPr>
            <w:tcW w:w="1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(12,755</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(92,658</w:t>
            </w:r>
          </w:p>
        </w:tc>
        <w:tc>
          <w:tcPr>
            <w:tcW w:w="16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w w:val="91"/>
              </w:rPr>
              <w:t>)</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(153,534</w:t>
            </w:r>
          </w:p>
        </w:tc>
        <w:tc>
          <w:tcPr>
            <w:tcW w:w="14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(6,183</w:t>
            </w:r>
          </w:p>
        </w:tc>
        <w:tc>
          <w:tcPr>
            <w:tcW w:w="16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58,640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3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compensation expense</w:t>
            </w: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1,922</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600" w:type="dxa"/>
            <w:vAlign w:val="bottom"/>
          </w:tcPr>
          <w:p>
            <w:pPr>
              <w:ind w:left="20"/>
              <w:spacing w:after="0" w:line="108" w:lineRule="exact"/>
              <w:rPr>
                <w:sz w:val="20"/>
                <w:szCs w:val="20"/>
                <w:color w:val="auto"/>
              </w:rPr>
            </w:pPr>
            <w:r>
              <w:rPr>
                <w:rFonts w:ascii="Arial" w:cs="Arial" w:eastAsia="Arial" w:hAnsi="Arial"/>
                <w:sz w:val="12"/>
                <w:szCs w:val="12"/>
                <w:color w:val="auto"/>
                <w:w w:val="97"/>
              </w:rPr>
              <w:t>RSUs granted for achievement of performance-based compensation,</w:t>
            </w: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304</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20"/>
              <w:spacing w:after="0"/>
              <w:rPr>
                <w:sz w:val="20"/>
                <w:szCs w:val="20"/>
                <w:color w:val="auto"/>
              </w:rPr>
            </w:pPr>
            <w:r>
              <w:rPr>
                <w:rFonts w:ascii="Arial" w:cs="Arial" w:eastAsia="Arial" w:hAnsi="Arial"/>
                <w:sz w:val="13"/>
                <w:szCs w:val="13"/>
                <w:color w:val="auto"/>
              </w:rPr>
              <w:t>reclassified from liability to equity</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upon RSUs release</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(10 )</w:t>
            </w: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20"/>
              <w:spacing w:after="0"/>
              <w:rPr>
                <w:sz w:val="20"/>
                <w:szCs w:val="20"/>
                <w:color w:val="auto"/>
              </w:rPr>
            </w:pPr>
            <w:r>
              <w:rPr>
                <w:rFonts w:ascii="Arial" w:cs="Arial" w:eastAsia="Arial" w:hAnsi="Arial"/>
                <w:sz w:val="13"/>
                <w:szCs w:val="13"/>
                <w:color w:val="auto"/>
                <w:w w:val="94"/>
              </w:rPr>
              <w:t>Shares withheld for taxes related to net share settlement of RSUs</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(111 )</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(243 )</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Deferred stock vested</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ind w:left="20"/>
              <w:spacing w:after="0"/>
              <w:rPr>
                <w:sz w:val="20"/>
                <w:szCs w:val="20"/>
                <w:color w:val="auto"/>
              </w:rPr>
            </w:pPr>
            <w:r>
              <w:rPr>
                <w:rFonts w:ascii="Arial" w:cs="Arial" w:eastAsia="Arial" w:hAnsi="Arial"/>
                <w:sz w:val="13"/>
                <w:szCs w:val="13"/>
                <w:color w:val="auto"/>
              </w:rPr>
              <w:t>Cancellations of restricted stock, net of issuances</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(20 )</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Board of directors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20"/>
              <w:spacing w:after="0"/>
              <w:rPr>
                <w:sz w:val="20"/>
                <w:szCs w:val="20"/>
                <w:color w:val="auto"/>
              </w:rPr>
            </w:pPr>
            <w:r>
              <w:rPr>
                <w:rFonts w:ascii="Arial" w:cs="Arial" w:eastAsia="Arial" w:hAnsi="Arial"/>
                <w:sz w:val="13"/>
                <w:szCs w:val="13"/>
                <w:color w:val="auto"/>
              </w:rPr>
              <w:t>Change in accounting principle due to adoption of ASC 842</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Accumulated other comprehensive income (loss):</w:t>
            </w: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200"/>
              <w:spacing w:after="0"/>
              <w:rPr>
                <w:sz w:val="20"/>
                <w:szCs w:val="20"/>
                <w:color w:val="auto"/>
              </w:rPr>
            </w:pPr>
            <w:r>
              <w:rPr>
                <w:rFonts w:ascii="Arial" w:cs="Arial" w:eastAsia="Arial" w:hAnsi="Arial"/>
                <w:sz w:val="13"/>
                <w:szCs w:val="13"/>
                <w:color w:val="auto"/>
              </w:rPr>
              <w:t>Unrecognized loss associated with Pension Plan</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7"/>
              <w:spacing w:after="0"/>
              <w:rPr>
                <w:sz w:val="20"/>
                <w:szCs w:val="20"/>
                <w:color w:val="auto"/>
              </w:rPr>
            </w:pPr>
            <w:r>
              <w:rPr>
                <w:rFonts w:ascii="Arial" w:cs="Arial" w:eastAsia="Arial" w:hAnsi="Arial"/>
                <w:sz w:val="13"/>
                <w:szCs w:val="13"/>
                <w:color w:val="auto"/>
              </w:rPr>
              <w:t>(957 )</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(957 )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Foreign currency</w:t>
            </w: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(83 )</w:t>
            </w: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600" w:type="dxa"/>
            <w:vAlign w:val="bottom"/>
          </w:tcPr>
          <w:p>
            <w:pPr>
              <w:ind w:left="200"/>
              <w:spacing w:after="0" w:line="108" w:lineRule="exact"/>
              <w:rPr>
                <w:sz w:val="20"/>
                <w:szCs w:val="20"/>
                <w:color w:val="auto"/>
              </w:rPr>
            </w:pPr>
            <w:r>
              <w:rPr>
                <w:rFonts w:ascii="Arial" w:cs="Arial" w:eastAsia="Arial" w:hAnsi="Arial"/>
                <w:sz w:val="12"/>
                <w:szCs w:val="12"/>
                <w:color w:val="auto"/>
              </w:rPr>
              <w:t>Recognition of accumulated foreign currency translation</w:t>
            </w: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792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792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200"/>
              <w:spacing w:after="0"/>
              <w:rPr>
                <w:sz w:val="20"/>
                <w:szCs w:val="20"/>
                <w:color w:val="auto"/>
              </w:rPr>
            </w:pPr>
            <w:r>
              <w:rPr>
                <w:rFonts w:ascii="Arial" w:cs="Arial" w:eastAsia="Arial" w:hAnsi="Arial"/>
                <w:sz w:val="13"/>
                <w:szCs w:val="13"/>
                <w:color w:val="auto"/>
              </w:rPr>
              <w:t>adjustment (Note A)</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(7,796 )</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(7,796 )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0" w:type="dxa"/>
            <w:vAlign w:val="bottom"/>
          </w:tcPr>
          <w:p>
            <w:pPr>
              <w:ind w:left="20"/>
              <w:spacing w:after="0"/>
              <w:rPr>
                <w:sz w:val="20"/>
                <w:szCs w:val="20"/>
                <w:color w:val="auto"/>
              </w:rPr>
            </w:pPr>
            <w:r>
              <w:rPr>
                <w:rFonts w:ascii="Arial" w:cs="Arial" w:eastAsia="Arial" w:hAnsi="Arial"/>
                <w:sz w:val="13"/>
                <w:szCs w:val="13"/>
                <w:color w:val="auto"/>
              </w:rPr>
              <w:t>Balance at February 1, 2020</w:t>
            </w:r>
          </w:p>
        </w:tc>
        <w:tc>
          <w:tcPr>
            <w:tcW w:w="880" w:type="dxa"/>
            <w:vAlign w:val="bottom"/>
          </w:tcPr>
          <w:p>
            <w:pPr>
              <w:jc w:val="right"/>
              <w:spacing w:after="0"/>
              <w:rPr>
                <w:sz w:val="20"/>
                <w:szCs w:val="20"/>
                <w:color w:val="auto"/>
              </w:rPr>
            </w:pPr>
            <w:r>
              <w:rPr>
                <w:rFonts w:ascii="Arial" w:cs="Arial" w:eastAsia="Arial" w:hAnsi="Arial"/>
                <w:sz w:val="13"/>
                <w:szCs w:val="13"/>
                <w:color w:val="auto"/>
              </w:rPr>
              <w:t>63,297</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633</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312,933</w:t>
            </w:r>
          </w:p>
        </w:tc>
        <w:tc>
          <w:tcPr>
            <w:tcW w:w="180" w:type="dxa"/>
            <w:vAlign w:val="bottom"/>
          </w:tcPr>
          <w:p>
            <w:pPr>
              <w:spacing w:after="0"/>
              <w:rPr>
                <w:sz w:val="13"/>
                <w:szCs w:val="13"/>
                <w:color w:val="auto"/>
              </w:rPr>
            </w:pP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(12,755 )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7"/>
              <w:spacing w:after="0"/>
              <w:rPr>
                <w:sz w:val="20"/>
                <w:szCs w:val="20"/>
                <w:color w:val="auto"/>
              </w:rPr>
            </w:pPr>
            <w:r>
              <w:rPr>
                <w:rFonts w:ascii="Arial" w:cs="Arial" w:eastAsia="Arial" w:hAnsi="Arial"/>
                <w:sz w:val="13"/>
                <w:szCs w:val="13"/>
                <w:color w:val="auto"/>
              </w:rPr>
              <w:t>(92,658 )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(156,054 )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7"/>
              <w:spacing w:after="0"/>
              <w:rPr>
                <w:sz w:val="20"/>
                <w:szCs w:val="20"/>
                <w:color w:val="auto"/>
              </w:rPr>
            </w:pPr>
            <w:r>
              <w:rPr>
                <w:rFonts w:ascii="Arial" w:cs="Arial" w:eastAsia="Arial" w:hAnsi="Arial"/>
                <w:sz w:val="13"/>
                <w:szCs w:val="13"/>
                <w:color w:val="auto"/>
              </w:rPr>
              <w:t>(6,431 )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58,423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20"/>
              <w:spacing w:after="0"/>
              <w:rPr>
                <w:sz w:val="20"/>
                <w:szCs w:val="20"/>
                <w:color w:val="auto"/>
              </w:rPr>
            </w:pPr>
            <w:r>
              <w:rPr>
                <w:rFonts w:ascii="Arial" w:cs="Arial" w:eastAsia="Arial" w:hAnsi="Arial"/>
                <w:sz w:val="13"/>
                <w:szCs w:val="13"/>
                <w:color w:val="auto"/>
              </w:rPr>
              <w:t>Stock compensation expense</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1,446</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upon RSUs release</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(6 )</w:t>
            </w: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20"/>
              <w:spacing w:after="0"/>
              <w:rPr>
                <w:sz w:val="20"/>
                <w:szCs w:val="20"/>
                <w:color w:val="auto"/>
              </w:rPr>
            </w:pPr>
            <w:r>
              <w:rPr>
                <w:rFonts w:ascii="Arial" w:cs="Arial" w:eastAsia="Arial" w:hAnsi="Arial"/>
                <w:sz w:val="13"/>
                <w:szCs w:val="13"/>
                <w:color w:val="auto"/>
              </w:rPr>
              <w:t>Deferred stock vested</w:t>
            </w:r>
          </w:p>
        </w:tc>
        <w:tc>
          <w:tcPr>
            <w:tcW w:w="880" w:type="dxa"/>
            <w:vAlign w:val="bottom"/>
          </w:tcPr>
          <w:p>
            <w:pPr>
              <w:jc w:val="right"/>
              <w:spacing w:after="0"/>
              <w:rPr>
                <w:sz w:val="20"/>
                <w:szCs w:val="20"/>
                <w:color w:val="auto"/>
              </w:rPr>
            </w:pPr>
            <w:r>
              <w:rPr>
                <w:rFonts w:ascii="Arial" w:cs="Arial" w:eastAsia="Arial" w:hAnsi="Arial"/>
                <w:sz w:val="13"/>
                <w:szCs w:val="13"/>
                <w:color w:val="auto"/>
              </w:rPr>
              <w:t>114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(1 )</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Board of directors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20"/>
              <w:spacing w:after="0"/>
              <w:rPr>
                <w:sz w:val="20"/>
                <w:szCs w:val="20"/>
                <w:color w:val="auto"/>
              </w:rPr>
            </w:pPr>
            <w:r>
              <w:rPr>
                <w:rFonts w:ascii="Arial" w:cs="Arial" w:eastAsia="Arial" w:hAnsi="Arial"/>
                <w:sz w:val="13"/>
                <w:szCs w:val="13"/>
                <w:color w:val="auto"/>
              </w:rPr>
              <w:t>Accumulated other comprehensive income (loss):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Unrecognized gain associated with Pension Plan</w:t>
            </w: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200"/>
              <w:spacing w:after="0"/>
              <w:rPr>
                <w:sz w:val="20"/>
                <w:szCs w:val="20"/>
                <w:color w:val="auto"/>
              </w:rPr>
            </w:pPr>
            <w:r>
              <w:rPr>
                <w:rFonts w:ascii="Arial" w:cs="Arial" w:eastAsia="Arial" w:hAnsi="Arial"/>
                <w:sz w:val="13"/>
                <w:szCs w:val="13"/>
                <w:color w:val="auto"/>
              </w:rPr>
              <w:t>Foreign currency</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7"/>
              <w:spacing w:after="0"/>
              <w:rPr>
                <w:sz w:val="20"/>
                <w:szCs w:val="20"/>
                <w:color w:val="auto"/>
              </w:rPr>
            </w:pPr>
            <w:r>
              <w:rPr>
                <w:rFonts w:ascii="Arial" w:cs="Arial" w:eastAsia="Arial" w:hAnsi="Arial"/>
                <w:sz w:val="13"/>
                <w:szCs w:val="13"/>
                <w:color w:val="auto"/>
              </w:rPr>
              <w:t>(44 )</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(64,538 )</w:t>
            </w: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(64,538 )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tcPr>
          <w:p>
            <w:pPr>
              <w:ind w:left="20"/>
              <w:spacing w:after="0"/>
              <w:rPr>
                <w:sz w:val="20"/>
                <w:szCs w:val="20"/>
                <w:color w:val="auto"/>
              </w:rPr>
            </w:pPr>
            <w:r>
              <w:rPr>
                <w:rFonts w:ascii="Arial" w:cs="Arial" w:eastAsia="Arial" w:hAnsi="Arial"/>
                <w:sz w:val="13"/>
                <w:szCs w:val="13"/>
                <w:color w:val="auto"/>
              </w:rPr>
              <w:t>Balance at January 30, 2021</w:t>
            </w:r>
          </w:p>
        </w:tc>
        <w:tc>
          <w:tcPr>
            <w:tcW w:w="880" w:type="dxa"/>
            <w:vAlign w:val="bottom"/>
          </w:tcPr>
          <w:p>
            <w:pPr>
              <w:jc w:val="right"/>
              <w:spacing w:after="0"/>
              <w:rPr>
                <w:sz w:val="20"/>
                <w:szCs w:val="20"/>
                <w:color w:val="auto"/>
              </w:rPr>
            </w:pPr>
            <w:r>
              <w:rPr>
                <w:rFonts w:ascii="Arial" w:cs="Arial" w:eastAsia="Arial" w:hAnsi="Arial"/>
                <w:sz w:val="13"/>
                <w:szCs w:val="13"/>
                <w:color w:val="auto"/>
              </w:rPr>
              <w:t>64,656</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647</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314,747</w:t>
            </w:r>
          </w:p>
        </w:tc>
        <w:tc>
          <w:tcPr>
            <w:tcW w:w="180" w:type="dxa"/>
            <w:vAlign w:val="bottom"/>
          </w:tcPr>
          <w:p>
            <w:pPr>
              <w:spacing w:after="0"/>
              <w:rPr>
                <w:sz w:val="13"/>
                <w:szCs w:val="13"/>
                <w:color w:val="auto"/>
              </w:rPr>
            </w:pP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(12,755 )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7"/>
              <w:spacing w:after="0"/>
              <w:rPr>
                <w:sz w:val="20"/>
                <w:szCs w:val="20"/>
                <w:color w:val="auto"/>
              </w:rPr>
            </w:pPr>
            <w:r>
              <w:rPr>
                <w:rFonts w:ascii="Arial" w:cs="Arial" w:eastAsia="Arial" w:hAnsi="Arial"/>
                <w:sz w:val="13"/>
                <w:szCs w:val="13"/>
                <w:color w:val="auto"/>
              </w:rPr>
              <w:t>(92,658 )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(220,592 )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7"/>
              <w:spacing w:after="0"/>
              <w:rPr>
                <w:sz w:val="20"/>
                <w:szCs w:val="20"/>
                <w:color w:val="auto"/>
              </w:rPr>
            </w:pPr>
            <w:r>
              <w:rPr>
                <w:rFonts w:ascii="Arial" w:cs="Arial" w:eastAsia="Arial" w:hAnsi="Arial"/>
                <w:sz w:val="13"/>
                <w:szCs w:val="13"/>
                <w:color w:val="auto"/>
              </w:rPr>
              <w:t>(6,221 )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(4,077 )</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Pr>
          <w:p>
            <w:pPr>
              <w:ind w:left="20"/>
              <w:spacing w:after="0" w:line="108" w:lineRule="exact"/>
              <w:rPr>
                <w:sz w:val="20"/>
                <w:szCs w:val="20"/>
                <w:color w:val="auto"/>
              </w:rPr>
            </w:pPr>
            <w:r>
              <w:rPr>
                <w:rFonts w:ascii="Arial" w:cs="Arial" w:eastAsia="Arial" w:hAnsi="Arial"/>
                <w:sz w:val="12"/>
                <w:szCs w:val="12"/>
                <w:color w:val="auto"/>
              </w:rPr>
              <w:t>Issuance of common stock through private direct offering, net of</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11,111</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4,264</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4,375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600" w:type="dxa"/>
            <w:vAlign w:val="bottom"/>
          </w:tcPr>
          <w:p>
            <w:pPr>
              <w:ind w:left="20"/>
              <w:spacing w:after="0"/>
              <w:rPr>
                <w:sz w:val="20"/>
                <w:szCs w:val="20"/>
                <w:color w:val="auto"/>
              </w:rPr>
            </w:pPr>
            <w:r>
              <w:rPr>
                <w:rFonts w:ascii="Arial" w:cs="Arial" w:eastAsia="Arial" w:hAnsi="Arial"/>
                <w:sz w:val="13"/>
                <w:szCs w:val="13"/>
                <w:color w:val="auto"/>
              </w:rPr>
              <w:t>offering costs</w:t>
            </w: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compensation expense</w:t>
            </w: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1,229</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ind w:left="20"/>
              <w:spacing w:after="0"/>
              <w:rPr>
                <w:sz w:val="20"/>
                <w:szCs w:val="20"/>
                <w:color w:val="auto"/>
              </w:rPr>
            </w:pPr>
            <w:r>
              <w:rPr>
                <w:rFonts w:ascii="Arial" w:cs="Arial" w:eastAsia="Arial" w:hAnsi="Arial"/>
                <w:sz w:val="13"/>
                <w:szCs w:val="13"/>
                <w:color w:val="auto"/>
              </w:rPr>
              <w:t>Issuance of common stock, upon RSUs and PSUs release</w:t>
            </w:r>
          </w:p>
        </w:tc>
        <w:tc>
          <w:tcPr>
            <w:tcW w:w="880" w:type="dxa"/>
            <w:vAlign w:val="bottom"/>
          </w:tcPr>
          <w:p>
            <w:pPr>
              <w:jc w:val="right"/>
              <w:spacing w:after="0"/>
              <w:rPr>
                <w:sz w:val="20"/>
                <w:szCs w:val="20"/>
                <w:color w:val="auto"/>
              </w:rPr>
            </w:pPr>
            <w:r>
              <w:rPr>
                <w:rFonts w:ascii="Arial" w:cs="Arial" w:eastAsia="Arial" w:hAnsi="Arial"/>
                <w:sz w:val="13"/>
                <w:szCs w:val="13"/>
                <w:color w:val="auto"/>
              </w:rPr>
              <w:t>788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(8 )</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771</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ind w:left="20"/>
              <w:spacing w:after="0"/>
              <w:rPr>
                <w:sz w:val="20"/>
                <w:szCs w:val="20"/>
                <w:color w:val="auto"/>
              </w:rPr>
            </w:pPr>
            <w:r>
              <w:rPr>
                <w:rFonts w:ascii="Arial" w:cs="Arial" w:eastAsia="Arial" w:hAnsi="Arial"/>
                <w:sz w:val="13"/>
                <w:szCs w:val="13"/>
                <w:color w:val="auto"/>
              </w:rPr>
              <w:t>Shares withheld for taxes related to net share settlement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(285 )</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(3 )</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(1,864 )</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(1,867 )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Board of directors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20"/>
              <w:spacing w:after="0"/>
              <w:rPr>
                <w:sz w:val="20"/>
                <w:szCs w:val="20"/>
                <w:color w:val="auto"/>
              </w:rPr>
            </w:pPr>
            <w:r>
              <w:rPr>
                <w:rFonts w:ascii="Arial" w:cs="Arial" w:eastAsia="Arial" w:hAnsi="Arial"/>
                <w:sz w:val="13"/>
                <w:szCs w:val="13"/>
                <w:color w:val="auto"/>
              </w:rPr>
              <w:t>Accumulated other comprehensive income (loss):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Unrecognized gain associated with Pension Plan</w:t>
            </w: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758</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200"/>
              <w:spacing w:after="0"/>
              <w:rPr>
                <w:sz w:val="20"/>
                <w:szCs w:val="20"/>
                <w:color w:val="auto"/>
              </w:rPr>
            </w:pPr>
            <w:r>
              <w:rPr>
                <w:rFonts w:ascii="Arial" w:cs="Arial" w:eastAsia="Arial" w:hAnsi="Arial"/>
                <w:sz w:val="13"/>
                <w:szCs w:val="13"/>
                <w:color w:val="auto"/>
              </w:rPr>
              <w:t>Foreign currency</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7"/>
              <w:spacing w:after="0"/>
              <w:rPr>
                <w:sz w:val="20"/>
                <w:szCs w:val="20"/>
                <w:color w:val="auto"/>
              </w:rPr>
            </w:pPr>
            <w:r>
              <w:rPr>
                <w:rFonts w:ascii="Arial" w:cs="Arial" w:eastAsia="Arial" w:hAnsi="Arial"/>
                <w:sz w:val="13"/>
                <w:szCs w:val="13"/>
                <w:color w:val="auto"/>
              </w:rPr>
              <w:t>(62 )</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56,713</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56,713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rPr>
                <w:sz w:val="20"/>
                <w:szCs w:val="20"/>
                <w:color w:val="auto"/>
              </w:rPr>
            </w:pPr>
            <w:r>
              <w:rPr>
                <w:rFonts w:ascii="Arial" w:cs="Arial" w:eastAsia="Arial" w:hAnsi="Arial"/>
                <w:sz w:val="13"/>
                <w:szCs w:val="13"/>
                <w:color w:val="auto"/>
              </w:rPr>
              <w:t>Balance at January 29, 2022</w:t>
            </w:r>
          </w:p>
        </w:tc>
        <w:tc>
          <w:tcPr>
            <w:tcW w:w="880" w:type="dxa"/>
            <w:vAlign w:val="bottom"/>
          </w:tcPr>
          <w:p>
            <w:pPr>
              <w:jc w:val="right"/>
              <w:spacing w:after="0"/>
              <w:rPr>
                <w:sz w:val="20"/>
                <w:szCs w:val="20"/>
                <w:color w:val="auto"/>
              </w:rPr>
            </w:pPr>
            <w:r>
              <w:rPr>
                <w:rFonts w:ascii="Arial" w:cs="Arial" w:eastAsia="Arial" w:hAnsi="Arial"/>
                <w:sz w:val="13"/>
                <w:szCs w:val="13"/>
                <w:color w:val="auto"/>
              </w:rPr>
              <w:t>77,025</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770</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319,511</w:t>
            </w:r>
          </w:p>
        </w:tc>
        <w:tc>
          <w:tcPr>
            <w:tcW w:w="180" w:type="dxa"/>
            <w:vAlign w:val="bottom"/>
          </w:tcPr>
          <w:p>
            <w:pPr>
              <w:spacing w:after="0"/>
              <w:rPr>
                <w:sz w:val="13"/>
                <w:szCs w:val="13"/>
                <w:color w:val="auto"/>
              </w:rPr>
            </w:pP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(12,755 )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7"/>
              <w:spacing w:after="0"/>
              <w:rPr>
                <w:sz w:val="20"/>
                <w:szCs w:val="20"/>
                <w:color w:val="auto"/>
              </w:rPr>
            </w:pPr>
            <w:r>
              <w:rPr>
                <w:rFonts w:ascii="Arial" w:cs="Arial" w:eastAsia="Arial" w:hAnsi="Arial"/>
                <w:sz w:val="13"/>
                <w:szCs w:val="13"/>
                <w:color w:val="auto"/>
              </w:rPr>
              <w:t>(92,658 )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(163,879 )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7"/>
              <w:spacing w:after="0"/>
              <w:rPr>
                <w:sz w:val="20"/>
                <w:szCs w:val="20"/>
                <w:color w:val="auto"/>
              </w:rPr>
            </w:pPr>
            <w:r>
              <w:rPr>
                <w:rFonts w:ascii="Arial" w:cs="Arial" w:eastAsia="Arial" w:hAnsi="Arial"/>
                <w:sz w:val="13"/>
                <w:szCs w:val="13"/>
                <w:color w:val="auto"/>
              </w:rPr>
              <w:t>(5,525 )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58,219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-3848100</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-3830955</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-3848100</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-3830955</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-3848100</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-3830955</wp:posOffset>
            </wp:positionV>
            <wp:extent cx="43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-3848100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-3830955</wp:posOffset>
            </wp:positionV>
            <wp:extent cx="43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-3848100</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-3830955</wp:posOffset>
            </wp:positionV>
            <wp:extent cx="342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-3848100</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-3830955</wp:posOffset>
            </wp:positionV>
            <wp:extent cx="342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-3848100</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-3830955</wp:posOffset>
            </wp:positionV>
            <wp:extent cx="342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-3848100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-3830955</wp:posOffset>
            </wp:positionV>
            <wp:extent cx="34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-2345055</wp:posOffset>
            </wp:positionV>
            <wp:extent cx="43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-2345055</wp:posOffset>
            </wp:positionV>
            <wp:extent cx="431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-2345055</wp:posOffset>
            </wp:positionV>
            <wp:extent cx="431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-2345055</wp:posOffset>
            </wp:positionV>
            <wp:extent cx="431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-2345055</wp:posOffset>
            </wp:positionV>
            <wp:extent cx="342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-2345055</wp:posOffset>
            </wp:positionV>
            <wp:extent cx="3429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-2345055</wp:posOffset>
            </wp:positionV>
            <wp:extent cx="342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-2345055</wp:posOffset>
            </wp:positionV>
            <wp:extent cx="342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-1367790</wp:posOffset>
            </wp:positionV>
            <wp:extent cx="431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-1367790</wp:posOffset>
            </wp:positionV>
            <wp:extent cx="431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-1367790</wp:posOffset>
            </wp:positionV>
            <wp:extent cx="431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-1367790</wp:posOffset>
            </wp:positionV>
            <wp:extent cx="431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-1367790</wp:posOffset>
            </wp:positionV>
            <wp:extent cx="3429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-1367790</wp:posOffset>
            </wp:positionV>
            <wp:extent cx="3429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-1367790</wp:posOffset>
            </wp:positionV>
            <wp:extent cx="342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-1367790</wp:posOffset>
            </wp:positionV>
            <wp:extent cx="342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-125095</wp:posOffset>
            </wp:positionV>
            <wp:extent cx="431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-125095</wp:posOffset>
            </wp:positionV>
            <wp:extent cx="431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-125095</wp:posOffset>
            </wp:positionV>
            <wp:extent cx="431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-125095</wp:posOffset>
            </wp:positionV>
            <wp:extent cx="431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-125095</wp:posOffset>
            </wp:positionV>
            <wp:extent cx="3429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-125095</wp:posOffset>
            </wp:positionV>
            <wp:extent cx="342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-125095</wp:posOffset>
            </wp:positionV>
            <wp:extent cx="342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-125095</wp:posOffset>
            </wp:positionV>
            <wp:extent cx="3429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t>DESTINATION XL GROUP,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For the fiscal years ended January 29, 2022, January 30, 2021 and February 1, 2020</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321"/>
              <w:spacing w:after="0"/>
              <w:rPr>
                <w:sz w:val="20"/>
                <w:szCs w:val="20"/>
                <w:color w:val="auto"/>
              </w:rPr>
            </w:pPr>
            <w:r>
              <w:rPr>
                <w:rFonts w:ascii="Arial" w:cs="Arial" w:eastAsia="Arial" w:hAnsi="Arial"/>
                <w:sz w:val="14"/>
                <w:szCs w:val="14"/>
                <w:color w:val="auto"/>
                <w:w w:val="94"/>
              </w:rPr>
              <w:t>January 29, 2022</w:t>
            </w:r>
          </w:p>
        </w:tc>
        <w:tc>
          <w:tcPr>
            <w:tcW w:w="140" w:type="dxa"/>
            <w:vAlign w:val="bottom"/>
          </w:tcPr>
          <w:p>
            <w:pPr>
              <w:spacing w:after="0"/>
              <w:rPr>
                <w:sz w:val="15"/>
                <w:szCs w:val="15"/>
                <w:color w:val="auto"/>
              </w:rPr>
            </w:pPr>
          </w:p>
        </w:tc>
        <w:tc>
          <w:tcPr>
            <w:tcW w:w="1420" w:type="dxa"/>
            <w:vAlign w:val="bottom"/>
            <w:gridSpan w:val="2"/>
          </w:tcPr>
          <w:p>
            <w:pPr>
              <w:jc w:val="right"/>
              <w:ind w:right="310"/>
              <w:spacing w:after="0"/>
              <w:rPr>
                <w:sz w:val="20"/>
                <w:szCs w:val="20"/>
                <w:color w:val="auto"/>
              </w:rPr>
            </w:pPr>
            <w:r>
              <w:rPr>
                <w:rFonts w:ascii="Arial" w:cs="Arial" w:eastAsia="Arial" w:hAnsi="Arial"/>
                <w:sz w:val="14"/>
                <w:szCs w:val="14"/>
                <w:color w:val="auto"/>
                <w:w w:val="92"/>
              </w:rPr>
              <w:t>January 30, 2021</w:t>
            </w:r>
          </w:p>
        </w:tc>
        <w:tc>
          <w:tcPr>
            <w:tcW w:w="140" w:type="dxa"/>
            <w:vAlign w:val="bottom"/>
          </w:tcPr>
          <w:p>
            <w:pPr>
              <w:spacing w:after="0"/>
              <w:rPr>
                <w:sz w:val="15"/>
                <w:szCs w:val="15"/>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4"/>
                <w:szCs w:val="14"/>
                <w:color w:val="auto"/>
                <w:w w:val="93"/>
              </w:rPr>
              <w:t>February 1, 2020</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441"/>
              <w:spacing w:after="0"/>
              <w:rPr>
                <w:sz w:val="20"/>
                <w:szCs w:val="20"/>
                <w:color w:val="auto"/>
              </w:rPr>
            </w:pPr>
            <w:r>
              <w:rPr>
                <w:rFonts w:ascii="Arial" w:cs="Arial" w:eastAsia="Arial" w:hAnsi="Arial"/>
                <w:sz w:val="14"/>
                <w:szCs w:val="14"/>
                <w:color w:val="auto"/>
              </w:rPr>
              <w:t>(Fiscal 2021)</w:t>
            </w:r>
          </w:p>
        </w:tc>
        <w:tc>
          <w:tcPr>
            <w:tcW w:w="140" w:type="dxa"/>
            <w:vAlign w:val="bottom"/>
          </w:tcPr>
          <w:p>
            <w:pPr>
              <w:spacing w:after="0"/>
              <w:rPr>
                <w:sz w:val="15"/>
                <w:szCs w:val="15"/>
                <w:color w:val="auto"/>
              </w:rPr>
            </w:pPr>
          </w:p>
        </w:tc>
        <w:tc>
          <w:tcPr>
            <w:tcW w:w="1420" w:type="dxa"/>
            <w:vAlign w:val="bottom"/>
            <w:gridSpan w:val="2"/>
          </w:tcPr>
          <w:p>
            <w:pPr>
              <w:jc w:val="right"/>
              <w:ind w:right="430"/>
              <w:spacing w:after="0"/>
              <w:rPr>
                <w:sz w:val="20"/>
                <w:szCs w:val="20"/>
                <w:color w:val="auto"/>
              </w:rPr>
            </w:pPr>
            <w:r>
              <w:rPr>
                <w:rFonts w:ascii="Arial" w:cs="Arial" w:eastAsia="Arial" w:hAnsi="Arial"/>
                <w:sz w:val="14"/>
                <w:szCs w:val="14"/>
                <w:color w:val="auto"/>
              </w:rPr>
              <w:t>(Fiscal 2020)</w:t>
            </w:r>
          </w:p>
        </w:tc>
        <w:tc>
          <w:tcPr>
            <w:tcW w:w="140" w:type="dxa"/>
            <w:vAlign w:val="bottom"/>
          </w:tcPr>
          <w:p>
            <w:pPr>
              <w:spacing w:after="0"/>
              <w:rPr>
                <w:sz w:val="15"/>
                <w:szCs w:val="15"/>
                <w:color w:val="auto"/>
              </w:rPr>
            </w:pPr>
          </w:p>
        </w:tc>
        <w:tc>
          <w:tcPr>
            <w:tcW w:w="1260" w:type="dxa"/>
            <w:vAlign w:val="bottom"/>
            <w:gridSpan w:val="2"/>
          </w:tcPr>
          <w:p>
            <w:pPr>
              <w:jc w:val="right"/>
              <w:ind w:right="270"/>
              <w:spacing w:after="0"/>
              <w:rPr>
                <w:sz w:val="20"/>
                <w:szCs w:val="20"/>
                <w:color w:val="auto"/>
              </w:rPr>
            </w:pPr>
            <w:r>
              <w:rPr>
                <w:rFonts w:ascii="Arial" w:cs="Arial" w:eastAsia="Arial" w:hAnsi="Arial"/>
                <w:sz w:val="14"/>
                <w:szCs w:val="14"/>
                <w:color w:val="auto"/>
              </w:rPr>
              <w:t>(Fiscal 2019)</w:t>
            </w: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200"/>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56,713</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(64,538 )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(7,796 )</w:t>
            </w:r>
          </w:p>
        </w:tc>
        <w:tc>
          <w:tcPr>
            <w:tcW w:w="0" w:type="dxa"/>
            <w:vAlign w:val="bottom"/>
          </w:tcPr>
          <w:p>
            <w:pPr>
              <w:spacing w:after="0"/>
              <w:rPr>
                <w:sz w:val="1"/>
                <w:szCs w:val="1"/>
                <w:color w:val="auto"/>
              </w:rPr>
            </w:pPr>
          </w:p>
        </w:tc>
      </w:tr>
      <w:tr>
        <w:trPr>
          <w:trHeight w:val="162"/>
        </w:trPr>
        <w:tc>
          <w:tcPr>
            <w:tcW w:w="67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3"/>
              </w:rPr>
              <w:t>Adjustments to reconcile net income (loss) to net cash provided by (used for) operating</w:t>
            </w: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Recognition of accumulated foreign currency translation adjustment</w:t>
            </w:r>
          </w:p>
        </w:tc>
        <w:tc>
          <w:tcPr>
            <w:tcW w:w="140" w:type="dxa"/>
            <w:vAlign w:val="bottom"/>
          </w:tcPr>
          <w:p>
            <w:pPr>
              <w:spacing w:after="0"/>
              <w:rPr>
                <w:sz w:val="17"/>
                <w:szCs w:val="17"/>
                <w:color w:val="auto"/>
              </w:rPr>
            </w:pPr>
          </w:p>
        </w:tc>
        <w:tc>
          <w:tcPr>
            <w:tcW w:w="144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and write-off of deferred debt issuance costs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Impairment of assets</w:t>
            </w:r>
          </w:p>
        </w:tc>
        <w:tc>
          <w:tcPr>
            <w:tcW w:w="140" w:type="dxa"/>
            <w:vAlign w:val="bottom"/>
          </w:tcPr>
          <w:p>
            <w:pPr>
              <w:spacing w:after="0"/>
              <w:rPr>
                <w:sz w:val="17"/>
                <w:szCs w:val="17"/>
                <w:color w:val="auto"/>
              </w:rPr>
            </w:pPr>
          </w:p>
        </w:tc>
        <w:tc>
          <w:tcPr>
            <w:tcW w:w="14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(2,344 )</w:t>
            </w: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14,841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17,226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21,477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Stock compensation expense</w:t>
            </w: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1,446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Board of directors stock compensation</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4,306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(197 )</w:t>
            </w: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(1,174 )</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Inventories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17,392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7"/>
                <w:szCs w:val="17"/>
                <w:color w:val="auto"/>
              </w:rPr>
            </w:pPr>
          </w:p>
        </w:tc>
        <w:tc>
          <w:tcPr>
            <w:tcW w:w="14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(2,926 )</w:t>
            </w: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7,194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7"/>
                <w:szCs w:val="17"/>
                <w:color w:val="auto"/>
              </w:rPr>
            </w:pPr>
          </w:p>
        </w:tc>
        <w:tc>
          <w:tcPr>
            <w:tcW w:w="14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(1,926 )</w:t>
            </w:r>
          </w:p>
        </w:tc>
        <w:tc>
          <w:tcPr>
            <w:tcW w:w="140" w:type="dxa"/>
            <w:vAlign w:val="bottom"/>
          </w:tcPr>
          <w:p>
            <w:pPr>
              <w:spacing w:after="0"/>
              <w:rPr>
                <w:sz w:val="17"/>
                <w:szCs w:val="17"/>
                <w:color w:val="auto"/>
              </w:rPr>
            </w:pPr>
          </w:p>
        </w:tc>
        <w:tc>
          <w:tcPr>
            <w:tcW w:w="1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(4,672 )</w:t>
            </w: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(2,655 )</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Operating leases, net</w:t>
            </w: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(14,959 )</w:t>
            </w: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(2,440 )</w:t>
            </w: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(4,254 )</w:t>
            </w: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12,998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7,128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(4,658 )</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cash provided by (used for) operating activities</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75,541</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(1,228</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15,803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Additions to property and equipment, net</w:t>
            </w:r>
          </w:p>
        </w:tc>
        <w:tc>
          <w:tcPr>
            <w:tcW w:w="140" w:type="dxa"/>
            <w:vAlign w:val="bottom"/>
          </w:tcPr>
          <w:p>
            <w:pPr>
              <w:spacing w:after="0"/>
              <w:rPr>
                <w:sz w:val="17"/>
                <w:szCs w:val="17"/>
                <w:color w:val="auto"/>
              </w:rPr>
            </w:pPr>
          </w:p>
        </w:tc>
        <w:tc>
          <w:tcPr>
            <w:tcW w:w="14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(5,272 )</w:t>
            </w:r>
          </w:p>
        </w:tc>
        <w:tc>
          <w:tcPr>
            <w:tcW w:w="140" w:type="dxa"/>
            <w:vAlign w:val="bottom"/>
          </w:tcPr>
          <w:p>
            <w:pPr>
              <w:spacing w:after="0"/>
              <w:rPr>
                <w:sz w:val="17"/>
                <w:szCs w:val="17"/>
                <w:color w:val="auto"/>
              </w:rPr>
            </w:pPr>
          </w:p>
        </w:tc>
        <w:tc>
          <w:tcPr>
            <w:tcW w:w="1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(4,243 )</w:t>
            </w: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(13,399 )</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cash used for investing activities</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(5,272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(4,243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(13,399</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700" w:type="dxa"/>
            <w:vAlign w:val="bottom"/>
          </w:tcPr>
          <w:p>
            <w:pPr>
              <w:ind w:left="380"/>
              <w:spacing w:after="0" w:line="162" w:lineRule="exact"/>
              <w:rPr>
                <w:sz w:val="20"/>
                <w:szCs w:val="20"/>
                <w:color w:val="auto"/>
              </w:rPr>
            </w:pPr>
            <w:r>
              <w:rPr>
                <w:rFonts w:ascii="Arial" w:cs="Arial" w:eastAsia="Arial" w:hAnsi="Arial"/>
                <w:sz w:val="18"/>
                <w:szCs w:val="18"/>
                <w:color w:val="auto"/>
                <w:w w:val="94"/>
              </w:rPr>
              <w:t>Proceeds from issuance of common stock from private direct offering, net of offering</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4,375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38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Proceeds from new FILO loan</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Repayment of FILO loans</w:t>
            </w:r>
          </w:p>
        </w:tc>
        <w:tc>
          <w:tcPr>
            <w:tcW w:w="140" w:type="dxa"/>
            <w:vAlign w:val="bottom"/>
          </w:tcPr>
          <w:p>
            <w:pPr>
              <w:spacing w:after="0"/>
              <w:rPr>
                <w:sz w:val="17"/>
                <w:szCs w:val="17"/>
                <w:color w:val="auto"/>
              </w:rPr>
            </w:pPr>
          </w:p>
        </w:tc>
        <w:tc>
          <w:tcPr>
            <w:tcW w:w="14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(32,500 )</w:t>
            </w:r>
          </w:p>
        </w:tc>
        <w:tc>
          <w:tcPr>
            <w:tcW w:w="140" w:type="dxa"/>
            <w:vAlign w:val="bottom"/>
          </w:tcPr>
          <w:p>
            <w:pPr>
              <w:spacing w:after="0"/>
              <w:rPr>
                <w:sz w:val="17"/>
                <w:szCs w:val="17"/>
                <w:color w:val="auto"/>
              </w:rPr>
            </w:pPr>
          </w:p>
        </w:tc>
        <w:tc>
          <w:tcPr>
            <w:tcW w:w="1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Net borrowings (repayments) under credit facility</w:t>
            </w: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(59,733 )</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20,155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(2,690 )</w:t>
            </w: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Debt extinguishment costs</w:t>
            </w:r>
          </w:p>
        </w:tc>
        <w:tc>
          <w:tcPr>
            <w:tcW w:w="140" w:type="dxa"/>
            <w:vAlign w:val="bottom"/>
          </w:tcPr>
          <w:p>
            <w:pPr>
              <w:spacing w:after="0"/>
              <w:rPr>
                <w:sz w:val="17"/>
                <w:szCs w:val="17"/>
                <w:color w:val="auto"/>
              </w:rPr>
            </w:pPr>
          </w:p>
        </w:tc>
        <w:tc>
          <w:tcPr>
            <w:tcW w:w="14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(1,111 )</w:t>
            </w:r>
          </w:p>
        </w:tc>
        <w:tc>
          <w:tcPr>
            <w:tcW w:w="140" w:type="dxa"/>
            <w:vAlign w:val="bottom"/>
          </w:tcPr>
          <w:p>
            <w:pPr>
              <w:spacing w:after="0"/>
              <w:rPr>
                <w:sz w:val="17"/>
                <w:szCs w:val="17"/>
                <w:color w:val="auto"/>
              </w:rPr>
            </w:pPr>
          </w:p>
        </w:tc>
        <w:tc>
          <w:tcPr>
            <w:tcW w:w="1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(1,200 )</w:t>
            </w: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(25 )</w:t>
            </w: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776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Tax withholdings paid related to net share settlements</w:t>
            </w: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(1,867 )</w:t>
            </w: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Pr>
          <w:p>
            <w:pPr>
              <w:ind w:left="200"/>
              <w:spacing w:after="0" w:line="196" w:lineRule="exact"/>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Pr>
          <w:p>
            <w:pPr>
              <w:spacing w:after="0"/>
              <w:rPr>
                <w:sz w:val="17"/>
                <w:szCs w:val="17"/>
                <w:color w:val="auto"/>
              </w:rPr>
            </w:pPr>
          </w:p>
        </w:tc>
        <w:tc>
          <w:tcPr>
            <w:tcW w:w="144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(73,760 )</w:t>
            </w:r>
          </w:p>
        </w:tc>
        <w:tc>
          <w:tcPr>
            <w:tcW w:w="1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20,130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(2,934 )</w:t>
            </w: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(3,491</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14,659</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(530</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18,997</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4,338</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4,868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200"/>
              <w:spacing w:after="0" w:line="182" w:lineRule="exact"/>
              <w:rPr>
                <w:sz w:val="20"/>
                <w:szCs w:val="20"/>
                <w:color w:val="auto"/>
              </w:rPr>
            </w:pPr>
            <w:r>
              <w:rPr>
                <w:rFonts w:ascii="Arial" w:cs="Arial" w:eastAsia="Arial" w:hAnsi="Arial"/>
                <w:sz w:val="18"/>
                <w:szCs w:val="18"/>
                <w:color w:val="auto"/>
              </w:rPr>
              <w:t>End of period</w:t>
            </w: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15,506</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18,997</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-2628265</wp:posOffset>
            </wp:positionV>
            <wp:extent cx="5143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-2628265</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-2628265</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-2096770</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-2096770</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-2096770</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-690880</wp:posOffset>
            </wp:positionV>
            <wp:extent cx="5143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-690880</wp:posOffset>
            </wp:positionV>
            <wp:extent cx="5143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-690880</wp:posOffset>
            </wp:positionV>
            <wp:extent cx="5143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wp:posOffset>
            </wp:positionV>
            <wp:extent cx="5143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-159385</wp:posOffset>
            </wp:positionV>
            <wp:extent cx="514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41" w:name="page42"/>
    <w:bookmarkEnd w:id="41"/>
    <w:p>
      <w:pPr>
        <w:ind w:left="4260"/>
        <w:spacing w:after="0"/>
        <w:rPr>
          <w:sz w:val="20"/>
          <w:szCs w:val="20"/>
          <w:color w:val="auto"/>
        </w:rPr>
      </w:pPr>
      <w:r>
        <w:rPr>
          <w:rFonts w:ascii="Arial" w:cs="Arial" w:eastAsia="Arial" w:hAnsi="Arial"/>
          <w:sz w:val="18"/>
          <w:szCs w:val="18"/>
          <w:b w:val="1"/>
          <w:bCs w:val="1"/>
          <w:color w:val="auto"/>
        </w:rPr>
        <w:t>DESTINATION XL GROUP, INC.</w:t>
      </w:r>
    </w:p>
    <w:p>
      <w:pPr>
        <w:spacing w:after="0" w:line="14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JANUARY 29,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Destination XL Group, Inc. (collectively with its subsidiaries referred to as the “Company”) is the largest specialty retailer in the United States of big &amp; tall men’s clothing and shoes. The Company operates under the trade names of Destination XL</w:t>
      </w:r>
      <w:r>
        <w:rPr>
          <w:rFonts w:ascii="Arial" w:cs="Arial" w:eastAsia="Arial" w:hAnsi="Arial"/>
          <w:sz w:val="21"/>
          <w:szCs w:val="21"/>
          <w:color w:val="auto"/>
          <w:vertAlign w:val="superscript"/>
        </w:rPr>
        <w:t>®</w:t>
      </w:r>
      <w:r>
        <w:rPr>
          <w:rFonts w:ascii="Arial" w:cs="Arial" w:eastAsia="Arial" w:hAnsi="Arial"/>
          <w:sz w:val="16"/>
          <w:szCs w:val="16"/>
          <w:color w:val="auto"/>
        </w:rPr>
        <w:t>, DXL</w:t>
      </w:r>
      <w:r>
        <w:rPr>
          <w:rFonts w:ascii="Arial" w:cs="Arial" w:eastAsia="Arial" w:hAnsi="Arial"/>
          <w:sz w:val="21"/>
          <w:szCs w:val="21"/>
          <w:color w:val="auto"/>
          <w:vertAlign w:val="superscript"/>
        </w:rPr>
        <w:t>®</w:t>
      </w:r>
      <w:r>
        <w:rPr>
          <w:rFonts w:ascii="Arial" w:cs="Arial" w:eastAsia="Arial" w:hAnsi="Arial"/>
          <w:sz w:val="16"/>
          <w:szCs w:val="16"/>
          <w:color w:val="auto"/>
        </w:rPr>
        <w:t>, DXL Men’s Apparel, DXL Outlets</w:t>
      </w:r>
      <w:r>
        <w:rPr>
          <w:rFonts w:ascii="Arial" w:cs="Arial" w:eastAsia="Arial" w:hAnsi="Arial"/>
          <w:sz w:val="21"/>
          <w:szCs w:val="21"/>
          <w:color w:val="auto"/>
          <w:vertAlign w:val="superscript"/>
        </w:rPr>
        <w:t>®</w:t>
      </w:r>
      <w:r>
        <w:rPr>
          <w:rFonts w:ascii="Arial" w:cs="Arial" w:eastAsia="Arial" w:hAnsi="Arial"/>
          <w:sz w:val="16"/>
          <w:szCs w:val="16"/>
          <w:color w:val="auto"/>
        </w:rPr>
        <w:t>, Casual Male XL</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Casual Male XL Outlets. At January 29, 2022, the Company operated 220 DXL stores, 35 Casual Male XL stores, 19 Casual Male XL outlets and 16 DXL outlets located throughout the United States, including a store in Canada and an e-commerce site, www.dxl.com, and a mobile app.</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Impact of COVID-19 Pandemic on Business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11, 2020, the World Health Organization declared the current outbreak of a novel coronavirus disease (“COVID-19”) as a global pandemic. Because the pandemic had a material impact on the Company's business in fiscal 2020, results for fiscal 2021 may not be comparable to the results for fiscal 2020.</w:t>
      </w:r>
    </w:p>
    <w:p>
      <w:pPr>
        <w:spacing w:after="0" w:line="7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While there were positive signs of recovery in fiscal 2021, the duration and continuing impact of the COVID-19 pandemic and its variants on the global economy remains uncertain and could continue to have a material impact on the Company’s results of operations, financial condition and cash flows.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has three principal operating segments: its stores, direct and wholesale businesses. The Company considers its stores and direct operating segments to be similar in terms of economic characteristics, production processes and operations, and has therefore aggregated them into one reportable segment, retail segment, consistent with its omni-channel business approach. Due to the immateriality of the wholesale segment’s revenues, profits and assets, its operating results are aggregated with the retail segment for all periods.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Year</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fiscal year is a 52-week or 53-week period ending on the Saturday closest to January 31. Fiscal 2021, fiscal 2020, and fiscal 2019 were each 52-week periods, which ended on January 29, 2022, January 30, 2021 and February 1, 2020, respectively.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Accounts receivable primarily includes amounts due for rebates from certain vendors and amounts due from wholesale customers. For fiscal 2021, fiscal 2020 and fiscal 2019, the Company did not incur any losses on its accounts receivable.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42" w:name="page43"/>
    <w:bookmarkEnd w:id="42"/>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Accounting Standards Codification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of cash and cash equivalents, accounts receivable, accounts payable and accrued expenses approximate fair value because of the short maturity of these instruments.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and enhances disclosures about fair value measurements.</w:t>
      </w:r>
    </w:p>
    <w:p>
      <w:pPr>
        <w:spacing w:after="0" w:line="17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04"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below.</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Property and equipment are stated at cost. Major additions and improvements are capitalized while repairs and maintenance are charged to expense as incurred. Upon retirement or other disposition, the cost and related accumulated depreciation of the assets are removed from the accounts and the resulting gain or loss, if any, is reflected in the results of operations. Depreciation is computed on the straight-line method over the assets’ estimated useful lives as follows:</w:t>
      </w:r>
    </w:p>
    <w:p>
      <w:pPr>
        <w:sectPr>
          <w:pgSz w:w="11900" w:h="16838" w:orient="portrait"/>
          <w:cols w:equalWidth="0" w:num="1">
            <w:col w:w="11240"/>
          </w:cols>
          <w:pgMar w:left="320" w:top="571" w:right="339" w:bottom="1440" w:gutter="0" w:footer="0" w:header="0"/>
        </w:sectPr>
      </w:pP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Furniture and fixtures</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Equipment</w:t>
      </w:r>
    </w:p>
    <w:p>
      <w:pPr>
        <w:ind w:left="700"/>
        <w:spacing w:after="0"/>
        <w:rPr>
          <w:sz w:val="20"/>
          <w:szCs w:val="20"/>
          <w:color w:val="auto"/>
        </w:rPr>
      </w:pPr>
      <w:r>
        <w:rPr>
          <w:rFonts w:ascii="Arial" w:cs="Arial" w:eastAsia="Arial" w:hAnsi="Arial"/>
          <w:sz w:val="16"/>
          <w:szCs w:val="16"/>
          <w:color w:val="auto"/>
        </w:rPr>
        <w:t>Leasehold improvements</w:t>
      </w:r>
    </w:p>
    <w:p>
      <w:pPr>
        <w:spacing w:after="0" w:line="1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Hardware and software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rPr>
          <w:sz w:val="20"/>
          <w:szCs w:val="20"/>
          <w:color w:val="auto"/>
        </w:rPr>
      </w:pPr>
      <w:r>
        <w:rPr>
          <w:rFonts w:ascii="Arial" w:cs="Arial" w:eastAsia="Arial" w:hAnsi="Arial"/>
          <w:sz w:val="16"/>
          <w:szCs w:val="16"/>
          <w:color w:val="auto"/>
        </w:rPr>
        <w:t>Lesser of useful lives or related lease term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196" w:lineRule="exact"/>
        <w:rPr>
          <w:sz w:val="20"/>
          <w:szCs w:val="20"/>
          <w:color w:val="auto"/>
        </w:rPr>
      </w:pPr>
    </w:p>
    <w:p>
      <w:pPr>
        <w:sectPr>
          <w:pgSz w:w="11900" w:h="16838" w:orient="portrait"/>
          <w:cols w:equalWidth="0" w:num="2">
            <w:col w:w="5380" w:space="720"/>
            <w:col w:w="5140"/>
          </w:cols>
          <w:pgMar w:left="320" w:top="571" w:right="339" w:bottom="1440" w:gutter="0" w:footer="0" w:header="0"/>
          <w:type w:val="continuous"/>
        </w:sectPr>
      </w:pPr>
    </w:p>
    <w:p>
      <w:pPr>
        <w:ind w:left="300"/>
        <w:spacing w:after="0"/>
        <w:rPr>
          <w:sz w:val="20"/>
          <w:szCs w:val="20"/>
          <w:color w:val="auto"/>
        </w:rPr>
      </w:pPr>
      <w:r>
        <w:rPr>
          <w:rFonts w:ascii="Arial" w:cs="Arial" w:eastAsia="Arial" w:hAnsi="Arial"/>
          <w:sz w:val="18"/>
          <w:szCs w:val="18"/>
          <w:b w:val="1"/>
          <w:bCs w:val="1"/>
          <w:i w:val="1"/>
          <w:iCs w:val="1"/>
          <w:color w:val="auto"/>
        </w:rPr>
        <w:t>Intangibles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Domain Name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fiscal 2018, the Company purchased the rights to the domain name “dxl.com.” The domain name has a carrying value of $1.2 million and is considered an indefinite-lived asset. At each reporting period, management analyzes current events and circumstances to determine whether the indefinite life classification continues to be valid. At least annually, during the fourth quarter or whenever events or changes in circumstances indicate the carrying value may not be fully recoverable, the intangible is assessed for impairment using a quantitative impairment model. In the fourth quarter of fiscal 2021, the domain name was assessed for potential impairment and the Company concluded that the domain name was not impaired.</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43" w:name="page44"/>
    <w:bookmarkEnd w:id="43"/>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expenses in-store advertising costs as incurred. Television advertising costs, if any, are expensed in the period in which the advertising is first aired. Direct response advertising costs, if any, are deferred and amortized over the period of expected direct marketing revenues, which is less than one year. There were no deferred direct response costs at January 29, 2022 and January 30, 2021. Advertising expense, which is included in selling, general and administrative expenses, was $24.0 million, $11.9 million and $22.9 million for fiscal 2021, 2020 and 2019, respectively.</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accounting policies with respect to revenue recognition are discussed in Note B,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January 29, 2022, the Company had one store located in Toronto, Canada. Assets and liabilities for this store were translated into U.S. dollars at the exchange rates in effect at each balance sheet date. Stockholders’ equity (deficit) was translated at applicable historical exchange rates. Income, expense and cash flow items were translated at average exchange rates during the period. Resulting translation adjustments were reported as a separate component of stockholders’ equity (deficit). The Company's store in Toronto, Canada was closed subsequent to the end of fiscal 2021.</w:t>
      </w:r>
    </w:p>
    <w:p>
      <w:pPr>
        <w:spacing w:after="0" w:line="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fiscal 2019, the Company closed its Rochester Clothing store in London, England. In connection with exiting its operations in England, the Company recognized a total charge of $1.7 million, which included the recognition of the associated accumulated foreign currency translation adjustment of $0.8 million as an expense in fiscal 2019. See “</w:t>
      </w:r>
      <w:r>
        <w:rPr>
          <w:rFonts w:ascii="Arial" w:cs="Arial" w:eastAsia="Arial" w:hAnsi="Arial"/>
          <w:sz w:val="18"/>
          <w:szCs w:val="18"/>
          <w:i w:val="1"/>
          <w:iCs w:val="1"/>
          <w:color w:val="auto"/>
        </w:rPr>
        <w:t>Accumulated Other Comprehensive Income (Loss) – (“AOCI”)</w:t>
      </w:r>
      <w:r>
        <w:rPr>
          <w:rFonts w:ascii="Arial" w:cs="Arial" w:eastAsia="Arial" w:hAnsi="Arial"/>
          <w:sz w:val="18"/>
          <w:szCs w:val="18"/>
          <w:color w:val="auto"/>
        </w:rPr>
        <w:t>” below. The remainder of the charge primarily related to lease termination and inventory liquidation costs.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04"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(loss) and reclassifications from AOCI for fiscal 2021, fiscal 2020 and fiscal 2019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color w:val="auto"/>
                <w:w w:val="94"/>
              </w:rPr>
              <w:t>Fiscal 2021</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color w:val="auto"/>
                <w:w w:val="94"/>
              </w:rPr>
              <w:t>Fiscal 2020</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Fiscal 2019</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780" w:type="dxa"/>
            <w:vAlign w:val="bottom"/>
            <w:gridSpan w:val="2"/>
            <w:vMerge w:val="restart"/>
          </w:tcPr>
          <w:p>
            <w:pPr>
              <w:jc w:val="right"/>
              <w:ind w:right="219"/>
              <w:spacing w:after="0"/>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4"/>
                <w:szCs w:val="14"/>
                <w:color w:val="auto"/>
              </w:rPr>
            </w:pPr>
          </w:p>
        </w:tc>
        <w:tc>
          <w:tcPr>
            <w:tcW w:w="820" w:type="dxa"/>
            <w:vAlign w:val="bottom"/>
            <w:gridSpan w:val="2"/>
            <w:vMerge w:val="restart"/>
          </w:tcPr>
          <w:p>
            <w:pPr>
              <w:jc w:val="center"/>
              <w:ind w:right="179"/>
              <w:spacing w:after="0"/>
              <w:rPr>
                <w:sz w:val="20"/>
                <w:szCs w:val="20"/>
                <w:color w:val="auto"/>
              </w:rPr>
            </w:pPr>
            <w:r>
              <w:rPr>
                <w:rFonts w:ascii="Arial" w:cs="Arial" w:eastAsia="Arial" w:hAnsi="Arial"/>
                <w:sz w:val="14"/>
                <w:szCs w:val="14"/>
                <w:color w:val="auto"/>
                <w:w w:val="92"/>
              </w:rPr>
              <w:t>Foreign</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259"/>
              <w:spacing w:after="0"/>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4"/>
                <w:szCs w:val="14"/>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2"/>
              </w:rPr>
              <w:t>Foreign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219"/>
              <w:spacing w:after="0"/>
              <w:rPr>
                <w:sz w:val="20"/>
                <w:szCs w:val="20"/>
                <w:color w:val="auto"/>
              </w:rPr>
            </w:pPr>
            <w:r>
              <w:rPr>
                <w:rFonts w:ascii="Arial" w:cs="Arial" w:eastAsia="Arial" w:hAnsi="Arial"/>
                <w:sz w:val="14"/>
                <w:szCs w:val="14"/>
                <w:color w:val="auto"/>
                <w:w w:val="90"/>
              </w:rPr>
              <w:t>Pension</w:t>
            </w:r>
          </w:p>
        </w:tc>
        <w:tc>
          <w:tcPr>
            <w:tcW w:w="80" w:type="dxa"/>
            <w:vAlign w:val="bottom"/>
          </w:tcPr>
          <w:p>
            <w:pPr>
              <w:spacing w:after="0"/>
              <w:rPr>
                <w:sz w:val="14"/>
                <w:szCs w:val="14"/>
                <w:color w:val="auto"/>
              </w:rPr>
            </w:pPr>
          </w:p>
        </w:tc>
        <w:tc>
          <w:tcPr>
            <w:tcW w:w="800" w:type="dxa"/>
            <w:vAlign w:val="bottom"/>
            <w:gridSpan w:val="2"/>
            <w:vMerge w:val="restart"/>
          </w:tcPr>
          <w:p>
            <w:pPr>
              <w:jc w:val="right"/>
              <w:ind w:right="239"/>
              <w:spacing w:after="0"/>
              <w:rPr>
                <w:sz w:val="20"/>
                <w:szCs w:val="20"/>
                <w:color w:val="auto"/>
              </w:rPr>
            </w:pPr>
            <w:r>
              <w:rPr>
                <w:rFonts w:ascii="Arial" w:cs="Arial" w:eastAsia="Arial" w:hAnsi="Arial"/>
                <w:sz w:val="14"/>
                <w:szCs w:val="14"/>
                <w:color w:val="auto"/>
                <w:w w:val="96"/>
              </w:rPr>
              <w:t>Foreign</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99"/>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5"/>
                <w:szCs w:val="15"/>
                <w:color w:val="auto"/>
              </w:rPr>
            </w:pPr>
          </w:p>
        </w:tc>
        <w:tc>
          <w:tcPr>
            <w:tcW w:w="820" w:type="dxa"/>
            <w:vAlign w:val="bottom"/>
            <w:gridSpan w:val="2"/>
          </w:tcPr>
          <w:p>
            <w:pPr>
              <w:jc w:val="center"/>
              <w:ind w:right="159"/>
              <w:spacing w:after="0"/>
              <w:rPr>
                <w:sz w:val="20"/>
                <w:szCs w:val="20"/>
                <w:color w:val="auto"/>
              </w:rPr>
            </w:pPr>
            <w:r>
              <w:rPr>
                <w:rFonts w:ascii="Arial" w:cs="Arial" w:eastAsia="Arial" w:hAnsi="Arial"/>
                <w:sz w:val="14"/>
                <w:szCs w:val="14"/>
                <w:color w:val="auto"/>
                <w:w w:val="95"/>
              </w:rPr>
              <w:t>Currency</w:t>
            </w:r>
          </w:p>
        </w:tc>
        <w:tc>
          <w:tcPr>
            <w:tcW w:w="160" w:type="dxa"/>
            <w:vAlign w:val="bottom"/>
          </w:tcPr>
          <w:p>
            <w:pPr>
              <w:spacing w:after="0"/>
              <w:rPr>
                <w:sz w:val="15"/>
                <w:szCs w:val="15"/>
                <w:color w:val="auto"/>
              </w:rPr>
            </w:pPr>
          </w:p>
        </w:tc>
        <w:tc>
          <w:tcPr>
            <w:tcW w:w="780" w:type="dxa"/>
            <w:vAlign w:val="bottom"/>
            <w:gridSpan w:val="2"/>
          </w:tcPr>
          <w:p>
            <w:pPr>
              <w:jc w:val="right"/>
              <w:ind w:right="339"/>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5"/>
                <w:szCs w:val="15"/>
                <w:color w:val="auto"/>
              </w:rPr>
            </w:pPr>
          </w:p>
        </w:tc>
        <w:tc>
          <w:tcPr>
            <w:tcW w:w="820" w:type="dxa"/>
            <w:vAlign w:val="bottom"/>
            <w:gridSpan w:val="2"/>
          </w:tcPr>
          <w:p>
            <w:pPr>
              <w:jc w:val="right"/>
              <w:ind w:right="319"/>
              <w:spacing w:after="0"/>
              <w:rPr>
                <w:sz w:val="20"/>
                <w:szCs w:val="20"/>
                <w:color w:val="auto"/>
              </w:rPr>
            </w:pPr>
            <w:r>
              <w:rPr>
                <w:rFonts w:ascii="Arial" w:cs="Arial" w:eastAsia="Arial" w:hAnsi="Arial"/>
                <w:sz w:val="14"/>
                <w:szCs w:val="14"/>
                <w:color w:val="auto"/>
              </w:rPr>
              <w:t>Plans</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Currency</w:t>
            </w:r>
          </w:p>
        </w:tc>
        <w:tc>
          <w:tcPr>
            <w:tcW w:w="180" w:type="dxa"/>
            <w:vAlign w:val="bottom"/>
          </w:tcPr>
          <w:p>
            <w:pPr>
              <w:spacing w:after="0"/>
              <w:rPr>
                <w:sz w:val="15"/>
                <w:szCs w:val="15"/>
                <w:color w:val="auto"/>
              </w:rPr>
            </w:pPr>
          </w:p>
        </w:tc>
        <w:tc>
          <w:tcPr>
            <w:tcW w:w="760" w:type="dxa"/>
            <w:vAlign w:val="bottom"/>
            <w:gridSpan w:val="2"/>
          </w:tcPr>
          <w:p>
            <w:pPr>
              <w:jc w:val="right"/>
              <w:ind w:right="319"/>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5"/>
                <w:szCs w:val="15"/>
                <w:color w:val="auto"/>
              </w:rPr>
            </w:pPr>
          </w:p>
        </w:tc>
        <w:tc>
          <w:tcPr>
            <w:tcW w:w="780" w:type="dxa"/>
            <w:vAlign w:val="bottom"/>
            <w:gridSpan w:val="2"/>
          </w:tcPr>
          <w:p>
            <w:pPr>
              <w:jc w:val="right"/>
              <w:ind w:right="299"/>
              <w:spacing w:after="0"/>
              <w:rPr>
                <w:sz w:val="20"/>
                <w:szCs w:val="20"/>
                <w:color w:val="auto"/>
              </w:rPr>
            </w:pPr>
            <w:r>
              <w:rPr>
                <w:rFonts w:ascii="Arial" w:cs="Arial" w:eastAsia="Arial" w:hAnsi="Arial"/>
                <w:sz w:val="14"/>
                <w:szCs w:val="14"/>
                <w:color w:val="auto"/>
              </w:rPr>
              <w:t>Plans</w:t>
            </w:r>
          </w:p>
        </w:tc>
        <w:tc>
          <w:tcPr>
            <w:tcW w:w="80" w:type="dxa"/>
            <w:vAlign w:val="bottom"/>
          </w:tcPr>
          <w:p>
            <w:pPr>
              <w:spacing w:after="0"/>
              <w:rPr>
                <w:sz w:val="15"/>
                <w:szCs w:val="15"/>
                <w:color w:val="auto"/>
              </w:rPr>
            </w:pPr>
          </w:p>
        </w:tc>
        <w:tc>
          <w:tcPr>
            <w:tcW w:w="800" w:type="dxa"/>
            <w:vAlign w:val="bottom"/>
            <w:gridSpan w:val="2"/>
          </w:tcPr>
          <w:p>
            <w:pPr>
              <w:jc w:val="right"/>
              <w:ind w:right="179"/>
              <w:spacing w:after="0"/>
              <w:rPr>
                <w:sz w:val="20"/>
                <w:szCs w:val="20"/>
                <w:color w:val="auto"/>
              </w:rPr>
            </w:pPr>
            <w:r>
              <w:rPr>
                <w:rFonts w:ascii="Arial" w:cs="Arial" w:eastAsia="Arial" w:hAnsi="Arial"/>
                <w:sz w:val="14"/>
                <w:szCs w:val="14"/>
                <w:color w:val="auto"/>
                <w:w w:val="91"/>
              </w:rPr>
              <w:t>Currency</w:t>
            </w:r>
          </w:p>
        </w:tc>
        <w:tc>
          <w:tcPr>
            <w:tcW w:w="160" w:type="dxa"/>
            <w:vAlign w:val="bottom"/>
          </w:tcPr>
          <w:p>
            <w:pPr>
              <w:spacing w:after="0"/>
              <w:rPr>
                <w:sz w:val="15"/>
                <w:szCs w:val="15"/>
                <w:color w:val="auto"/>
              </w:rPr>
            </w:pPr>
          </w:p>
        </w:tc>
        <w:tc>
          <w:tcPr>
            <w:tcW w:w="640" w:type="dxa"/>
            <w:vAlign w:val="bottom"/>
            <w:gridSpan w:val="2"/>
          </w:tcPr>
          <w:p>
            <w:pPr>
              <w:jc w:val="right"/>
              <w:ind w:right="19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0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beginning of fiscal year</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(6,224</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(6,221</w:t>
            </w:r>
          </w:p>
        </w:tc>
        <w:tc>
          <w:tcPr>
            <w:tcW w:w="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(6,478</w:t>
            </w:r>
          </w:p>
        </w:tc>
        <w:tc>
          <w:tcPr>
            <w:tcW w:w="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w:t>
            </w:r>
          </w:p>
        </w:tc>
        <w:tc>
          <w:tcPr>
            <w:tcW w:w="1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(6,431</w:t>
            </w:r>
          </w:p>
        </w:tc>
        <w:tc>
          <w:tcPr>
            <w:tcW w:w="1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(5,521</w:t>
            </w:r>
          </w:p>
        </w:tc>
        <w:tc>
          <w:tcPr>
            <w:tcW w:w="1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(662</w:t>
            </w:r>
          </w:p>
        </w:tc>
        <w:tc>
          <w:tcPr>
            <w:tcW w:w="1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(6,183</w:t>
            </w:r>
          </w:p>
        </w:tc>
        <w:tc>
          <w:tcPr>
            <w:tcW w:w="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Other comprehensive income (loss)</w:t>
            </w:r>
          </w:p>
        </w:tc>
        <w:tc>
          <w:tcPr>
            <w:tcW w:w="12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799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(62 )</w:t>
            </w:r>
          </w:p>
        </w:tc>
        <w:tc>
          <w:tcPr>
            <w:tcW w:w="16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(428 )</w:t>
            </w: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(44 )</w:t>
            </w:r>
          </w:p>
        </w:tc>
        <w:tc>
          <w:tcPr>
            <w:tcW w:w="180" w:type="dxa"/>
            <w:vAlign w:val="bottom"/>
            <w:shd w:val="clear" w:color="auto" w:fill="CFF0FC"/>
          </w:tcPr>
          <w:p>
            <w:pPr>
              <w:spacing w:after="0"/>
              <w:rPr>
                <w:sz w:val="13"/>
                <w:szCs w:val="13"/>
                <w:color w:val="auto"/>
              </w:rPr>
            </w:pPr>
          </w:p>
        </w:tc>
        <w:tc>
          <w:tcPr>
            <w:tcW w:w="76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(472 )</w:t>
            </w:r>
          </w:p>
        </w:tc>
        <w:tc>
          <w:tcPr>
            <w:tcW w:w="12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(1,598 )</w:t>
            </w:r>
          </w:p>
        </w:tc>
        <w:tc>
          <w:tcPr>
            <w:tcW w:w="80" w:type="dxa"/>
            <w:vAlign w:val="bottom"/>
            <w:shd w:val="clear" w:color="auto" w:fill="CFF0FC"/>
          </w:tcPr>
          <w:p>
            <w:pPr>
              <w:spacing w:after="0"/>
              <w:rPr>
                <w:sz w:val="13"/>
                <w:szCs w:val="13"/>
                <w:color w:val="auto"/>
              </w:rPr>
            </w:pPr>
          </w:p>
        </w:tc>
        <w:tc>
          <w:tcPr>
            <w:tcW w:w="80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(83 )</w:t>
            </w:r>
          </w:p>
        </w:tc>
        <w:tc>
          <w:tcPr>
            <w:tcW w:w="160" w:type="dxa"/>
            <w:vAlign w:val="bottom"/>
            <w:shd w:val="clear" w:color="auto" w:fill="CFF0FC"/>
          </w:tcPr>
          <w:p>
            <w:pPr>
              <w:spacing w:after="0"/>
              <w:rPr>
                <w:sz w:val="13"/>
                <w:szCs w:val="13"/>
                <w:color w:val="auto"/>
              </w:rPr>
            </w:pPr>
          </w:p>
        </w:tc>
        <w:tc>
          <w:tcPr>
            <w:tcW w:w="6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(1,681 )</w:t>
            </w:r>
          </w:p>
        </w:tc>
        <w:tc>
          <w:tcPr>
            <w:tcW w:w="0" w:type="dxa"/>
            <w:vAlign w:val="bottom"/>
          </w:tcPr>
          <w:p>
            <w:pPr>
              <w:spacing w:after="0"/>
              <w:rPr>
                <w:sz w:val="1"/>
                <w:szCs w:val="1"/>
                <w:color w:val="auto"/>
              </w:rPr>
            </w:pPr>
          </w:p>
        </w:tc>
      </w:tr>
      <w:tr>
        <w:trPr>
          <w:trHeight w:val="199"/>
        </w:trPr>
        <w:tc>
          <w:tcPr>
            <w:tcW w:w="3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before reclassifications, net of taxes</w:t>
            </w:r>
          </w:p>
        </w:tc>
        <w:tc>
          <w:tcPr>
            <w:tcW w:w="12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FF0FC"/>
          </w:tcPr>
          <w:p>
            <w:pPr>
              <w:ind w:left="20"/>
              <w:spacing w:after="0" w:line="148" w:lineRule="exact"/>
              <w:rPr>
                <w:sz w:val="20"/>
                <w:szCs w:val="20"/>
                <w:color w:val="auto"/>
              </w:rPr>
            </w:pPr>
            <w:r>
              <w:rPr>
                <w:rFonts w:ascii="Arial" w:cs="Arial" w:eastAsia="Arial" w:hAnsi="Arial"/>
                <w:sz w:val="16"/>
                <w:szCs w:val="16"/>
                <w:color w:val="auto"/>
                <w:w w:val="96"/>
              </w:rPr>
              <w:t>Recognition of accumulated foreign currency</w:t>
            </w: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792</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792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ind w:left="20"/>
              <w:spacing w:after="0" w:line="203" w:lineRule="exact"/>
              <w:rPr>
                <w:sz w:val="20"/>
                <w:szCs w:val="20"/>
                <w:color w:val="auto"/>
              </w:rPr>
            </w:pPr>
            <w:r>
              <w:rPr>
                <w:rFonts w:ascii="Arial" w:cs="Arial" w:eastAsia="Arial" w:hAnsi="Arial"/>
                <w:sz w:val="16"/>
                <w:szCs w:val="16"/>
                <w:color w:val="auto"/>
              </w:rPr>
              <w:t xml:space="preserve">translation adjustment </w:t>
            </w:r>
            <w:r>
              <w:rPr>
                <w:rFonts w:ascii="Arial" w:cs="Arial" w:eastAsia="Arial" w:hAnsi="Arial"/>
                <w:sz w:val="21"/>
                <w:szCs w:val="21"/>
                <w:color w:val="auto"/>
                <w:vertAlign w:val="superscript"/>
              </w:rPr>
              <w:t>(1)</w:t>
            </w:r>
          </w:p>
        </w:tc>
        <w:tc>
          <w:tcPr>
            <w:tcW w:w="12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Amounts reclassified from accumulated</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140"/>
              <w:spacing w:after="0" w:line="158" w:lineRule="exact"/>
              <w:rPr>
                <w:sz w:val="20"/>
                <w:szCs w:val="20"/>
                <w:color w:val="auto"/>
              </w:rPr>
            </w:pPr>
            <w:r>
              <w:rPr>
                <w:rFonts w:ascii="Arial" w:cs="Arial" w:eastAsia="Arial" w:hAnsi="Arial"/>
                <w:sz w:val="16"/>
                <w:szCs w:val="16"/>
                <w:color w:val="auto"/>
              </w:rPr>
              <w:t>other comprehensive income (loss),</w:t>
            </w:r>
          </w:p>
        </w:tc>
        <w:tc>
          <w:tcPr>
            <w:tcW w:w="12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(41 )</w:t>
            </w:r>
          </w:p>
        </w:tc>
        <w:tc>
          <w:tcPr>
            <w:tcW w:w="10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682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682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FF0FC"/>
          </w:tcPr>
          <w:p>
            <w:pPr>
              <w:ind w:left="140"/>
              <w:spacing w:after="0" w:line="189" w:lineRule="exact"/>
              <w:rPr>
                <w:sz w:val="20"/>
                <w:szCs w:val="20"/>
                <w:color w:val="auto"/>
              </w:rPr>
            </w:pPr>
            <w:r>
              <w:rPr>
                <w:rFonts w:ascii="Arial" w:cs="Arial" w:eastAsia="Arial" w:hAnsi="Arial"/>
                <w:sz w:val="16"/>
                <w:szCs w:val="16"/>
                <w:color w:val="auto"/>
              </w:rPr>
              <w:t xml:space="preserve">net of taxes </w:t>
            </w:r>
            <w:r>
              <w:rPr>
                <w:rFonts w:ascii="Arial" w:cs="Arial" w:eastAsia="Arial" w:hAnsi="Arial"/>
                <w:sz w:val="21"/>
                <w:szCs w:val="21"/>
                <w:color w:val="auto"/>
                <w:vertAlign w:val="superscript"/>
              </w:rPr>
              <w:t>(2)</w:t>
            </w: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0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(62 )</w:t>
            </w:r>
          </w:p>
        </w:tc>
        <w:tc>
          <w:tcPr>
            <w:tcW w:w="16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(44 )</w:t>
            </w:r>
          </w:p>
        </w:tc>
        <w:tc>
          <w:tcPr>
            <w:tcW w:w="180" w:type="dxa"/>
            <w:vAlign w:val="bottom"/>
            <w:shd w:val="clear" w:color="auto" w:fill="CFF0FC"/>
          </w:tcPr>
          <w:p>
            <w:pPr>
              <w:spacing w:after="0"/>
              <w:rPr>
                <w:sz w:val="13"/>
                <w:szCs w:val="1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(957 )</w:t>
            </w:r>
          </w:p>
        </w:tc>
        <w:tc>
          <w:tcPr>
            <w:tcW w:w="8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709</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199"/>
        </w:trPr>
        <w:tc>
          <w:tcPr>
            <w:tcW w:w="3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(loss) for the period</w:t>
            </w:r>
          </w:p>
        </w:tc>
        <w:tc>
          <w:tcPr>
            <w:tcW w:w="12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Balance at end of fiscal year</w:t>
            </w: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(5,466</w:t>
            </w:r>
          </w:p>
        </w:tc>
        <w:tc>
          <w:tcPr>
            <w:tcW w:w="160" w:type="dxa"/>
            <w:vAlign w:val="bottom"/>
            <w:tcBorders>
              <w:top w:val="single" w:sz="8" w:color="CFF0FC"/>
              <w:bottom w:val="single" w:sz="8" w:color="CFF0FC"/>
            </w:tcBorders>
            <w:shd w:val="clear" w:color="auto" w:fill="CFF0FC"/>
          </w:tcPr>
          <w:p>
            <w:pPr>
              <w:jc w:val="right"/>
              <w:spacing w:after="0" w:line="16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(59</w:t>
            </w:r>
          </w:p>
        </w:tc>
        <w:tc>
          <w:tcPr>
            <w:tcW w:w="160" w:type="dxa"/>
            <w:vAlign w:val="bottom"/>
            <w:tcBorders>
              <w:top w:val="single" w:sz="8" w:color="CFF0FC"/>
              <w:bottom w:val="single" w:sz="8" w:color="CFF0FC"/>
            </w:tcBorders>
            <w:shd w:val="clear" w:color="auto" w:fill="CFF0FC"/>
          </w:tcPr>
          <w:p>
            <w:pPr>
              <w:jc w:val="right"/>
              <w:ind w:right="19"/>
              <w:spacing w:after="0" w:line="162" w:lineRule="exact"/>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(5,525</w:t>
            </w:r>
          </w:p>
        </w:tc>
        <w:tc>
          <w:tcPr>
            <w:tcW w:w="180" w:type="dxa"/>
            <w:vAlign w:val="bottom"/>
            <w:tcBorders>
              <w:top w:val="single" w:sz="8" w:color="CFF0FC"/>
              <w:bottom w:val="single" w:sz="8" w:color="CFF0FC"/>
            </w:tcBorders>
            <w:shd w:val="clear" w:color="auto" w:fill="CFF0FC"/>
          </w:tcPr>
          <w:p>
            <w:pPr>
              <w:jc w:val="right"/>
              <w:ind w:right="39"/>
              <w:spacing w:after="0" w:line="162"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(6,224</w:t>
            </w:r>
          </w:p>
        </w:tc>
        <w:tc>
          <w:tcPr>
            <w:tcW w:w="180" w:type="dxa"/>
            <w:vAlign w:val="bottom"/>
            <w:tcBorders>
              <w:top w:val="single" w:sz="8" w:color="CFF0FC"/>
              <w:bottom w:val="single" w:sz="8" w:color="CFF0FC"/>
            </w:tcBorders>
            <w:shd w:val="clear" w:color="auto" w:fill="CFF0FC"/>
          </w:tcPr>
          <w:p>
            <w:pPr>
              <w:jc w:val="right"/>
              <w:ind w:right="39"/>
              <w:spacing w:after="0" w:line="162"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(6,221</w:t>
            </w:r>
          </w:p>
        </w:tc>
        <w:tc>
          <w:tcPr>
            <w:tcW w:w="180" w:type="dxa"/>
            <w:vAlign w:val="bottom"/>
            <w:tcBorders>
              <w:top w:val="single" w:sz="8" w:color="CFF0FC"/>
              <w:bottom w:val="single" w:sz="8" w:color="CFF0FC"/>
            </w:tcBorders>
            <w:shd w:val="clear" w:color="auto" w:fill="CFF0FC"/>
          </w:tcPr>
          <w:p>
            <w:pPr>
              <w:jc w:val="right"/>
              <w:ind w:right="19"/>
              <w:spacing w:after="0" w:line="162"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(6,478</w:t>
            </w:r>
          </w:p>
        </w:tc>
        <w:tc>
          <w:tcPr>
            <w:tcW w:w="160" w:type="dxa"/>
            <w:vAlign w:val="bottom"/>
            <w:tcBorders>
              <w:top w:val="single" w:sz="8" w:color="CFF0FC"/>
              <w:bottom w:val="single" w:sz="8" w:color="CFF0FC"/>
            </w:tcBorders>
            <w:shd w:val="clear" w:color="auto" w:fill="CFF0FC"/>
          </w:tcPr>
          <w:p>
            <w:pPr>
              <w:jc w:val="right"/>
              <w:ind w:right="19"/>
              <w:spacing w:after="0" w:line="162"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(6,431</w:t>
            </w:r>
          </w:p>
        </w:tc>
        <w:tc>
          <w:tcPr>
            <w:tcW w:w="60" w:type="dxa"/>
            <w:vAlign w:val="bottom"/>
            <w:tcBorders>
              <w:top w:val="single" w:sz="8" w:color="CFF0FC"/>
              <w:bottom w:val="single" w:sz="8" w:color="CFF0FC"/>
            </w:tcBorders>
            <w:shd w:val="clear" w:color="auto" w:fill="CFF0FC"/>
          </w:tcPr>
          <w:p>
            <w:pPr>
              <w:jc w:val="right"/>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-622300</wp:posOffset>
            </wp:positionV>
            <wp:extent cx="5143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-622300</wp:posOffset>
            </wp:positionV>
            <wp:extent cx="514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-622300</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-622300</wp:posOffset>
            </wp:positionV>
            <wp:extent cx="5143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-622300</wp:posOffset>
            </wp:positionV>
            <wp:extent cx="514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-622300</wp:posOffset>
            </wp:positionV>
            <wp:extent cx="5143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-622300</wp:posOffset>
            </wp:positionV>
            <wp:extent cx="431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-622300</wp:posOffset>
            </wp:positionV>
            <wp:extent cx="431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-622300</wp:posOffset>
            </wp:positionV>
            <wp:extent cx="431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-24765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-153670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-24765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-153670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-153670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-153670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-153670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-153670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43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-153670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-24765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-7620</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-153670</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-153670</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jc w:val="both"/>
        <w:ind w:left="520" w:hanging="512"/>
        <w:spacing w:after="0" w:line="245"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Company’s closing of its Rochester Clothing store in London, England and exiting its London operations, the Company recognized the accumulated foreign currency translation adjustment as an expense and it was included in “Exit costs associated with London operations” on the Consolidated Statement of Operations for fiscal 2019.</w:t>
      </w:r>
    </w:p>
    <w:p>
      <w:pPr>
        <w:spacing w:after="0" w:line="1" w:lineRule="exact"/>
        <w:rPr>
          <w:rFonts w:ascii="Arial" w:cs="Arial" w:eastAsia="Arial" w:hAnsi="Arial"/>
          <w:sz w:val="18"/>
          <w:szCs w:val="18"/>
          <w:color w:val="auto"/>
        </w:rPr>
      </w:pPr>
    </w:p>
    <w:p>
      <w:pPr>
        <w:jc w:val="both"/>
        <w:ind w:left="520" w:hanging="512"/>
        <w:spacing w:after="0" w:line="283"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$682,000 and $641,000 for fiscal 2020 and fiscal 2019, respectively. For fiscal 2021, the Company recognized income of $41,000, as a result of a change in amortization from average remaining future service to average remaining lifetime. There was no related tax effect for any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4" w:name="page45"/>
    <w:bookmarkEnd w:id="44"/>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in amounts that were material to its results of operations for fiscal 2021, fiscal 2020 and fiscal 2019.</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3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Basic earnings per share are computed by dividing net income (loss) by the weighted average number of shares of common stock outstanding during the respective period. Diluted earnings per share is determined by giving effect to unvested shares of restricted stock, deferred stock and restricted stock units (RSUs) and the exercise of stock options using the treasury stock method. The following table provides a reconciliation of the number of shares outstanding for basic and diluted earnings per share: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gridSpan w:val="3"/>
          </w:tcPr>
          <w:p>
            <w:pPr>
              <w:jc w:val="center"/>
              <w:ind w:right="20"/>
              <w:spacing w:after="0"/>
              <w:rPr>
                <w:sz w:val="20"/>
                <w:szCs w:val="20"/>
                <w:color w:val="auto"/>
              </w:rPr>
            </w:pPr>
            <w:r>
              <w:rPr>
                <w:rFonts w:ascii="Arial" w:cs="Arial" w:eastAsia="Arial" w:hAnsi="Arial"/>
                <w:sz w:val="14"/>
                <w:szCs w:val="14"/>
                <w:color w:val="auto"/>
                <w:w w:val="99"/>
              </w:rPr>
              <w:t>FISCAL YEARS ENDED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Pr>
          <w:p>
            <w:pPr>
              <w:spacing w:after="0"/>
              <w:rPr>
                <w:sz w:val="15"/>
                <w:szCs w:val="15"/>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color w:val="auto"/>
              </w:rPr>
              <w:t>January 29, 2022</w:t>
            </w:r>
          </w:p>
        </w:tc>
        <w:tc>
          <w:tcPr>
            <w:tcW w:w="26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January 30, 2021</w:t>
            </w:r>
          </w:p>
        </w:tc>
        <w:tc>
          <w:tcPr>
            <w:tcW w:w="1340" w:type="dxa"/>
            <w:vAlign w:val="bottom"/>
          </w:tcPr>
          <w:p>
            <w:pPr>
              <w:jc w:val="right"/>
              <w:ind w:right="95"/>
              <w:spacing w:after="0"/>
              <w:rPr>
                <w:sz w:val="20"/>
                <w:szCs w:val="20"/>
                <w:color w:val="auto"/>
              </w:rPr>
            </w:pPr>
            <w:r>
              <w:rPr>
                <w:rFonts w:ascii="Arial" w:cs="Arial" w:eastAsia="Arial" w:hAnsi="Arial"/>
                <w:sz w:val="14"/>
                <w:szCs w:val="14"/>
                <w:color w:val="auto"/>
              </w:rPr>
              <w:t>February 1, 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3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Common stock outstanding:</w:t>
            </w: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0"/>
              <w:spacing w:after="0" w:line="162" w:lineRule="exact"/>
              <w:rPr>
                <w:sz w:val="20"/>
                <w:szCs w:val="20"/>
                <w:color w:val="auto"/>
              </w:rPr>
            </w:pPr>
            <w:r>
              <w:rPr>
                <w:rFonts w:ascii="Arial" w:cs="Arial" w:eastAsia="Arial" w:hAnsi="Arial"/>
                <w:sz w:val="18"/>
                <w:szCs w:val="18"/>
                <w:color w:val="auto"/>
              </w:rPr>
              <w:t>Basic weighted average common shares</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63,401</w:t>
            </w: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color w:val="auto"/>
              </w:rPr>
              <w:t>51,317</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49,992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340" w:type="dxa"/>
            <w:vAlign w:val="bottom"/>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Common stock equivalents – stock options,</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4,630</w:t>
            </w:r>
          </w:p>
        </w:tc>
        <w:tc>
          <w:tcPr>
            <w:tcW w:w="26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60"/>
              <w:spacing w:after="0" w:line="202" w:lineRule="exact"/>
              <w:rPr>
                <w:sz w:val="20"/>
                <w:szCs w:val="20"/>
                <w:color w:val="auto"/>
              </w:rPr>
            </w:pPr>
            <w:r>
              <w:rPr>
                <w:rFonts w:ascii="Arial" w:cs="Arial" w:eastAsia="Arial" w:hAnsi="Arial"/>
                <w:sz w:val="17"/>
                <w:szCs w:val="17"/>
                <w:color w:val="auto"/>
              </w:rPr>
              <w:t xml:space="preserve">restricted stock, deferred stock and RSUs </w:t>
            </w:r>
            <w:r>
              <w:rPr>
                <w:rFonts w:ascii="Arial" w:cs="Arial" w:eastAsia="Arial" w:hAnsi="Arial"/>
                <w:sz w:val="23"/>
                <w:szCs w:val="23"/>
                <w:color w:val="auto"/>
                <w:vertAlign w:val="superscript"/>
              </w:rPr>
              <w:t>(1)</w:t>
            </w:r>
          </w:p>
        </w:tc>
        <w:tc>
          <w:tcPr>
            <w:tcW w:w="134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vMerge w:val="continue"/>
            <w:shd w:val="clear" w:color="auto" w:fill="CFF0FC"/>
          </w:tcPr>
          <w:p>
            <w:pPr>
              <w:spacing w:after="0"/>
              <w:rPr>
                <w:sz w:val="17"/>
                <w:szCs w:val="17"/>
                <w:color w:val="auto"/>
              </w:rPr>
            </w:pPr>
          </w:p>
        </w:tc>
        <w:tc>
          <w:tcPr>
            <w:tcW w:w="13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640" w:type="dxa"/>
            <w:vAlign w:val="bottom"/>
          </w:tcPr>
          <w:p>
            <w:pPr>
              <w:ind w:left="20"/>
              <w:spacing w:after="0" w:line="156" w:lineRule="exact"/>
              <w:rPr>
                <w:sz w:val="20"/>
                <w:szCs w:val="20"/>
                <w:color w:val="auto"/>
              </w:rPr>
            </w:pPr>
            <w:r>
              <w:rPr>
                <w:rFonts w:ascii="Arial" w:cs="Arial" w:eastAsia="Arial" w:hAnsi="Arial"/>
                <w:sz w:val="18"/>
                <w:szCs w:val="18"/>
                <w:color w:val="auto"/>
              </w:rPr>
              <w:t>Diluted weighted average common shares</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68,031</w:t>
            </w: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color w:val="auto"/>
              </w:rPr>
              <w:t>51,317</w:t>
            </w:r>
          </w:p>
        </w:tc>
        <w:tc>
          <w:tcPr>
            <w:tcW w:w="24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49,992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340" w:type="dxa"/>
            <w:vAlign w:val="bottom"/>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-254000</wp:posOffset>
            </wp:positionV>
            <wp:extent cx="7683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-254000</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59" w:lineRule="exact"/>
        <w:rPr>
          <w:sz w:val="20"/>
          <w:szCs w:val="20"/>
          <w:color w:val="auto"/>
        </w:rPr>
      </w:pPr>
    </w:p>
    <w:p>
      <w:pPr>
        <w:ind w:left="760" w:right="160" w:hanging="378"/>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 equivalents, in thousands, of 159 shares and 408 shares for January 30, 2021 and February 1, 2020, respectively, were excluded due to the net loss.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either stock options, RSUs, restricted or deferred stock had an anti-dilutive effect.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20" w:type="dxa"/>
            <w:vAlign w:val="bottom"/>
            <w:gridSpan w:val="3"/>
          </w:tcPr>
          <w:p>
            <w:pPr>
              <w:jc w:val="center"/>
              <w:ind w:right="20"/>
              <w:spacing w:after="0"/>
              <w:rPr>
                <w:sz w:val="20"/>
                <w:szCs w:val="20"/>
                <w:color w:val="auto"/>
              </w:rPr>
            </w:pPr>
            <w:r>
              <w:rPr>
                <w:rFonts w:ascii="Arial" w:cs="Arial" w:eastAsia="Arial" w:hAnsi="Arial"/>
                <w:sz w:val="14"/>
                <w:szCs w:val="14"/>
                <w:color w:val="auto"/>
                <w:w w:val="99"/>
              </w:rPr>
              <w:t>FISCAL YEARS ENDED</w:t>
            </w: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6600" w:type="dxa"/>
            <w:vAlign w:val="bottom"/>
          </w:tcPr>
          <w:p>
            <w:pPr>
              <w:spacing w:after="0"/>
              <w:rPr>
                <w:sz w:val="15"/>
                <w:szCs w:val="15"/>
                <w:color w:val="auto"/>
              </w:rPr>
            </w:pPr>
          </w:p>
        </w:tc>
        <w:tc>
          <w:tcPr>
            <w:tcW w:w="1380" w:type="dxa"/>
            <w:vAlign w:val="bottom"/>
          </w:tcPr>
          <w:p>
            <w:pPr>
              <w:jc w:val="right"/>
              <w:ind w:right="114"/>
              <w:spacing w:after="0"/>
              <w:rPr>
                <w:sz w:val="20"/>
                <w:szCs w:val="20"/>
                <w:color w:val="auto"/>
              </w:rPr>
            </w:pPr>
            <w:r>
              <w:rPr>
                <w:rFonts w:ascii="Arial" w:cs="Arial" w:eastAsia="Arial" w:hAnsi="Arial"/>
                <w:sz w:val="14"/>
                <w:szCs w:val="14"/>
                <w:color w:val="auto"/>
              </w:rPr>
              <w:t>January 29, 2022</w:t>
            </w:r>
          </w:p>
        </w:tc>
        <w:tc>
          <w:tcPr>
            <w:tcW w:w="22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January 30, 2021</w:t>
            </w:r>
          </w:p>
        </w:tc>
        <w:tc>
          <w:tcPr>
            <w:tcW w:w="1380" w:type="dxa"/>
            <w:vAlign w:val="bottom"/>
          </w:tcPr>
          <w:p>
            <w:pPr>
              <w:jc w:val="right"/>
              <w:ind w:right="114"/>
              <w:spacing w:after="0"/>
              <w:rPr>
                <w:sz w:val="20"/>
                <w:szCs w:val="20"/>
                <w:color w:val="auto"/>
              </w:rPr>
            </w:pPr>
            <w:r>
              <w:rPr>
                <w:rFonts w:ascii="Arial" w:cs="Arial" w:eastAsia="Arial" w:hAnsi="Arial"/>
                <w:sz w:val="14"/>
                <w:szCs w:val="14"/>
                <w:color w:val="auto"/>
              </w:rPr>
              <w:t>February 1, 2020</w:t>
            </w:r>
          </w:p>
        </w:tc>
        <w:tc>
          <w:tcPr>
            <w:tcW w:w="60" w:type="dxa"/>
            <w:vAlign w:val="bottom"/>
          </w:tcPr>
          <w:p>
            <w:pPr>
              <w:spacing w:after="0"/>
              <w:rPr>
                <w:sz w:val="15"/>
                <w:szCs w:val="15"/>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exercise prices)</w:t>
            </w:r>
          </w:p>
        </w:tc>
        <w:tc>
          <w:tcPr>
            <w:tcW w:w="1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options (time-vested)</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3,648</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755</w:t>
            </w:r>
          </w:p>
        </w:tc>
        <w:tc>
          <w:tcPr>
            <w:tcW w:w="6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RSUs (time-vested)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812</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c>
          <w:tcPr>
            <w:tcW w:w="6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stock</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60" w:type="dxa"/>
            <w:vAlign w:val="bottom"/>
            <w:shd w:val="clear" w:color="auto" w:fill="CFF0FC"/>
          </w:tcPr>
          <w:p>
            <w:pPr>
              <w:spacing w:after="0"/>
              <w:rPr>
                <w:sz w:val="17"/>
                <w:szCs w:val="17"/>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Range of exercise prices of such options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$4.19 -$5.50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$0.53 - $7.02</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$1.85 - $7.02</w:t>
            </w:r>
          </w:p>
        </w:tc>
        <w:tc>
          <w:tcPr>
            <w:tcW w:w="60" w:type="dxa"/>
            <w:vAlign w:val="bottom"/>
          </w:tcPr>
          <w:p>
            <w:pPr>
              <w:spacing w:after="0"/>
              <w:rPr>
                <w:sz w:val="20"/>
                <w:szCs w:val="20"/>
                <w:color w:val="auto"/>
              </w:rPr>
            </w:pPr>
          </w:p>
        </w:tc>
      </w:tr>
    </w:tbl>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Excluded from the computation of basic and diluted earnings per share for fiscal 2021 were 240,000 shares of unvested performance stock units. For fiscal 2020 and fiscal 2019 720,000 shares of unvested performance stock units were excluded. These performance-based awards will be included in the computation of basic and diluted earnings per share if, and when, the respective performance targets are achieved. In addition, deferred stock of 435,568 shares for fiscal 2021 and fiscal 2020 and 295,604 shares for fiscal 2019 were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jc w:val="both"/>
        <w:spacing w:after="0" w:line="261" w:lineRule="auto"/>
        <w:rPr>
          <w:sz w:val="20"/>
          <w:szCs w:val="20"/>
          <w:color w:val="auto"/>
        </w:rPr>
      </w:pPr>
      <w:r>
        <w:rPr>
          <w:rFonts w:ascii="Arial" w:cs="Arial" w:eastAsia="Arial" w:hAnsi="Arial"/>
          <w:sz w:val="18"/>
          <w:szCs w:val="18"/>
          <w:color w:val="auto"/>
        </w:rPr>
        <w:t>excluded from basic earnings per share. Outstanding shares of deferred stock are not considered issued and outstanding until the vesting date of the deferral period and are excluded from basic earnings per share until such shares are issued.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judgment. Actual results, and future changes in estimates, may differ from the Company’s current estimates.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recognized total stock-based compensation expense, with no tax effect, of $1.2 million, $1.4 million and $1.9 million for fiscal 2021, fiscal 2020 and fiscal 2019, respectively.</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total stock-based compensation cost related to time-vested awards not yet recognized as of January 29, 2022 was approximately $1.6 million and will be expensed over a weighted average remaining life of approximately 24 months.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total grant-date fair value of awards vested was $1.7 million, $1.5 million and $3.0 million for fiscal 2021, fiscal 2020 and fiscal 2019, respectively.</w:t>
      </w:r>
    </w:p>
    <w:p>
      <w:pPr>
        <w:spacing w:after="0" w:line="2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Any excess tax benefits resulting from the exercise of stock options or the release of restricted shares are recognized as a component of income tax expense.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based on the following assumptions in the table. The fair value of each non-vested share is equal to the closing price of the Company’s stock on the date of grant. The weighted-average fair value of options granted and non-vested shares granted shown below does not include shares or deferred stock granted to directors in lieu of compensation.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Fiscal years ended:</w:t>
            </w:r>
          </w:p>
        </w:tc>
        <w:tc>
          <w:tcPr>
            <w:tcW w:w="19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color w:val="auto"/>
              </w:rPr>
              <w:t>January 29, 2022</w:t>
            </w:r>
          </w:p>
        </w:tc>
        <w:tc>
          <w:tcPr>
            <w:tcW w:w="160" w:type="dxa"/>
            <w:vAlign w:val="bottom"/>
          </w:tcPr>
          <w:p>
            <w:pPr>
              <w:spacing w:after="0"/>
              <w:rPr>
                <w:sz w:val="18"/>
                <w:szCs w:val="18"/>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January 30, 2021</w:t>
            </w:r>
          </w:p>
        </w:tc>
        <w:tc>
          <w:tcPr>
            <w:tcW w:w="160" w:type="dxa"/>
            <w:vAlign w:val="bottom"/>
          </w:tcPr>
          <w:p>
            <w:pPr>
              <w:spacing w:after="0"/>
              <w:rPr>
                <w:sz w:val="18"/>
                <w:szCs w:val="18"/>
                <w:color w:val="auto"/>
              </w:rPr>
            </w:pPr>
          </w:p>
        </w:tc>
        <w:tc>
          <w:tcPr>
            <w:tcW w:w="18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February 1, 2020</w:t>
            </w:r>
          </w:p>
        </w:tc>
      </w:tr>
      <w:tr>
        <w:trPr>
          <w:trHeight w:val="196"/>
        </w:trPr>
        <w:tc>
          <w:tcPr>
            <w:tcW w:w="5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volatility</w:t>
            </w:r>
          </w:p>
        </w:tc>
        <w:tc>
          <w:tcPr>
            <w:tcW w:w="1960" w:type="dxa"/>
            <w:vAlign w:val="bottom"/>
            <w:gridSpan w:val="2"/>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97.4% - 104.9%</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82.3%</w:t>
            </w:r>
          </w:p>
        </w:tc>
        <w:tc>
          <w:tcPr>
            <w:tcW w:w="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- 87.8%</w:t>
            </w:r>
          </w:p>
        </w:tc>
        <w:tc>
          <w:tcPr>
            <w:tcW w:w="16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0.31%</w:t>
            </w:r>
          </w:p>
        </w:tc>
        <w:tc>
          <w:tcPr>
            <w:tcW w:w="1040" w:type="dxa"/>
            <w:vAlign w:val="bottom"/>
          </w:tcPr>
          <w:p>
            <w:pPr>
              <w:ind w:left="20"/>
              <w:spacing w:after="0" w:line="202" w:lineRule="exact"/>
              <w:rPr>
                <w:sz w:val="20"/>
                <w:szCs w:val="20"/>
                <w:color w:val="auto"/>
              </w:rPr>
            </w:pPr>
            <w:r>
              <w:rPr>
                <w:rFonts w:ascii="Arial" w:cs="Arial" w:eastAsia="Arial" w:hAnsi="Arial"/>
                <w:sz w:val="18"/>
                <w:szCs w:val="18"/>
                <w:color w:val="auto"/>
              </w:rPr>
              <w:t>- 0.60%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0.22%</w:t>
            </w:r>
          </w:p>
        </w:tc>
        <w:tc>
          <w:tcPr>
            <w:tcW w:w="960" w:type="dxa"/>
            <w:vAlign w:val="bottom"/>
          </w:tcPr>
          <w:p>
            <w:pPr>
              <w:ind w:left="20"/>
              <w:spacing w:after="0" w:line="202" w:lineRule="exact"/>
              <w:rPr>
                <w:sz w:val="20"/>
                <w:szCs w:val="20"/>
                <w:color w:val="auto"/>
              </w:rPr>
            </w:pPr>
            <w:r>
              <w:rPr>
                <w:rFonts w:ascii="Arial" w:cs="Arial" w:eastAsia="Arial" w:hAnsi="Arial"/>
                <w:sz w:val="18"/>
                <w:szCs w:val="18"/>
                <w:color w:val="auto"/>
              </w:rPr>
              <w:t>- 0.27%</w:t>
            </w:r>
          </w:p>
        </w:tc>
        <w:tc>
          <w:tcPr>
            <w:tcW w:w="19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5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life (in years)</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- 4.0</w:t>
            </w: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- 4.0</w:t>
            </w:r>
          </w:p>
        </w:tc>
        <w:tc>
          <w:tcPr>
            <w:tcW w:w="198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Dividend rate</w:t>
            </w:r>
          </w:p>
        </w:tc>
        <w:tc>
          <w:tcPr>
            <w:tcW w:w="920" w:type="dxa"/>
            <w:vAlign w:val="bottom"/>
          </w:tcPr>
          <w:p>
            <w:pPr>
              <w:spacing w:after="0"/>
              <w:rPr>
                <w:sz w:val="17"/>
                <w:szCs w:val="17"/>
                <w:color w:val="auto"/>
              </w:rPr>
            </w:pPr>
          </w:p>
        </w:tc>
        <w:tc>
          <w:tcPr>
            <w:tcW w:w="10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5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fair value of options granted</w:t>
            </w:r>
          </w:p>
        </w:tc>
        <w:tc>
          <w:tcPr>
            <w:tcW w:w="1960" w:type="dxa"/>
            <w:vAlign w:val="bottom"/>
            <w:gridSpan w:val="2"/>
            <w:shd w:val="clear" w:color="auto" w:fill="CFF0FC"/>
          </w:tcPr>
          <w:p>
            <w:pPr>
              <w:jc w:val="right"/>
              <w:ind w:right="690"/>
              <w:spacing w:after="0" w:line="202" w:lineRule="exact"/>
              <w:rPr>
                <w:sz w:val="20"/>
                <w:szCs w:val="20"/>
                <w:color w:val="auto"/>
              </w:rPr>
            </w:pPr>
            <w:r>
              <w:rPr>
                <w:rFonts w:ascii="Arial" w:cs="Arial" w:eastAsia="Arial" w:hAnsi="Arial"/>
                <w:sz w:val="18"/>
                <w:szCs w:val="18"/>
                <w:color w:val="auto"/>
              </w:rPr>
              <w:t>$0.47</w:t>
            </w:r>
          </w:p>
        </w:tc>
        <w:tc>
          <w:tcPr>
            <w:tcW w:w="1980" w:type="dxa"/>
            <w:vAlign w:val="bottom"/>
            <w:gridSpan w:val="3"/>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rPr>
              <w:t>$0.32</w:t>
            </w:r>
          </w:p>
        </w:tc>
        <w:tc>
          <w:tcPr>
            <w:tcW w:w="198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w w:val="99"/>
              </w:rPr>
              <w:t>-</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Weighted average fair value of non-vested shares granted</w:t>
            </w:r>
          </w:p>
        </w:tc>
        <w:tc>
          <w:tcPr>
            <w:tcW w:w="9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$1.73</w:t>
            </w:r>
          </w:p>
        </w:tc>
      </w:tr>
    </w:tbl>
    <w:p>
      <w:pPr>
        <w:spacing w:after="0" w:line="20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recorded a gain of $2.3 million in fiscal 2021 against previously recorded impairment charges. Fiscal 2020 and fiscal 2019 included net impairment charges of $14.8 million and $0.9 million, respectively.</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6" w:name="page47"/>
    <w:bookmarkEnd w:id="46"/>
    <w:p>
      <w:pPr>
        <w:jc w:val="both"/>
        <w:spacing w:after="0" w:line="274" w:lineRule="auto"/>
        <w:rPr>
          <w:sz w:val="20"/>
          <w:szCs w:val="20"/>
          <w:color w:val="auto"/>
        </w:rPr>
      </w:pPr>
      <w:r>
        <w:rPr>
          <w:rFonts w:ascii="Arial" w:cs="Arial" w:eastAsia="Arial" w:hAnsi="Arial"/>
          <w:sz w:val="16"/>
          <w:szCs w:val="16"/>
          <w:color w:val="auto"/>
        </w:rPr>
        <w:t>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 With respect to the impairment charges taken on operating lease right-of-use assets, if the Company subsequently makes a decision to close previously impaired stores and a gain is realized as a result of the reevaluation of the existing lease liabilities, to the extent the gain related to previously recorded impairment charges against the right-of-use assets, the gain will be included as an offset to asset impairment charges with the remainder included as a reduction in store occupancy costs.</w:t>
      </w:r>
    </w:p>
    <w:p>
      <w:pPr>
        <w:spacing w:after="0" w:line="55"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For fiscal 2021, the Company recognized a non-cash gain of $2.7 million related to the Company’s decision to close certain retail stores, with $2.3 million of the gain included as an offset to asset impairment charges and the remaining $0.4 million of the gain included as a reduction of store occupancy costs.</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fiscal 2020, the Company recorded a total asset impairment charge of $14.8 million, which included $4.1 million for the write-down of store assets and $10.7 million for the net write-down of operating lease right-of-use assets. Included in the write-down of operating lease right-of-use assets of $10.7 million was a non-cash gain of $2.6 million related to closed stores, which had previously been impaired.</w:t>
      </w:r>
    </w:p>
    <w:p>
      <w:pPr>
        <w:spacing w:after="0" w:line="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asset impairment charge for fiscal 2019 was $0.9 million, which included $0.7 million for the write-down of operating lease right-of-use assets and $0.2 million for the write-down of store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in fiscal 2019 on a modified retrospective basis and applied the new standard to all leases through a cumulative-effect adjustment to beginning accumulated deficit. 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January 29, 2022, the Company had no short-term leases.</w:t>
      </w:r>
    </w:p>
    <w:p>
      <w:pPr>
        <w:spacing w:after="0" w:line="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 it reasonably certain that it will exercise an option to extend, will the associated payment of that option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8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See Note E ‘‘</w:t>
      </w:r>
      <w:r>
        <w:rPr>
          <w:rFonts w:ascii="Arial" w:cs="Arial" w:eastAsia="Arial" w:hAnsi="Arial"/>
          <w:sz w:val="18"/>
          <w:szCs w:val="18"/>
          <w:i w:val="1"/>
          <w:iCs w:val="1"/>
          <w:color w:val="auto"/>
        </w:rPr>
        <w:t>Leases</w:t>
      </w:r>
      <w:r>
        <w:rPr>
          <w:rFonts w:ascii="Arial" w:cs="Arial" w:eastAsia="Arial" w:hAnsi="Arial"/>
          <w:sz w:val="18"/>
          <w:szCs w:val="18"/>
          <w:color w:val="auto"/>
        </w:rPr>
        <w:t>’’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new accounting pronouncements, issued or effective during fiscal 2021, have had or are expected to have a significant impact on the Company’s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REVENUE RECOGNITION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jc w:val="both"/>
        <w:spacing w:after="0" w:line="274" w:lineRule="auto"/>
        <w:rPr>
          <w:sz w:val="20"/>
          <w:szCs w:val="20"/>
          <w:color w:val="auto"/>
        </w:rPr>
      </w:pPr>
      <w:r>
        <w:rPr>
          <w:rFonts w:ascii="Arial" w:cs="Arial" w:eastAsia="Arial" w:hAnsi="Arial"/>
          <w:sz w:val="16"/>
          <w:szCs w:val="16"/>
          <w:color w:val="auto"/>
        </w:rPr>
        <w:t xml:space="preserve">Revenue is recognized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operates as a retailer of big and tall men’s clothing, which includes sales through stores, direct and wholesale channels. Revenue is recognized by the operating 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Generally, all revenues are recognized when control of the promised goods is transferred to customers, in an amount that reflects the consideration in exchange for those goods. Sales tax collected from customers and remitted to taxing authorities is excluded from revenue and is included as part of accrued expenses on the Consolidated Balance Sheets.</w:t>
      </w:r>
    </w:p>
    <w:p>
      <w:pPr>
        <w:spacing w:after="0" w:line="55" w:lineRule="exact"/>
        <w:rPr>
          <w:sz w:val="20"/>
          <w:szCs w:val="20"/>
          <w:color w:val="auto"/>
        </w:rPr>
      </w:pPr>
    </w:p>
    <w:p>
      <w:pPr>
        <w:ind w:left="1140" w:hanging="383"/>
        <w:spacing w:after="0" w:line="261"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from the Company’s store operations is recorded upon purchase of merchandise by customers, net of an allowance for sales returns, which is estimated based upon historical experience.</w:t>
      </w:r>
    </w:p>
    <w:p>
      <w:pPr>
        <w:spacing w:after="0" w:line="62"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from the Company’s direct operations is recognized at the time a customer order is delivered, net of an allowance for sales returns, which is estimated based upon historical experience.</w:t>
      </w:r>
    </w:p>
    <w:p>
      <w:pPr>
        <w:spacing w:after="0" w:line="62" w:lineRule="exact"/>
        <w:rPr>
          <w:rFonts w:ascii="Arial" w:cs="Arial" w:eastAsia="Arial" w:hAnsi="Arial"/>
          <w:sz w:val="18"/>
          <w:szCs w:val="18"/>
          <w:color w:val="auto"/>
        </w:rPr>
      </w:pPr>
    </w:p>
    <w:p>
      <w:pPr>
        <w:ind w:left="1140" w:hanging="383"/>
        <w:spacing w:after="0" w:line="291" w:lineRule="auto"/>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Revenue from the Company’s wholesale operations is recognized at the time the wholesale customer takes physical receipt of the merchandise, net of any identified discounts in accordance with each individual order. For all periods, chargebacks were immaterial.</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Unredeemed Loyalty Coupons. </w:t>
      </w:r>
      <w:r>
        <w:rPr>
          <w:rFonts w:ascii="Arial" w:cs="Arial" w:eastAsia="Arial" w:hAnsi="Arial"/>
          <w:sz w:val="18"/>
          <w:szCs w:val="18"/>
          <w:color w:val="auto"/>
        </w:rPr>
        <w:t>The Company offers a free loyalty program to its customers for which points accumulate based on the purchase of</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Over 90% of the Company’s customers participate in the loyalty program. Under ASC 606, these loyalty points provide the customer with a material right and a distinct performance obligation with revenue deferred and recognized when the points are redeemed. The cycle of earning and redeeming loyalty points is generally under one year in duration. The loyalty accrual, net of breakage, was $1.3 million and $1.0 million at January 29, 2022 and January 30, 2021, respectively.</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Unredeemed Gift Cards, Gift Certificates, and Credit Vouchers. </w:t>
      </w:r>
      <w:r>
        <w:rPr>
          <w:rFonts w:ascii="Arial" w:cs="Arial" w:eastAsia="Arial" w:hAnsi="Arial"/>
          <w:sz w:val="16"/>
          <w:szCs w:val="16"/>
          <w:color w:val="auto"/>
        </w:rPr>
        <w:t>Upon issuance of a gift card, gift certificate, or credit voucher, a liability is established for</w:t>
      </w:r>
      <w:r>
        <w:rPr>
          <w:rFonts w:ascii="Arial" w:cs="Arial" w:eastAsia="Arial" w:hAnsi="Arial"/>
          <w:sz w:val="16"/>
          <w:szCs w:val="16"/>
          <w:i w:val="1"/>
          <w:iCs w:val="1"/>
          <w:color w:val="auto"/>
        </w:rPr>
        <w:t xml:space="preserve"> </w:t>
      </w:r>
      <w:r>
        <w:rPr>
          <w:rFonts w:ascii="Arial" w:cs="Arial" w:eastAsia="Arial" w:hAnsi="Arial"/>
          <w:sz w:val="16"/>
          <w:szCs w:val="16"/>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$3.3 million and $2.8 million at January 29, 2022 and January 30, 2021, respectively.</w:t>
      </w:r>
    </w:p>
    <w:p>
      <w:pPr>
        <w:spacing w:after="0" w:line="5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Shipping and handling costs are accounted for as fulfillment costs and are included in cost of sales for all periods presented. Amounts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As noted above under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 Note A, the Company’s business at January 29, 2022 consists of one reportable segment, its retail segment. Substantially all of the Company’s revenue is generated from its stores and direct businesses. The operating results from the wholesale segment have been aggregated with this reportable segment for all periods, but the revenues are separately reported below. Accordingly, the Company has determined that the following sales channels depict the nature, amount, timing, and uncertainty of how revenue and cash flows are affected by economic factors for each of the following fiscal years: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Fiscal 2021</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Fiscal 2020</w:t>
            </w: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Fiscal 2019</w:t>
            </w:r>
          </w:p>
        </w:tc>
        <w:tc>
          <w:tcPr>
            <w:tcW w:w="900" w:type="dxa"/>
            <w:vAlign w:val="bottom"/>
          </w:tcPr>
          <w:p>
            <w:pPr>
              <w:spacing w:after="0"/>
              <w:rPr>
                <w:sz w:val="18"/>
                <w:szCs w:val="18"/>
                <w:color w:val="auto"/>
              </w:rPr>
            </w:pPr>
          </w:p>
        </w:tc>
      </w:tr>
      <w:tr>
        <w:trPr>
          <w:trHeight w:val="196"/>
        </w:trPr>
        <w:tc>
          <w:tcPr>
            <w:tcW w:w="2340" w:type="dxa"/>
            <w:vAlign w:val="bottom"/>
          </w:tcPr>
          <w:p>
            <w:pPr>
              <w:ind w:left="20"/>
              <w:spacing w:after="0" w:line="196" w:lineRule="exact"/>
              <w:rPr>
                <w:sz w:val="20"/>
                <w:szCs w:val="20"/>
                <w:color w:val="auto"/>
              </w:rPr>
            </w:pPr>
            <w:r>
              <w:rPr>
                <w:rFonts w:ascii="Arial" w:cs="Arial" w:eastAsia="Arial" w:hAnsi="Arial"/>
                <w:sz w:val="18"/>
                <w:szCs w:val="18"/>
                <w:color w:val="auto"/>
              </w:rPr>
              <w:t>Store sales</w:t>
            </w:r>
          </w:p>
        </w:tc>
        <w:tc>
          <w:tcPr>
            <w:tcW w:w="2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344,761</w:t>
            </w:r>
          </w:p>
        </w:tc>
        <w:tc>
          <w:tcPr>
            <w:tcW w:w="840" w:type="dxa"/>
            <w:vAlign w:val="bottom"/>
          </w:tcPr>
          <w:p>
            <w:pPr>
              <w:ind w:left="80"/>
              <w:spacing w:after="0"/>
              <w:rPr>
                <w:sz w:val="20"/>
                <w:szCs w:val="20"/>
                <w:color w:val="auto"/>
              </w:rPr>
            </w:pPr>
            <w:r>
              <w:rPr>
                <w:rFonts w:ascii="Arial" w:cs="Arial" w:eastAsia="Arial" w:hAnsi="Arial"/>
                <w:sz w:val="14"/>
                <w:szCs w:val="14"/>
                <w:i w:val="1"/>
                <w:iCs w:val="1"/>
                <w:color w:val="auto"/>
              </w:rPr>
              <w:t>69.0%</w:t>
            </w:r>
          </w:p>
        </w:tc>
        <w:tc>
          <w:tcPr>
            <w:tcW w:w="40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180,143</w:t>
            </w:r>
          </w:p>
        </w:tc>
        <w:tc>
          <w:tcPr>
            <w:tcW w:w="1300" w:type="dxa"/>
            <w:vAlign w:val="bottom"/>
          </w:tcPr>
          <w:p>
            <w:pPr>
              <w:ind w:left="60"/>
              <w:spacing w:after="0"/>
              <w:rPr>
                <w:sz w:val="20"/>
                <w:szCs w:val="20"/>
                <w:color w:val="auto"/>
              </w:rPr>
            </w:pPr>
            <w:r>
              <w:rPr>
                <w:rFonts w:ascii="Arial" w:cs="Arial" w:eastAsia="Arial" w:hAnsi="Arial"/>
                <w:sz w:val="14"/>
                <w:szCs w:val="14"/>
                <w:i w:val="1"/>
                <w:iCs w:val="1"/>
                <w:color w:val="auto"/>
              </w:rPr>
              <w:t>59.6%</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354,929</w:t>
            </w:r>
          </w:p>
        </w:tc>
        <w:tc>
          <w:tcPr>
            <w:tcW w:w="900" w:type="dxa"/>
            <w:vAlign w:val="bottom"/>
          </w:tcPr>
          <w:p>
            <w:pPr>
              <w:ind w:left="80"/>
              <w:spacing w:after="0"/>
              <w:rPr>
                <w:sz w:val="20"/>
                <w:szCs w:val="20"/>
                <w:color w:val="auto"/>
              </w:rPr>
            </w:pPr>
            <w:r>
              <w:rPr>
                <w:rFonts w:ascii="Arial" w:cs="Arial" w:eastAsia="Arial" w:hAnsi="Arial"/>
                <w:sz w:val="14"/>
                <w:szCs w:val="14"/>
                <w:i w:val="1"/>
                <w:iCs w:val="1"/>
                <w:color w:val="auto"/>
              </w:rPr>
              <w:t>76.9%</w:t>
            </w:r>
          </w:p>
        </w:tc>
      </w:tr>
      <w:tr>
        <w:trPr>
          <w:trHeight w:val="203"/>
        </w:trPr>
        <w:tc>
          <w:tcPr>
            <w:tcW w:w="23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Direct sales</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154,891</w:t>
            </w:r>
          </w:p>
        </w:tc>
        <w:tc>
          <w:tcPr>
            <w:tcW w:w="8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i w:val="1"/>
                <w:iCs w:val="1"/>
                <w:color w:val="auto"/>
              </w:rPr>
              <w:t>31.0%</w:t>
            </w:r>
          </w:p>
        </w:tc>
        <w:tc>
          <w:tcPr>
            <w:tcW w:w="4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122,206</w:t>
            </w:r>
          </w:p>
        </w:tc>
        <w:tc>
          <w:tcPr>
            <w:tcW w:w="13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i w:val="1"/>
                <w:iCs w:val="1"/>
                <w:color w:val="auto"/>
              </w:rPr>
              <w:t>40.4%</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106,585</w:t>
            </w:r>
          </w:p>
        </w:tc>
        <w:tc>
          <w:tcPr>
            <w:tcW w:w="9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i w:val="1"/>
                <w:iCs w:val="1"/>
                <w:color w:val="auto"/>
              </w:rPr>
              <w:t>23.1%</w:t>
            </w:r>
          </w:p>
        </w:tc>
      </w:tr>
      <w:tr>
        <w:trPr>
          <w:trHeight w:val="196"/>
        </w:trPr>
        <w:tc>
          <w:tcPr>
            <w:tcW w:w="2340" w:type="dxa"/>
            <w:vAlign w:val="bottom"/>
          </w:tcPr>
          <w:p>
            <w:pPr>
              <w:ind w:left="20"/>
              <w:spacing w:after="0" w:line="196" w:lineRule="exact"/>
              <w:rPr>
                <w:sz w:val="20"/>
                <w:szCs w:val="20"/>
                <w:color w:val="auto"/>
              </w:rPr>
            </w:pPr>
            <w:r>
              <w:rPr>
                <w:rFonts w:ascii="Arial" w:cs="Arial" w:eastAsia="Arial" w:hAnsi="Arial"/>
                <w:sz w:val="18"/>
                <w:szCs w:val="18"/>
                <w:color w:val="auto"/>
              </w:rPr>
              <w:t>Retail segment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499,652</w:t>
            </w:r>
          </w:p>
        </w:tc>
        <w:tc>
          <w:tcPr>
            <w:tcW w:w="840" w:type="dxa"/>
            <w:vAlign w:val="bottom"/>
          </w:tcPr>
          <w:p>
            <w:pPr>
              <w:ind w:left="80"/>
              <w:spacing w:after="0"/>
              <w:rPr>
                <w:sz w:val="20"/>
                <w:szCs w:val="20"/>
                <w:color w:val="auto"/>
              </w:rPr>
            </w:pPr>
            <w:r>
              <w:rPr>
                <w:rFonts w:ascii="Arial" w:cs="Arial" w:eastAsia="Arial" w:hAnsi="Arial"/>
                <w:sz w:val="14"/>
                <w:szCs w:val="14"/>
                <w:i w:val="1"/>
                <w:iCs w:val="1"/>
                <w:color w:val="auto"/>
              </w:rPr>
              <w:t>100.0%</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302,349</w:t>
            </w:r>
          </w:p>
        </w:tc>
        <w:tc>
          <w:tcPr>
            <w:tcW w:w="1300" w:type="dxa"/>
            <w:vAlign w:val="bottom"/>
          </w:tcPr>
          <w:p>
            <w:pPr>
              <w:ind w:left="60"/>
              <w:spacing w:after="0"/>
              <w:rPr>
                <w:sz w:val="20"/>
                <w:szCs w:val="20"/>
                <w:color w:val="auto"/>
              </w:rPr>
            </w:pPr>
            <w:r>
              <w:rPr>
                <w:rFonts w:ascii="Arial" w:cs="Arial" w:eastAsia="Arial" w:hAnsi="Arial"/>
                <w:sz w:val="14"/>
                <w:szCs w:val="14"/>
                <w:i w:val="1"/>
                <w:iCs w:val="1"/>
                <w:color w:val="auto"/>
              </w:rPr>
              <w:t>100.0%</w:t>
            </w:r>
          </w:p>
        </w:tc>
        <w:tc>
          <w:tcPr>
            <w:tcW w:w="26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461,514</w:t>
            </w:r>
          </w:p>
        </w:tc>
        <w:tc>
          <w:tcPr>
            <w:tcW w:w="900" w:type="dxa"/>
            <w:vAlign w:val="bottom"/>
          </w:tcPr>
          <w:p>
            <w:pPr>
              <w:ind w:left="80"/>
              <w:spacing w:after="0"/>
              <w:rPr>
                <w:sz w:val="20"/>
                <w:szCs w:val="20"/>
                <w:color w:val="auto"/>
              </w:rPr>
            </w:pPr>
            <w:r>
              <w:rPr>
                <w:rFonts w:ascii="Arial" w:cs="Arial" w:eastAsia="Arial" w:hAnsi="Arial"/>
                <w:sz w:val="14"/>
                <w:szCs w:val="14"/>
                <w:i w:val="1"/>
                <w:iCs w:val="1"/>
                <w:color w:val="auto"/>
              </w:rPr>
              <w:t>100.0%</w:t>
            </w:r>
          </w:p>
        </w:tc>
      </w:tr>
      <w:tr>
        <w:trPr>
          <w:trHeight w:val="203"/>
        </w:trPr>
        <w:tc>
          <w:tcPr>
            <w:tcW w:w="23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 segment</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5,369</w:t>
            </w:r>
          </w:p>
        </w:tc>
        <w:tc>
          <w:tcPr>
            <w:tcW w:w="8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16,597</w:t>
            </w:r>
          </w:p>
        </w:tc>
        <w:tc>
          <w:tcPr>
            <w:tcW w:w="1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12,524</w:t>
            </w:r>
          </w:p>
        </w:tc>
        <w:tc>
          <w:tcPr>
            <w:tcW w:w="900" w:type="dxa"/>
            <w:vAlign w:val="bottom"/>
            <w:tcBorders>
              <w:bottom w:val="single" w:sz="8" w:color="CFF0FC"/>
            </w:tcBorders>
            <w:shd w:val="clear" w:color="auto" w:fill="CFF0FC"/>
          </w:tcPr>
          <w:p>
            <w:pPr>
              <w:spacing w:after="0"/>
              <w:rPr>
                <w:sz w:val="17"/>
                <w:szCs w:val="17"/>
                <w:color w:val="auto"/>
              </w:rPr>
            </w:pPr>
          </w:p>
        </w:tc>
      </w:tr>
      <w:tr>
        <w:trPr>
          <w:trHeight w:val="196"/>
        </w:trPr>
        <w:tc>
          <w:tcPr>
            <w:tcW w:w="2340" w:type="dxa"/>
            <w:vAlign w:val="bottom"/>
          </w:tcPr>
          <w:p>
            <w:pPr>
              <w:ind w:left="20"/>
              <w:spacing w:after="0" w:line="182" w:lineRule="exact"/>
              <w:rPr>
                <w:sz w:val="20"/>
                <w:szCs w:val="20"/>
                <w:color w:val="auto"/>
              </w:rPr>
            </w:pPr>
            <w:r>
              <w:rPr>
                <w:rFonts w:ascii="Arial" w:cs="Arial" w:eastAsia="Arial" w:hAnsi="Arial"/>
                <w:sz w:val="18"/>
                <w:szCs w:val="18"/>
                <w:color w:val="auto"/>
              </w:rPr>
              <w:t>Total sales</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505,021</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318,946</w:t>
            </w:r>
          </w:p>
        </w:tc>
        <w:tc>
          <w:tcPr>
            <w:tcW w:w="13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474,038</w:t>
            </w:r>
          </w:p>
        </w:tc>
        <w:tc>
          <w:tcPr>
            <w:tcW w:w="90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04"/>
        </w:trPr>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48</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2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-1024890</wp:posOffset>
            </wp:positionV>
            <wp:extent cx="431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-1024890</wp:posOffset>
            </wp:positionV>
            <wp:extent cx="3429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-1024890</wp:posOffset>
            </wp:positionV>
            <wp:extent cx="342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-759460</wp:posOffset>
            </wp:positionV>
            <wp:extent cx="431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-759460</wp:posOffset>
            </wp:positionV>
            <wp:extent cx="3429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-759460</wp:posOffset>
            </wp:positionV>
            <wp:extent cx="3429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 PROPERTY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17"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2"/>
              </w:rPr>
              <w:t>January 29, 2022</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0"/>
              </w:rPr>
              <w:t>January 30, 2021</w:t>
            </w:r>
          </w:p>
        </w:tc>
        <w:tc>
          <w:tcPr>
            <w:tcW w:w="60" w:type="dxa"/>
            <w:vAlign w:val="bottom"/>
          </w:tcPr>
          <w:p>
            <w:pPr>
              <w:spacing w:after="0"/>
              <w:rPr>
                <w:sz w:val="14"/>
                <w:szCs w:val="14"/>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75,358</w:t>
            </w:r>
          </w:p>
        </w:tc>
        <w:tc>
          <w:tcPr>
            <w:tcW w:w="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76,770</w:t>
            </w:r>
          </w:p>
        </w:tc>
        <w:tc>
          <w:tcPr>
            <w:tcW w:w="6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23,299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23,083</w:t>
            </w:r>
          </w:p>
        </w:tc>
        <w:tc>
          <w:tcPr>
            <w:tcW w:w="60" w:type="dxa"/>
            <w:vAlign w:val="bottom"/>
          </w:tcPr>
          <w:p>
            <w:pPr>
              <w:spacing w:after="0"/>
              <w:rPr>
                <w:sz w:val="17"/>
                <w:szCs w:val="17"/>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115,821</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117,394</w:t>
            </w:r>
          </w:p>
        </w:tc>
        <w:tc>
          <w:tcPr>
            <w:tcW w:w="6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Hardware and software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102,950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100,771</w:t>
            </w:r>
          </w:p>
        </w:tc>
        <w:tc>
          <w:tcPr>
            <w:tcW w:w="60" w:type="dxa"/>
            <w:vAlign w:val="bottom"/>
          </w:tcPr>
          <w:p>
            <w:pPr>
              <w:spacing w:after="0"/>
              <w:rPr>
                <w:sz w:val="17"/>
                <w:szCs w:val="17"/>
                <w:color w:val="auto"/>
              </w:rPr>
            </w:pPr>
          </w:p>
        </w:tc>
      </w:tr>
      <w:tr>
        <w:trPr>
          <w:trHeight w:val="203"/>
        </w:trPr>
        <w:tc>
          <w:tcPr>
            <w:tcW w:w="4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2,376</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319,804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319,902</w:t>
            </w:r>
          </w:p>
        </w:tc>
        <w:tc>
          <w:tcPr>
            <w:tcW w:w="60" w:type="dxa"/>
            <w:vAlign w:val="bottom"/>
          </w:tcPr>
          <w:p>
            <w:pPr>
              <w:spacing w:after="0"/>
              <w:rPr>
                <w:sz w:val="17"/>
                <w:szCs w:val="17"/>
                <w:color w:val="auto"/>
              </w:rPr>
            </w:pPr>
          </w:p>
        </w:tc>
      </w:tr>
      <w:tr>
        <w:trPr>
          <w:trHeight w:val="203"/>
        </w:trPr>
        <w:tc>
          <w:tcPr>
            <w:tcW w:w="4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275,362</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263,350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spacing w:after="0" w:line="182" w:lineRule="exact"/>
              <w:rPr>
                <w:sz w:val="20"/>
                <w:szCs w:val="20"/>
                <w:color w:val="auto"/>
              </w:rPr>
            </w:pPr>
            <w:r>
              <w:rPr>
                <w:rFonts w:ascii="Arial" w:cs="Arial" w:eastAsia="Arial" w:hAnsi="Arial"/>
                <w:sz w:val="18"/>
                <w:szCs w:val="18"/>
                <w:color w:val="auto"/>
              </w:rPr>
              <w:t>Total property and equipment, net</w:t>
            </w: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44,442</w:t>
            </w:r>
          </w:p>
        </w:tc>
        <w:tc>
          <w:tcPr>
            <w:tcW w:w="30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56,552</w:t>
            </w:r>
          </w:p>
        </w:tc>
        <w:tc>
          <w:tcPr>
            <w:tcW w:w="6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-424815</wp:posOffset>
            </wp:positionV>
            <wp:extent cx="431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-424815</wp:posOffset>
            </wp:positionV>
            <wp:extent cx="3429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wp:posOffset>
            </wp:positionV>
            <wp:extent cx="431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fiscal 2021, 2020 and 2019 was $17.2 million, $21.5 million and $24.6 million, respectively.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DEBT OBLIGATIONS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Agreement with Citizens Bank, N.A.</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On October 28, 2021, the Company entered into a new credit facility with Citizens Bank, N.A. (the “New Credit Facility”). The New Credit Facility replaced the Company's existing credit facility with Bank of America, N.A., which was due to expire on May 24, 2023 (the "Prior Credit Facility").</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New Credit Facility is a $125.0 million secured, asset-based credit facility with a maturity date of October 28, 2026. The maximum committed borrowing of $125.0 million includes a sublimit of $20.0 million for commercial and standby letter of credits and a sublimit of up to $15.0 million for swing line loans. The Company’s ability to borrow under the Credit Facility is determined using an availability formula based on eligible assets.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Borrowings made pursuant to the New Credit Facility will be made pursuant to either a Base Rate loan or LIBOR Rate loan, at the Company's option. Base Rate loans will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will bear interest at (i) the LIBOR rate, or the Benchmark Rate as defined in the credit agreement plus (ii) a varying percentage based on the Company’s average excess availability, of either 1.25% or 1.50%. Any swingline loan will bear interest at a rate equal to the rate of a Base Rate loan, plus a varying percentage based on the Company’s average excess availability, of either 0.25% or 0.50%. The Company will be subject to an unused line fee of 0.25%.</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obligations under the New Credit Facility are secured by a lien on substantially all of its assets. If the Company’s availability under the New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connection with the execution of the New Credit Facility, the Company terminated its Prior Credit Facility and paid outstanding obligations of $30,874, related to its unused line fee and letter of credit fees. At the same time, all guarantees and security interests associated with the Prior Credit Agreement were released. There were no outstanding borrowings under the Prior Credit Facility at the time of termination and no prepayment penalty fees.</w:t>
      </w:r>
    </w:p>
    <w:p>
      <w:pPr>
        <w:spacing w:after="0" w:line="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January 29, 2022, the Company had no borrowings outstanding and availability of $68.9 million under the New Credit Facility. Average monthly borrowings outstanding during fiscal 2021 were $16.4 million, resulting in an average unused excess availability of approximately $56.2 million. Outstanding standby letters of credit were $2.7 million and outstanding documentary letters of $1.4 million at January 29, 2022.</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Because there have been no borrowings under the New Credit Facility, the majority of interest costs incurred during fiscal 2021 were based on the Prior Credit Facility, which bore interest based upon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Borrowings and repayments under the credit facilities for fiscal 2021, fiscal 2020 and fiscal 2019 were as follows: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1"/>
        </w:trPr>
        <w:tc>
          <w:tcPr>
            <w:tcW w:w="6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2021</w:t>
            </w:r>
          </w:p>
        </w:tc>
        <w:tc>
          <w:tcPr>
            <w:tcW w:w="220" w:type="dxa"/>
            <w:vAlign w:val="bottom"/>
          </w:tcPr>
          <w:p>
            <w:pPr>
              <w:spacing w:after="0"/>
              <w:rPr>
                <w:sz w:val="15"/>
                <w:szCs w:val="15"/>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2020</w:t>
            </w:r>
          </w:p>
        </w:tc>
        <w:tc>
          <w:tcPr>
            <w:tcW w:w="220" w:type="dxa"/>
            <w:vAlign w:val="bottom"/>
          </w:tcPr>
          <w:p>
            <w:pPr>
              <w:spacing w:after="0"/>
              <w:rPr>
                <w:sz w:val="15"/>
                <w:szCs w:val="15"/>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2019</w:t>
            </w:r>
          </w:p>
        </w:tc>
      </w:tr>
      <w:tr>
        <w:trPr>
          <w:trHeight w:val="196"/>
        </w:trPr>
        <w:tc>
          <w:tcPr>
            <w:tcW w:w="642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40,297</w:t>
            </w:r>
          </w:p>
        </w:tc>
        <w:tc>
          <w:tcPr>
            <w:tcW w:w="240" w:type="dxa"/>
            <w:vAlign w:val="bottom"/>
          </w:tcPr>
          <w:p>
            <w:pPr>
              <w:spacing w:after="0"/>
              <w:rPr>
                <w:sz w:val="17"/>
                <w:szCs w:val="17"/>
                <w:color w:val="auto"/>
              </w:rPr>
            </w:pPr>
          </w:p>
        </w:tc>
        <w:tc>
          <w:tcPr>
            <w:tcW w:w="22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64,226</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152,336</w:t>
            </w:r>
          </w:p>
        </w:tc>
        <w:tc>
          <w:tcPr>
            <w:tcW w:w="100" w:type="dxa"/>
            <w:vAlign w:val="bottom"/>
          </w:tcPr>
          <w:p>
            <w:pPr>
              <w:spacing w:after="0"/>
              <w:rPr>
                <w:sz w:val="17"/>
                <w:szCs w:val="17"/>
                <w:color w:val="auto"/>
              </w:rPr>
            </w:pPr>
          </w:p>
        </w:tc>
      </w:tr>
      <w:tr>
        <w:trPr>
          <w:trHeight w:val="203"/>
        </w:trPr>
        <w:tc>
          <w:tcPr>
            <w:tcW w:w="6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Repayments</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(100,030 )</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(44,071 )</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(155,026 )</w:t>
            </w:r>
          </w:p>
        </w:tc>
      </w:tr>
      <w:tr>
        <w:trPr>
          <w:trHeight w:val="20"/>
        </w:trPr>
        <w:tc>
          <w:tcPr>
            <w:tcW w:w="64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420" w:type="dxa"/>
            <w:vAlign w:val="bottom"/>
          </w:tcPr>
          <w:p>
            <w:pPr>
              <w:ind w:left="20"/>
              <w:spacing w:after="0" w:line="182" w:lineRule="exact"/>
              <w:rPr>
                <w:sz w:val="20"/>
                <w:szCs w:val="20"/>
                <w:color w:val="auto"/>
              </w:rPr>
            </w:pPr>
            <w:r>
              <w:rPr>
                <w:rFonts w:ascii="Arial" w:cs="Arial" w:eastAsia="Arial" w:hAnsi="Arial"/>
                <w:sz w:val="18"/>
                <w:szCs w:val="18"/>
                <w:color w:val="auto"/>
              </w:rPr>
              <w:t>Net borrowings (repayments)</w:t>
            </w:r>
          </w:p>
        </w:tc>
        <w:tc>
          <w:tcPr>
            <w:tcW w:w="160" w:type="dxa"/>
            <w:vAlign w:val="bottom"/>
          </w:tcPr>
          <w:p>
            <w:pPr>
              <w:spacing w:after="0"/>
              <w:rPr>
                <w:sz w:val="17"/>
                <w:szCs w:val="17"/>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(59,733 )</w:t>
            </w: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20,155</w:t>
            </w:r>
          </w:p>
        </w:tc>
        <w:tc>
          <w:tcPr>
            <w:tcW w:w="280" w:type="dxa"/>
            <w:vAlign w:val="bottom"/>
          </w:tcPr>
          <w:p>
            <w:pPr>
              <w:spacing w:after="0"/>
              <w:rPr>
                <w:sz w:val="17"/>
                <w:szCs w:val="17"/>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(2,690 )</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-159385</wp:posOffset>
            </wp:positionV>
            <wp:extent cx="68580" cy="1600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6002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wp:posOffset>
            </wp:positionV>
            <wp:extent cx="68580" cy="160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600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160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60020"/>
                    </a:xfrm>
                    <a:prstGeom prst="rect">
                      <a:avLst/>
                    </a:prstGeom>
                    <a:noFill/>
                  </pic:spPr>
                </pic:pic>
              </a:graphicData>
            </a:graphic>
          </wp:anchor>
        </w:drawing>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March 16, 2021, the Company refinanced its then existing $15.0 million FILO (first-in, last-out) loan and entered into a new $17.5 million FILO loan (the “New FILO loan”). On September 3, 2021, the Company repaid in full its New FILO loan. In connection with the repayment, the FILO lender agreed to a reduction in the amount of the prepayment premium that otherwise would have been payable as a result of the Company’s early repayment. The Company paid a prepayment penalty of $1.1 million which was included in interest expense, net on the Consolidated Statement of Operations for fiscal 2021. The prepayment of the New FILO loan was made from cash on-hand. Interest under the New FILO loan bore interest at 8.5%.</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and Fees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paid interest and fees totaling $3.2 million, $3.8 million and $3.3 million for fiscal 2021, fiscal 2020 and fiscal 2019, respectively. Included in the $3.2 million for fiscal 2021 was a prepayment penalty associated with the prepayment of the New FILO loan, as discussed above. In connection with the execution of the Company's New Credit Facility and the prepayment of its New FILO loan, the Company also wrote-off a total of $0.9 million in unamortized debt issuance costs during fiscal 2021, which was included in interest expense, net on the Consolidated Statement of Operations for fiscal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 LEASES</w:t>
      </w:r>
    </w:p>
    <w:p>
      <w:pPr>
        <w:spacing w:after="0" w:line="2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headquarters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opted not to elect this practical expedient and instead accounted for these rent concessions as lease modifications in accordance with ASC 842. As of January 29, 2022, the Company’s operating leases liabilities represent the present value of the remaining future minimum lease payments updated based on concessions and lease modifications.</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Lease costs related to store locations are included in cost of goods sold including occupancy costs on the Consolidated Statements of Operations, and expenses and lease costs related to the corporate headquarters, automobile and equipment leases are included in selling, general and administrative expenses on the Consolidated Statement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lease cost for fiscal 2021, fiscal 2020 and fiscal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Fiscal 2021</w:t>
            </w: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Fiscal 2020</w:t>
            </w: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gridSpan w:val="4"/>
            <w:shd w:val="clear" w:color="auto" w:fill="CFF0FC"/>
          </w:tcPr>
          <w:p>
            <w:pPr>
              <w:ind w:left="220"/>
              <w:spacing w:after="0"/>
              <w:rPr>
                <w:sz w:val="20"/>
                <w:szCs w:val="20"/>
                <w:color w:val="auto"/>
              </w:rPr>
            </w:pPr>
            <w:r>
              <w:rPr>
                <w:rFonts w:ascii="Arial" w:cs="Arial" w:eastAsia="Arial" w:hAnsi="Arial"/>
                <w:sz w:val="18"/>
                <w:szCs w:val="18"/>
                <w:color w:val="auto"/>
              </w:rPr>
              <w:t>Fiscal 2019</w:t>
            </w:r>
          </w:p>
        </w:tc>
      </w:tr>
      <w:tr>
        <w:trPr>
          <w:trHeight w:val="203"/>
        </w:trPr>
        <w:tc>
          <w:tcPr>
            <w:tcW w:w="4820" w:type="dxa"/>
            <w:vAlign w:val="bottom"/>
            <w:tcBorders>
              <w:top w:val="single" w:sz="8" w:color="CFF0FC"/>
            </w:tcBorders>
          </w:tcPr>
          <w:p>
            <w:pPr>
              <w:ind w:left="20"/>
              <w:spacing w:after="0" w:line="202" w:lineRule="exact"/>
              <w:rPr>
                <w:sz w:val="20"/>
                <w:szCs w:val="20"/>
                <w:color w:val="auto"/>
              </w:rPr>
            </w:pPr>
            <w:r>
              <w:rPr>
                <w:rFonts w:ascii="Arial" w:cs="Arial" w:eastAsia="Arial" w:hAnsi="Arial"/>
                <w:sz w:val="18"/>
                <w:szCs w:val="18"/>
                <w:i w:val="1"/>
                <w:iCs w:val="1"/>
                <w:color w:val="auto"/>
              </w:rPr>
              <w:t>(in thousands)</w:t>
            </w:r>
          </w:p>
        </w:tc>
        <w:tc>
          <w:tcPr>
            <w:tcW w:w="54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54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54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5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54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43,921</w:t>
            </w:r>
          </w:p>
        </w:tc>
        <w:tc>
          <w:tcPr>
            <w:tcW w:w="84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47,076</w:t>
            </w:r>
          </w:p>
        </w:tc>
        <w:tc>
          <w:tcPr>
            <w:tcW w:w="6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53,051</w:t>
            </w:r>
          </w:p>
        </w:tc>
        <w:tc>
          <w:tcPr>
            <w:tcW w:w="6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7"/>
                <w:szCs w:val="17"/>
                <w:color w:val="auto"/>
              </w:rPr>
              <w:t>Variable lease costs</w:t>
            </w:r>
            <w:r>
              <w:rPr>
                <w:rFonts w:ascii="Arial" w:cs="Arial" w:eastAsia="Arial" w:hAnsi="Arial"/>
                <w:sz w:val="23"/>
                <w:szCs w:val="23"/>
                <w:color w:val="auto"/>
                <w:vertAlign w:val="superscript"/>
              </w:rPr>
              <w:t>(1)</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13,290</w:t>
            </w:r>
          </w:p>
        </w:tc>
        <w:tc>
          <w:tcPr>
            <w:tcW w:w="3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14,391</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16,248</w:t>
            </w:r>
          </w:p>
        </w:tc>
        <w:tc>
          <w:tcPr>
            <w:tcW w:w="60" w:type="dxa"/>
            <w:vAlign w:val="bottom"/>
          </w:tcPr>
          <w:p>
            <w:pPr>
              <w:spacing w:after="0"/>
              <w:rPr>
                <w:sz w:val="17"/>
                <w:szCs w:val="17"/>
                <w:color w:val="auto"/>
              </w:rPr>
            </w:pPr>
          </w:p>
        </w:tc>
      </w:tr>
      <w:tr>
        <w:trPr>
          <w:trHeight w:val="236"/>
        </w:trPr>
        <w:tc>
          <w:tcPr>
            <w:tcW w:w="4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costs</w:t>
            </w:r>
          </w:p>
        </w:tc>
        <w:tc>
          <w:tcPr>
            <w:tcW w:w="540" w:type="dxa"/>
            <w:vAlign w:val="bottom"/>
            <w:tcBorders>
              <w:bottom w:val="single" w:sz="8" w:color="auto"/>
            </w:tcBorders>
            <w:shd w:val="clear" w:color="auto" w:fill="CFF0FC"/>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0"/>
              </w:rPr>
              <w:t>57,211</w:t>
            </w:r>
          </w:p>
        </w:tc>
        <w:tc>
          <w:tcPr>
            <w:tcW w:w="3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3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0"/>
              </w:rPr>
              <w:t>61,467</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69,299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-25400</wp:posOffset>
            </wp:positionV>
            <wp:extent cx="431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342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342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Variable lease costs include the cost of property taxes, insurance and common area maintenance fees related to its leases.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balance sheet information related to leases for fiscal 2021, fiscal 2020 and fiscal 2019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tcPr>
          <w:p>
            <w:pPr>
              <w:spacing w:after="0"/>
              <w:rPr>
                <w:sz w:val="18"/>
                <w:szCs w:val="18"/>
                <w:color w:val="auto"/>
              </w:rPr>
            </w:pP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89"/>
              </w:rPr>
              <w:t>Fiscal 2021</w:t>
            </w:r>
          </w:p>
        </w:tc>
        <w:tc>
          <w:tcPr>
            <w:tcW w:w="30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3"/>
              </w:rPr>
              <w:t>Fiscal 2020</w:t>
            </w:r>
          </w:p>
        </w:tc>
        <w:tc>
          <w:tcPr>
            <w:tcW w:w="1280" w:type="dxa"/>
            <w:vAlign w:val="bottom"/>
            <w:gridSpan w:val="4"/>
          </w:tcPr>
          <w:p>
            <w:pPr>
              <w:jc w:val="right"/>
              <w:ind w:right="300"/>
              <w:spacing w:after="0"/>
              <w:rPr>
                <w:sz w:val="20"/>
                <w:szCs w:val="20"/>
                <w:color w:val="auto"/>
              </w:rPr>
            </w:pPr>
            <w:r>
              <w:rPr>
                <w:rFonts w:ascii="Arial" w:cs="Arial" w:eastAsia="Arial" w:hAnsi="Arial"/>
                <w:sz w:val="18"/>
                <w:szCs w:val="18"/>
                <w:color w:val="auto"/>
              </w:rPr>
              <w:t>Fiscal 2019</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00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line="202" w:lineRule="exact"/>
              <w:rPr>
                <w:sz w:val="20"/>
                <w:szCs w:val="20"/>
                <w:color w:val="auto"/>
              </w:rPr>
            </w:pPr>
            <w:r>
              <w:rPr>
                <w:rFonts w:ascii="Arial" w:cs="Arial" w:eastAsia="Arial" w:hAnsi="Arial"/>
                <w:sz w:val="17"/>
                <w:szCs w:val="17"/>
                <w:color w:val="auto"/>
              </w:rPr>
              <w:t xml:space="preserve">Operating cash flows for operating leases </w:t>
            </w:r>
            <w:r>
              <w:rPr>
                <w:rFonts w:ascii="Arial" w:cs="Arial" w:eastAsia="Arial" w:hAnsi="Arial"/>
                <w:sz w:val="23"/>
                <w:szCs w:val="23"/>
                <w:color w:val="auto"/>
                <w:vertAlign w:val="superscript"/>
              </w:rPr>
              <w:t>(1)</w:t>
            </w:r>
          </w:p>
        </w:tc>
        <w:tc>
          <w:tcPr>
            <w:tcW w:w="10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57,816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47,330</w:t>
            </w:r>
          </w:p>
        </w:tc>
        <w:tc>
          <w:tcPr>
            <w:tcW w:w="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58,046</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Non-cash operating activities:</w:t>
            </w:r>
          </w:p>
        </w:tc>
        <w:tc>
          <w:tcPr>
            <w:tcW w:w="10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line="202" w:lineRule="exact"/>
              <w:rPr>
                <w:sz w:val="20"/>
                <w:szCs w:val="20"/>
                <w:color w:val="auto"/>
              </w:rPr>
            </w:pPr>
            <w:r>
              <w:rPr>
                <w:rFonts w:ascii="Arial" w:cs="Arial" w:eastAsia="Arial" w:hAnsi="Arial"/>
                <w:sz w:val="18"/>
                <w:szCs w:val="18"/>
                <w:color w:val="auto"/>
              </w:rPr>
              <w:t>Right-of-use assets obtained in exchange for operating lease liabilities</w:t>
            </w:r>
          </w:p>
        </w:tc>
        <w:tc>
          <w:tcPr>
            <w:tcW w:w="10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30,777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645</w:t>
            </w:r>
          </w:p>
        </w:tc>
        <w:tc>
          <w:tcPr>
            <w:tcW w:w="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Net decrease in right-of-use assets due to lease modifications</w:t>
            </w:r>
          </w:p>
        </w:tc>
        <w:tc>
          <w:tcPr>
            <w:tcW w:w="100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(6,463 )</w:t>
            </w:r>
          </w:p>
        </w:tc>
        <w:tc>
          <w:tcPr>
            <w:tcW w:w="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associated with rent concessions and lease exits</w:t>
            </w:r>
          </w:p>
        </w:tc>
        <w:tc>
          <w:tcPr>
            <w:tcW w:w="100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320" w:type="dxa"/>
            <w:vAlign w:val="bottom"/>
            <w:gridSpan w:val="3"/>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remaining lease term</w:t>
            </w:r>
          </w:p>
        </w:tc>
        <w:tc>
          <w:tcPr>
            <w:tcW w:w="10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4.3 yrs.</w:t>
            </w:r>
          </w:p>
        </w:tc>
        <w:tc>
          <w:tcPr>
            <w:tcW w:w="3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4.5 yrs.</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5.4 yrs.</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000" w:type="dxa"/>
            <w:vAlign w:val="bottom"/>
          </w:tcPr>
          <w:p>
            <w:pPr>
              <w:spacing w:after="0"/>
              <w:rPr>
                <w:sz w:val="20"/>
                <w:szCs w:val="20"/>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6.91 %</w:t>
            </w:r>
          </w:p>
        </w:tc>
        <w:tc>
          <w:tcPr>
            <w:tcW w:w="30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6.47 %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7.10 %</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60" w:right="180" w:hanging="378"/>
        <w:spacing w:after="0" w:line="29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decrease in cash payments for fiscal 2020 as compared to fiscal 2021 and fiscal 2019 was primarily due to rent abatements and deferments negotiated during fiscal 2020 in response to the COVID-19 pandemic.</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reconciles the undiscounted cash flows for each of the next five years and thereafter to the operating lease liabilities recorded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as of January 29, 2022:</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7"/>
        </w:trPr>
        <w:tc>
          <w:tcPr>
            <w:tcW w:w="6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2022</w:t>
            </w:r>
          </w:p>
        </w:tc>
        <w:tc>
          <w:tcPr>
            <w:tcW w:w="3400" w:type="dxa"/>
            <w:vAlign w:val="bottom"/>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45,667</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45,828</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3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36,301</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27,977</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3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15,214</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9,722</w:t>
            </w:r>
          </w:p>
        </w:tc>
        <w:tc>
          <w:tcPr>
            <w:tcW w:w="100" w:type="dxa"/>
            <w:vAlign w:val="bottom"/>
          </w:tcPr>
          <w:p>
            <w:pPr>
              <w:spacing w:after="0"/>
              <w:rPr>
                <w:sz w:val="17"/>
                <w:szCs w:val="17"/>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minimum lease payments</w:t>
            </w:r>
          </w:p>
        </w:tc>
        <w:tc>
          <w:tcPr>
            <w:tcW w:w="3400" w:type="dxa"/>
            <w:vAlign w:val="bottom"/>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180,709</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Less: amount of lease payments representing interest</w:t>
            </w:r>
          </w:p>
        </w:tc>
        <w:tc>
          <w:tcPr>
            <w:tcW w:w="3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25,104</w:t>
            </w:r>
          </w:p>
        </w:tc>
        <w:tc>
          <w:tcPr>
            <w:tcW w:w="100" w:type="dxa"/>
            <w:vAlign w:val="bottom"/>
          </w:tcPr>
          <w:p>
            <w:pPr>
              <w:spacing w:after="0"/>
              <w:rPr>
                <w:sz w:val="17"/>
                <w:szCs w:val="17"/>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3400" w:type="dxa"/>
            <w:vAlign w:val="bottom"/>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155,605</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Less: current obligations under leases</w:t>
            </w:r>
          </w:p>
        </w:tc>
        <w:tc>
          <w:tcPr>
            <w:tcW w:w="3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35,191</w:t>
            </w:r>
          </w:p>
        </w:tc>
        <w:tc>
          <w:tcPr>
            <w:tcW w:w="100" w:type="dxa"/>
            <w:vAlign w:val="bottom"/>
          </w:tcPr>
          <w:p>
            <w:pPr>
              <w:spacing w:after="0"/>
              <w:rPr>
                <w:sz w:val="17"/>
                <w:szCs w:val="17"/>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Noncurrent lease obligations</w:t>
            </w:r>
          </w:p>
        </w:tc>
        <w:tc>
          <w:tcPr>
            <w:tcW w:w="3400" w:type="dxa"/>
            <w:vAlign w:val="bottom"/>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120,414</w:t>
            </w:r>
          </w:p>
        </w:tc>
        <w:tc>
          <w:tcPr>
            <w:tcW w:w="10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INCOME TAXES</w:t>
      </w:r>
    </w:p>
    <w:p>
      <w:pPr>
        <w:spacing w:after="0" w:line="9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standards require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7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At the end of fiscal 2013, the Company entered a three-year cumulative loss and based on all positive and negative evidence at February 1, 2014, the Company established a full valuation allowance against its net deferred tax assets. While the Company returned to profitability in fiscal 2021, until the Company emerges from its three-year cumulative loss and is able to demonstrate consistent and prolonged profitability, the Company believes that a full allowance remains appropriate at this time. Realization of the Company’s deferred tax assets is dependent on generating sufficient taxable income in the near term.</w:t>
      </w:r>
    </w:p>
    <w:p>
      <w:pPr>
        <w:spacing w:after="0" w:line="7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of January 29, 2022, for federal income tax purposes, the Company has net operating loss carryforwards of $100.7 million, which will expire from fiscal 2028 through fiscal 2037 and net operating loss carryforwards of $43.1 million that are not subject to expiration. For state income tax purposes, the Company has $90.0 million of net operating losses that are available to offset future taxable income, the majority of which will expire from fiscal 2028 through fiscal 2041. Additionally, the Company has $5.3 million of net operating loss carryforwards related to the Company’s operations in Canada, which will expire from fiscal 2025 through fiscal 2041.</w:t>
      </w:r>
    </w:p>
    <w:p>
      <w:pPr>
        <w:spacing w:after="0" w:line="17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 As of January 29, 2022, there has been no such ownership change.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assets as of January 29, 2022 and January 30, 2021 were as follows (in thousands):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w w:val="90"/>
              </w:rPr>
              <w:t>January 29, 2022</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January 30, 2021</w:t>
            </w:r>
          </w:p>
        </w:tc>
      </w:tr>
      <w:tr>
        <w:trPr>
          <w:trHeight w:val="196"/>
        </w:trPr>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 net:</w:t>
            </w: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36,790</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50,197</w:t>
            </w:r>
          </w:p>
        </w:tc>
        <w:tc>
          <w:tcPr>
            <w:tcW w:w="100" w:type="dxa"/>
            <w:vAlign w:val="bottom"/>
          </w:tcPr>
          <w:p>
            <w:pPr>
              <w:spacing w:after="0"/>
              <w:rPr>
                <w:sz w:val="17"/>
                <w:szCs w:val="17"/>
                <w:color w:val="auto"/>
              </w:rPr>
            </w:pPr>
          </w:p>
        </w:tc>
      </w:tr>
      <w:tr>
        <w:trPr>
          <w:trHeight w:val="202"/>
        </w:trPr>
        <w:tc>
          <w:tcPr>
            <w:tcW w:w="50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expenses and other</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2,706</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40,301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45,557</w:t>
            </w:r>
          </w:p>
        </w:tc>
        <w:tc>
          <w:tcPr>
            <w:tcW w:w="100" w:type="dxa"/>
            <w:vAlign w:val="bottom"/>
          </w:tcPr>
          <w:p>
            <w:pPr>
              <w:spacing w:after="0"/>
              <w:rPr>
                <w:sz w:val="17"/>
                <w:szCs w:val="17"/>
                <w:color w:val="auto"/>
              </w:rPr>
            </w:pPr>
          </w:p>
        </w:tc>
      </w:tr>
      <w:tr>
        <w:trPr>
          <w:trHeight w:val="203"/>
        </w:trPr>
        <w:tc>
          <w:tcPr>
            <w:tcW w:w="50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Goodwill and intangibles</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Unrecognized loss on pension and pension expense</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2,067</w:t>
            </w:r>
          </w:p>
        </w:tc>
        <w:tc>
          <w:tcPr>
            <w:tcW w:w="100" w:type="dxa"/>
            <w:vAlign w:val="bottom"/>
          </w:tcPr>
          <w:p>
            <w:pPr>
              <w:spacing w:after="0"/>
              <w:rPr>
                <w:sz w:val="17"/>
                <w:szCs w:val="17"/>
                <w:color w:val="auto"/>
              </w:rPr>
            </w:pPr>
          </w:p>
        </w:tc>
      </w:tr>
      <w:tr>
        <w:trPr>
          <w:trHeight w:val="203"/>
        </w:trPr>
        <w:tc>
          <w:tcPr>
            <w:tcW w:w="50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Inventory reserves</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1,002</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Foreign tax credit carryforward</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100" w:type="dxa"/>
            <w:vAlign w:val="bottom"/>
          </w:tcPr>
          <w:p>
            <w:pPr>
              <w:spacing w:after="0"/>
              <w:rPr>
                <w:sz w:val="17"/>
                <w:szCs w:val="17"/>
                <w:color w:val="auto"/>
              </w:rPr>
            </w:pPr>
          </w:p>
        </w:tc>
      </w:tr>
      <w:tr>
        <w:trPr>
          <w:trHeight w:val="203"/>
        </w:trPr>
        <w:tc>
          <w:tcPr>
            <w:tcW w:w="50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 wage tax credit carryforward</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824</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State tax credits</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7"/>
                <w:szCs w:val="17"/>
                <w:color w:val="auto"/>
              </w:rPr>
            </w:pPr>
          </w:p>
        </w:tc>
      </w:tr>
      <w:tr>
        <w:trPr>
          <w:trHeight w:val="203"/>
        </w:trPr>
        <w:tc>
          <w:tcPr>
            <w:tcW w:w="50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(33,103 )</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(34,365 )</w:t>
            </w: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(3,597 )</w:t>
            </w:r>
          </w:p>
        </w:tc>
        <w:tc>
          <w:tcPr>
            <w:tcW w:w="12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(5,605 )</w:t>
            </w:r>
          </w:p>
        </w:tc>
      </w:tr>
      <w:tr>
        <w:trPr>
          <w:trHeight w:val="196"/>
        </w:trPr>
        <w:tc>
          <w:tcPr>
            <w:tcW w:w="5060" w:type="dxa"/>
            <w:vAlign w:val="bottom"/>
            <w:shd w:val="clear" w:color="auto" w:fill="CFF0FC"/>
          </w:tcPr>
          <w:p>
            <w:pPr>
              <w:ind w:left="32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50,019</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63,103</w:t>
            </w:r>
          </w:p>
        </w:tc>
        <w:tc>
          <w:tcPr>
            <w:tcW w:w="100" w:type="dxa"/>
            <w:vAlign w:val="bottom"/>
            <w:shd w:val="clear" w:color="auto" w:fill="CFF0FC"/>
          </w:tcPr>
          <w:p>
            <w:pPr>
              <w:spacing w:after="0"/>
              <w:rPr>
                <w:sz w:val="17"/>
                <w:szCs w:val="17"/>
                <w:color w:val="auto"/>
              </w:rPr>
            </w:pPr>
          </w:p>
        </w:tc>
      </w:tr>
      <w:tr>
        <w:trPr>
          <w:trHeight w:val="202"/>
        </w:trPr>
        <w:tc>
          <w:tcPr>
            <w:tcW w:w="506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(50,019 )</w:t>
            </w:r>
          </w:p>
        </w:tc>
        <w:tc>
          <w:tcPr>
            <w:tcW w:w="12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(63,103 )</w:t>
            </w:r>
          </w:p>
        </w:tc>
      </w:tr>
      <w:tr>
        <w:trPr>
          <w:trHeight w:val="236"/>
        </w:trPr>
        <w:tc>
          <w:tcPr>
            <w:tcW w:w="50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For fiscal 2021, the Company had total deferred tax assets of $86.7 million, total deferred tax liabilities of $36.7 million and a valuation allowance of $50.0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color w:val="auto"/>
              </w:rPr>
              <w:t>FISCAL YEARS ENDED</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5"/>
                <w:szCs w:val="15"/>
                <w:color w:val="auto"/>
              </w:rPr>
            </w:pPr>
          </w:p>
        </w:tc>
        <w:tc>
          <w:tcPr>
            <w:tcW w:w="1200" w:type="dxa"/>
            <w:vAlign w:val="bottom"/>
          </w:tcPr>
          <w:p>
            <w:pPr>
              <w:jc w:val="right"/>
              <w:ind w:right="72"/>
              <w:spacing w:after="0"/>
              <w:rPr>
                <w:sz w:val="20"/>
                <w:szCs w:val="20"/>
                <w:color w:val="auto"/>
              </w:rPr>
            </w:pPr>
            <w:r>
              <w:rPr>
                <w:rFonts w:ascii="Arial" w:cs="Arial" w:eastAsia="Arial" w:hAnsi="Arial"/>
                <w:sz w:val="14"/>
                <w:szCs w:val="14"/>
                <w:color w:val="auto"/>
                <w:w w:val="94"/>
              </w:rPr>
              <w:t>January 29, 2022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January 30, 2021</w:t>
            </w:r>
          </w:p>
        </w:tc>
        <w:tc>
          <w:tcPr>
            <w:tcW w:w="140" w:type="dxa"/>
            <w:vAlign w:val="bottom"/>
          </w:tcPr>
          <w:p>
            <w:pPr>
              <w:spacing w:after="0"/>
              <w:rPr>
                <w:sz w:val="15"/>
                <w:szCs w:val="15"/>
                <w:color w:val="auto"/>
              </w:rPr>
            </w:pPr>
          </w:p>
        </w:tc>
        <w:tc>
          <w:tcPr>
            <w:tcW w:w="1200" w:type="dxa"/>
            <w:vAlign w:val="bottom"/>
          </w:tcPr>
          <w:p>
            <w:pPr>
              <w:jc w:val="right"/>
              <w:ind w:right="92"/>
              <w:spacing w:after="0"/>
              <w:rPr>
                <w:sz w:val="20"/>
                <w:szCs w:val="20"/>
                <w:color w:val="auto"/>
              </w:rPr>
            </w:pPr>
            <w:r>
              <w:rPr>
                <w:rFonts w:ascii="Arial" w:cs="Arial" w:eastAsia="Arial" w:hAnsi="Arial"/>
                <w:sz w:val="14"/>
                <w:szCs w:val="14"/>
                <w:color w:val="auto"/>
                <w:w w:val="93"/>
              </w:rPr>
              <w:t>February 1, 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State</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Federal</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State</w:t>
            </w: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provision</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917</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-296545</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-296545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between the statutory and effective income tax rates in dollars for the provision for income tax:</w:t>
      </w: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164"/>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5"/>
          </w:tcPr>
          <w:p>
            <w:pPr>
              <w:jc w:val="right"/>
              <w:ind w:right="80"/>
              <w:spacing w:after="0"/>
              <w:rPr>
                <w:sz w:val="20"/>
                <w:szCs w:val="20"/>
                <w:color w:val="auto"/>
              </w:rPr>
            </w:pPr>
            <w:r>
              <w:rPr>
                <w:rFonts w:ascii="Arial" w:cs="Arial" w:eastAsia="Arial" w:hAnsi="Arial"/>
                <w:sz w:val="14"/>
                <w:szCs w:val="14"/>
                <w:color w:val="auto"/>
              </w:rPr>
              <w:t>FISCAL YEARS ENDED</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4"/>
                <w:szCs w:val="14"/>
                <w:color w:val="auto"/>
                <w:w w:val="90"/>
              </w:rPr>
              <w:t>January 29, 2022</w:t>
            </w:r>
          </w:p>
        </w:tc>
        <w:tc>
          <w:tcPr>
            <w:tcW w:w="100" w:type="dxa"/>
            <w:vAlign w:val="bottom"/>
          </w:tcPr>
          <w:p>
            <w:pPr>
              <w:spacing w:after="0"/>
              <w:rPr>
                <w:sz w:val="15"/>
                <w:szCs w:val="15"/>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color w:val="auto"/>
                <w:w w:val="88"/>
              </w:rPr>
              <w:t>January 30, 2021</w:t>
            </w: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w w:val="99"/>
              </w:rPr>
              <w:t>February 1, 2020</w:t>
            </w:r>
          </w:p>
        </w:tc>
      </w:tr>
      <w:tr>
        <w:trPr>
          <w:trHeight w:val="357"/>
        </w:trPr>
        <w:tc>
          <w:tcPr>
            <w:tcW w:w="48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Federal income tax at the statutory rate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12,102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(13,531 )</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(1,615 )</w:t>
            </w: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State taxes, net of federal tax benefit</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Section 162(m) limitation</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1,375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541</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Permanent items</w:t>
            </w: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(893 )</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7"/>
                <w:szCs w:val="17"/>
                <w:color w:val="auto"/>
              </w:rPr>
              <w:t xml:space="preserve">Change in valuation allowance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(12,421 )</w:t>
            </w: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13,167</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850</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net</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(50 )</w:t>
            </w:r>
          </w:p>
        </w:tc>
        <w:tc>
          <w:tcPr>
            <w:tcW w:w="4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(25 )</w:t>
            </w:r>
          </w:p>
        </w:tc>
      </w:tr>
      <w:tr>
        <w:trPr>
          <w:trHeight w:val="196"/>
        </w:trPr>
        <w:tc>
          <w:tcPr>
            <w:tcW w:w="48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Total provision</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917</w:t>
            </w: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106</w:t>
            </w:r>
          </w:p>
        </w:tc>
        <w:tc>
          <w:tcPr>
            <w:tcW w:w="20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6"/>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105</w:t>
            </w:r>
          </w:p>
        </w:tc>
        <w:tc>
          <w:tcPr>
            <w:tcW w:w="100" w:type="dxa"/>
            <w:vAlign w:val="bottom"/>
            <w:tcBorders>
              <w:top w:val="single" w:sz="8" w:color="CFF0FC"/>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-159385</wp:posOffset>
            </wp:positionV>
            <wp:extent cx="596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-159385</wp:posOffset>
            </wp:positionV>
            <wp:extent cx="6032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ind w:left="520" w:right="200" w:hanging="512"/>
        <w:spacing w:after="0" w:line="248"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change in valuation allowance excludes the amounts allocable to state income tax, which is presented in State taxes, net of federal tax benefit, and other comprehensive income. The change in valuation allowance in fiscal 2019 was impacted by the adoption of ASC 842 in the tax-effected amount of $1.4 million.</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discussed in Note A, the Company’s financial statements reflect the expected future tax consequences of uncertain tax positions that the Company has taken or expects to take on a tax return, based solely on the technical merits of the tax position. The liability for unrecognized tax benefits at January 29, 2022 and January 30, 2021 was approximately $2.0 million and was associated with a prior tax position related to exiting the Company’s direct business in Europe during fiscal 2013.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fiscal 2021, the Company made tax payments of $0.6 million, as compared to $0.1 million for both fiscal 2020 and fiscal 2019.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G. COMMITMENTS AND CONTINGENCIES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January 29, 2022, the Company was obligated under operating leases covering store and office space, automobiles and certain equipment for future minimum rentals. See Note E, “</w:t>
      </w:r>
      <w:r>
        <w:rPr>
          <w:rFonts w:ascii="Arial" w:cs="Arial" w:eastAsia="Arial" w:hAnsi="Arial"/>
          <w:sz w:val="18"/>
          <w:szCs w:val="18"/>
          <w:i w:val="1"/>
          <w:iCs w:val="1"/>
          <w:color w:val="auto"/>
        </w:rPr>
        <w:t>Leases</w:t>
      </w:r>
      <w:r>
        <w:rPr>
          <w:rFonts w:ascii="Arial" w:cs="Arial" w:eastAsia="Arial" w:hAnsi="Arial"/>
          <w:sz w:val="18"/>
          <w:szCs w:val="18"/>
          <w:color w:val="auto"/>
        </w:rPr>
        <w:t>” for the schedule of future remaining lease obligations. In addition to its lease obligations, the Company is also contractually committed pursuant to a merchandise purchase obligation to meet minimum purchases of $10.0 million in each fiscal year through fiscal 2023.</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is subject to various legal proceedings and claims that arise in the ordinary course of business. When a loss is considered probable, the Company records an accrual based on the reasonably estimable loss or range of loss. Costs related to such legal proceedings are expensed and reported in selling, general, and administrative expenses in the Consolidated Statements of Operations. The Company believes its current accruals at January 29, 2022 are adequate in light of the probable and estimable liabilities. The Company does not believe that any identified claims or litigation will be material to its results of operations, cash flows, or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LONG-TERM INCENTIVE PLANS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of the Company’s Long-Term Incentive Plan (“LTIP”). All equity awards granted under these long-term incentive plans were issued from the Company’s stockholder-approved 2016 Incentive Compensation Plan. See Note I, “</w:t>
      </w:r>
      <w:r>
        <w:rPr>
          <w:rFonts w:ascii="Arial" w:cs="Arial" w:eastAsia="Arial" w:hAnsi="Arial"/>
          <w:sz w:val="18"/>
          <w:szCs w:val="18"/>
          <w:i w:val="1"/>
          <w:iCs w:val="1"/>
          <w:color w:val="auto"/>
        </w:rPr>
        <w:t>Stock Compensation Plans</w:t>
      </w:r>
      <w:r>
        <w:rPr>
          <w:rFonts w:ascii="Arial" w:cs="Arial" w:eastAsia="Arial" w:hAnsi="Arial"/>
          <w:sz w:val="18"/>
          <w:szCs w:val="18"/>
          <w:color w:val="auto"/>
        </w:rPr>
        <w: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At January 29, 2022, the Company has three active LTIPs: 2019-2021 LTIP, 2020-2022 LTIP and 2021-2023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The time-based awards under the 2019-2021 LTIP were granted in a combination of 50% RSUs and 50% cash. For the 2020-2022 LTIP, the time-based awards were granted in a combination of 50% stock options and 50% cash, and for the 2021-2023 LTIP, the time-based awards were granted in a combination of 25% stock options and 75% cash.</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Performance targets for the 2019-2021 LTIP, 2020-2022 LTIP and 2021-2023 LTIP were established and approved by the Compensation Committee on August 7, 2019, June 11, 2020, and March 8, 2021, respectively. The performance period for each LTIP is three years. Awards for any achievement of performance targets will not be granted until the performance targets are achieved and then will be subject to additional vesting through August 31, 2022, August 31, 2023 and August, 31, 2024, respectively. The time-based awards under the 2019-2021 LTIP, 2020-2022 LTIP and 2021-2023 LTIP vest in four equal installments through April 1, 2023, April 1, 2024 and April 1, 2025, respectively.</w:t>
      </w:r>
    </w:p>
    <w:p>
      <w:pPr>
        <w:spacing w:after="0" w:line="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Assuming that the Company achieves the performance targets at target levels and all time-based awards vest, the compensation expense associated with the 2019-2021 LTIP, 2020-2022 LTIP and 2021-2023 LTIP is estimated to be approximately $3.8 million, $3.8 million and $4.0 million, respectively. Approximately half of the compensation expense for each LTIP relates to the time-based awards, which are being expensed straight-line over 44 months, 46 months and 49 months, respectively.</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performance targets under the 2019-2021 LTIP were achieved at the end of fiscal 2021. Based on that achievement, subsequent to the end of fiscal 2021, on March 15, 2022, the Compensation Committee approved a total performance award of $2.6 million, to be awarded in a combination of 50% cash and 50% RSUs. All awards are subject to further vesting through August 31, 2022. Accordingly, at January 29, 2022, the Company has accrued $2.3 million of the $2.6 million award.</w:t>
      </w:r>
    </w:p>
    <w:p>
      <w:pPr>
        <w:spacing w:after="0" w:line="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January 29, 2022, the Company has accrued $1.5 million and $0.8 million for the performance awards under the 2020-2022 LTIP and 2021-2023 LTIP,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STOCK COMPENSATION PLANS</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has one active stock-based compensation plan: the 2016 Incentive Compensation Plan (the “2016 Plan”). The initial share reserve under the 2016 Plan was 5,725,538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reduced the outstanding reserve by a fixed ratio of 1.9 shares for every share granted. The Company’s shareholders approved amendments to increase the share reserve by 2,800,000 shares on August 8, 2019, an additional 1,740,000 shares on August 12, 2020 and an additional 4,855,000 on August 5, 2021. At January 29, 2022, the Company had 4,800,386 shares available under the 2016 Plan.</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January 29, 2022, there were 298,231 stock options that remain outstanding under the 2006 Plan.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4" w:name="page55"/>
    <w:bookmarkEnd w:id="54"/>
    <w:p>
      <w:pPr>
        <w:jc w:val="both"/>
        <w:spacing w:after="0" w:line="243"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stock option activity under the Company’s 2006 Plan and 2016 Plan, on an aggregate basis, for fiscal 2021:</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0"/>
              </w:rPr>
              <w:t>Weighted-average</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Weighted-average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5"/>
              <w:spacing w:after="0"/>
              <w:rPr>
                <w:sz w:val="20"/>
                <w:szCs w:val="20"/>
                <w:color w:val="auto"/>
              </w:rPr>
            </w:pPr>
            <w:r>
              <w:rPr>
                <w:rFonts w:ascii="Arial" w:cs="Arial" w:eastAsia="Arial" w:hAnsi="Arial"/>
                <w:sz w:val="14"/>
                <w:szCs w:val="14"/>
                <w:color w:val="auto"/>
                <w:w w:val="92"/>
              </w:rPr>
              <w:t>Aggregate</w:t>
            </w:r>
          </w:p>
        </w:tc>
        <w:tc>
          <w:tcPr>
            <w:tcW w:w="60" w:type="dxa"/>
            <w:vAlign w:val="bottom"/>
          </w:tcPr>
          <w:p>
            <w:pPr>
              <w:spacing w:after="0"/>
              <w:rPr>
                <w:sz w:val="14"/>
                <w:szCs w:val="14"/>
                <w:color w:val="auto"/>
              </w:rPr>
            </w:pPr>
          </w:p>
        </w:tc>
      </w:tr>
      <w:tr>
        <w:trPr>
          <w:trHeight w:val="148"/>
        </w:trPr>
        <w:tc>
          <w:tcPr>
            <w:tcW w:w="504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Number of</w:t>
            </w:r>
          </w:p>
        </w:tc>
        <w:tc>
          <w:tcPr>
            <w:tcW w:w="140" w:type="dxa"/>
            <w:vAlign w:val="bottom"/>
          </w:tcPr>
          <w:p>
            <w:pPr>
              <w:spacing w:after="0"/>
              <w:rPr>
                <w:sz w:val="12"/>
                <w:szCs w:val="12"/>
                <w:color w:val="auto"/>
              </w:rPr>
            </w:pPr>
          </w:p>
        </w:tc>
        <w:tc>
          <w:tcPr>
            <w:tcW w:w="100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90"/>
              </w:rPr>
              <w:t>exercise price</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Arial" w:cs="Arial" w:eastAsia="Arial" w:hAnsi="Arial"/>
                <w:sz w:val="14"/>
                <w:szCs w:val="14"/>
                <w:color w:val="auto"/>
                <w:w w:val="96"/>
              </w:rPr>
              <w:t>intrinsic value</w:t>
            </w:r>
          </w:p>
        </w:tc>
        <w:tc>
          <w:tcPr>
            <w:tcW w:w="60" w:type="dxa"/>
            <w:vAlign w:val="bottom"/>
          </w:tcPr>
          <w:p>
            <w:pPr>
              <w:spacing w:after="0"/>
              <w:rPr>
                <w:sz w:val="12"/>
                <w:szCs w:val="12"/>
                <w:color w:val="auto"/>
              </w:rPr>
            </w:pPr>
          </w:p>
        </w:tc>
      </w:tr>
      <w:tr>
        <w:trPr>
          <w:trHeight w:val="181"/>
        </w:trPr>
        <w:tc>
          <w:tcPr>
            <w:tcW w:w="5040" w:type="dxa"/>
            <w:vAlign w:val="bottom"/>
          </w:tcPr>
          <w:p>
            <w:pPr>
              <w:spacing w:after="0"/>
              <w:rPr>
                <w:sz w:val="15"/>
                <w:szCs w:val="15"/>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5"/>
                <w:szCs w:val="15"/>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color w:val="auto"/>
                <w:w w:val="93"/>
              </w:rPr>
              <w:t>per option</w:t>
            </w:r>
          </w:p>
        </w:tc>
        <w:tc>
          <w:tcPr>
            <w:tcW w:w="1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contractual term</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5"/>
              <w:spacing w:after="0"/>
              <w:rPr>
                <w:sz w:val="20"/>
                <w:szCs w:val="20"/>
                <w:color w:val="auto"/>
              </w:rPr>
            </w:pPr>
            <w:r>
              <w:rPr>
                <w:rFonts w:ascii="Arial" w:cs="Arial" w:eastAsia="Arial" w:hAnsi="Arial"/>
                <w:sz w:val="14"/>
                <w:szCs w:val="14"/>
                <w:color w:val="auto"/>
                <w:w w:val="94"/>
              </w:rPr>
              <w:t>(000's)</w:t>
            </w:r>
          </w:p>
        </w:tc>
        <w:tc>
          <w:tcPr>
            <w:tcW w:w="60" w:type="dxa"/>
            <w:vAlign w:val="bottom"/>
          </w:tcPr>
          <w:p>
            <w:pPr>
              <w:spacing w:after="0"/>
              <w:rPr>
                <w:sz w:val="15"/>
                <w:szCs w:val="15"/>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Stock Options</w:t>
            </w: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Outstanding options at beginning of year</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3,647,581</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811</w:t>
            </w:r>
          </w:p>
        </w:tc>
        <w:tc>
          <w:tcPr>
            <w:tcW w:w="60" w:type="dxa"/>
            <w:vAlign w:val="bottom"/>
          </w:tcPr>
          <w:p>
            <w:pPr>
              <w:spacing w:after="0"/>
              <w:rPr>
                <w:sz w:val="17"/>
                <w:szCs w:val="17"/>
                <w:color w:val="auto"/>
              </w:rPr>
            </w:pPr>
          </w:p>
        </w:tc>
      </w:tr>
      <w:tr>
        <w:trPr>
          <w:trHeight w:val="203"/>
        </w:trPr>
        <w:tc>
          <w:tcPr>
            <w:tcW w:w="5040" w:type="dxa"/>
            <w:vAlign w:val="bottom"/>
            <w:shd w:val="clear" w:color="auto" w:fill="CFF0FC"/>
          </w:tcPr>
          <w:p>
            <w:pPr>
              <w:ind w:left="180"/>
              <w:spacing w:after="0" w:line="202" w:lineRule="exact"/>
              <w:rPr>
                <w:sz w:val="20"/>
                <w:szCs w:val="20"/>
                <w:color w:val="auto"/>
              </w:rPr>
            </w:pPr>
            <w:r>
              <w:rPr>
                <w:rFonts w:ascii="Arial" w:cs="Arial" w:eastAsia="Arial" w:hAnsi="Arial"/>
                <w:sz w:val="17"/>
                <w:szCs w:val="17"/>
                <w:color w:val="auto"/>
              </w:rPr>
              <w:t xml:space="preserve">Options granted </w:t>
            </w:r>
            <w:r>
              <w:rPr>
                <w:rFonts w:ascii="Arial" w:cs="Arial" w:eastAsia="Arial" w:hAnsi="Arial"/>
                <w:sz w:val="23"/>
                <w:szCs w:val="23"/>
                <w:color w:val="auto"/>
                <w:vertAlign w:val="superscript"/>
              </w:rPr>
              <w:t>(1)</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1,518,154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0.71</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Options canceled or expired</w:t>
            </w:r>
          </w:p>
        </w:tc>
        <w:tc>
          <w:tcPr>
            <w:tcW w:w="1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(22,542 )</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040" w:type="dxa"/>
            <w:vAlign w:val="bottom"/>
            <w:shd w:val="clear" w:color="auto" w:fill="CFF0FC"/>
          </w:tcPr>
          <w:p>
            <w:pPr>
              <w:ind w:left="180"/>
              <w:spacing w:after="0" w:line="202" w:lineRule="exact"/>
              <w:rPr>
                <w:sz w:val="20"/>
                <w:szCs w:val="20"/>
                <w:color w:val="auto"/>
              </w:rPr>
            </w:pPr>
            <w:r>
              <w:rPr>
                <w:rFonts w:ascii="Arial" w:cs="Arial" w:eastAsia="Arial" w:hAnsi="Arial"/>
                <w:sz w:val="17"/>
                <w:szCs w:val="17"/>
                <w:color w:val="auto"/>
              </w:rPr>
              <w:t xml:space="preserve">Options exercised </w:t>
            </w:r>
            <w:r>
              <w:rPr>
                <w:rFonts w:ascii="Arial" w:cs="Arial" w:eastAsia="Arial" w:hAnsi="Arial"/>
                <w:sz w:val="23"/>
                <w:szCs w:val="23"/>
                <w:color w:val="auto"/>
                <w:vertAlign w:val="superscript"/>
              </w:rPr>
              <w:t>(2)</w:t>
            </w:r>
          </w:p>
        </w:tc>
        <w:tc>
          <w:tcPr>
            <w:tcW w:w="13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(521,643 )</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2,493</w:t>
            </w:r>
          </w:p>
        </w:tc>
        <w:tc>
          <w:tcPr>
            <w:tcW w:w="60" w:type="dxa"/>
            <w:vAlign w:val="bottom"/>
            <w:shd w:val="clear" w:color="auto" w:fill="CFF0FC"/>
          </w:tcPr>
          <w:p>
            <w:pPr>
              <w:spacing w:after="0"/>
              <w:rPr>
                <w:sz w:val="17"/>
                <w:szCs w:val="17"/>
                <w:color w:val="auto"/>
              </w:rPr>
            </w:pPr>
          </w:p>
        </w:tc>
      </w:tr>
      <w:tr>
        <w:trPr>
          <w:trHeight w:val="196"/>
        </w:trPr>
        <w:tc>
          <w:tcPr>
            <w:tcW w:w="504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Outstanding options at end of year</w:t>
            </w: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4,621,550</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0.90</w:t>
            </w:r>
          </w:p>
        </w:tc>
        <w:tc>
          <w:tcPr>
            <w:tcW w:w="16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ind w:left="600"/>
              <w:spacing w:after="0" w:line="196" w:lineRule="exact"/>
              <w:rPr>
                <w:sz w:val="20"/>
                <w:szCs w:val="20"/>
                <w:color w:val="auto"/>
              </w:rPr>
            </w:pPr>
            <w:r>
              <w:rPr>
                <w:rFonts w:ascii="Arial" w:cs="Arial" w:eastAsia="Arial" w:hAnsi="Arial"/>
                <w:sz w:val="18"/>
                <w:szCs w:val="18"/>
                <w:color w:val="auto"/>
                <w:w w:val="91"/>
              </w:rPr>
              <w:t>8.2 yrs.</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16,067</w:t>
            </w:r>
          </w:p>
        </w:tc>
        <w:tc>
          <w:tcPr>
            <w:tcW w:w="60" w:type="dxa"/>
            <w:vAlign w:val="bottom"/>
            <w:tcBorders>
              <w:top w:val="single" w:sz="8" w:color="CFF0FC"/>
            </w:tcBorders>
          </w:tcPr>
          <w:p>
            <w:pPr>
              <w:spacing w:after="0"/>
              <w:rPr>
                <w:sz w:val="17"/>
                <w:szCs w:val="17"/>
                <w:color w:val="auto"/>
              </w:rPr>
            </w:pPr>
          </w:p>
        </w:tc>
      </w:tr>
      <w:tr>
        <w:trPr>
          <w:trHeight w:val="202"/>
        </w:trPr>
        <w:tc>
          <w:tcPr>
            <w:tcW w:w="50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Options exercisable at end of year</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751,743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w w:val="91"/>
              </w:rPr>
              <w:t>5.6 yrs.</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1,662</w:t>
            </w:r>
          </w:p>
        </w:tc>
        <w:tc>
          <w:tcPr>
            <w:tcW w:w="60" w:type="dxa"/>
            <w:vAlign w:val="bottom"/>
            <w:shd w:val="clear" w:color="auto" w:fill="CFF0FC"/>
          </w:tcPr>
          <w:p>
            <w:pPr>
              <w:spacing w:after="0"/>
              <w:rPr>
                <w:sz w:val="17"/>
                <w:szCs w:val="17"/>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Vested and expected to vest at end of year</w:t>
            </w:r>
          </w:p>
        </w:tc>
        <w:tc>
          <w:tcPr>
            <w:tcW w:w="1120" w:type="dxa"/>
            <w:vAlign w:val="bottom"/>
          </w:tcPr>
          <w:p>
            <w:pPr>
              <w:jc w:val="right"/>
              <w:spacing w:after="0"/>
              <w:rPr>
                <w:sz w:val="20"/>
                <w:szCs w:val="20"/>
                <w:color w:val="auto"/>
              </w:rPr>
            </w:pPr>
            <w:r>
              <w:rPr>
                <w:rFonts w:ascii="Arial" w:cs="Arial" w:eastAsia="Arial" w:hAnsi="Arial"/>
                <w:sz w:val="18"/>
                <w:szCs w:val="18"/>
                <w:color w:val="auto"/>
              </w:rPr>
              <w:t>4,621,550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20"/>
                <w:szCs w:val="20"/>
                <w:color w:val="auto"/>
              </w:rPr>
            </w:pPr>
          </w:p>
        </w:tc>
        <w:tc>
          <w:tcPr>
            <w:tcW w:w="1160" w:type="dxa"/>
            <w:vAlign w:val="bottom"/>
          </w:tcPr>
          <w:p>
            <w:pPr>
              <w:ind w:left="600"/>
              <w:spacing w:after="0"/>
              <w:rPr>
                <w:sz w:val="20"/>
                <w:szCs w:val="20"/>
                <w:color w:val="auto"/>
              </w:rPr>
            </w:pPr>
            <w:r>
              <w:rPr>
                <w:rFonts w:ascii="Arial" w:cs="Arial" w:eastAsia="Arial" w:hAnsi="Arial"/>
                <w:sz w:val="18"/>
                <w:szCs w:val="18"/>
                <w:color w:val="auto"/>
                <w:w w:val="91"/>
              </w:rPr>
              <w:t>8.2 yrs.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16,067</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-408305</wp:posOffset>
            </wp:positionV>
            <wp:extent cx="685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-408305</wp:posOffset>
            </wp:positionV>
            <wp:extent cx="431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-408305</wp:posOffset>
            </wp:positionV>
            <wp:extent cx="6032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-408305</wp:posOffset>
            </wp:positionV>
            <wp:extent cx="3429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46" w:lineRule="exact"/>
        <w:rPr>
          <w:sz w:val="20"/>
          <w:szCs w:val="20"/>
          <w:color w:val="auto"/>
        </w:rPr>
      </w:pPr>
    </w:p>
    <w:p>
      <w:pPr>
        <w:ind w:left="1020" w:right="120" w:hanging="503"/>
        <w:spacing w:after="0" w:line="284"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Primarily represents the grant of stock options to purchase an aggregate of 1,078,913 shares of the Company's common stock, at an exercise price of $0.69 per share, in connection with the time-based grant of awards under its 2021-2023 LTIP, see Note H, </w:t>
      </w:r>
      <w:r>
        <w:rPr>
          <w:rFonts w:ascii="Arial" w:cs="Arial" w:eastAsia="Arial" w:hAnsi="Arial"/>
          <w:sz w:val="16"/>
          <w:szCs w:val="16"/>
          <w:i w:val="1"/>
          <w:iCs w:val="1"/>
          <w:color w:val="auto"/>
        </w:rPr>
        <w:t>Long-Term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In March 2021, the Company also granted to active participants of the LTIP a discretionary grant of stock options to purchase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of 414,337 shares of the Company's common stock, at an exercise price of $0.75 per share, which vest over 3 years.</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result of net share settlements, of the 521,643 stock options exercised, only 389,838 shares of common stock were issued.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Share Activity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activity for non-vested shares under the Company’s 2006 Plan and 2016 Plan, on an aggregate basis, for fiscal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9"/>
              <w:spacing w:after="0"/>
              <w:rPr>
                <w:sz w:val="20"/>
                <w:szCs w:val="20"/>
                <w:color w:val="auto"/>
              </w:rPr>
            </w:pPr>
            <w:r>
              <w:rPr>
                <w:rFonts w:ascii="Arial" w:cs="Arial" w:eastAsia="Arial" w:hAnsi="Arial"/>
                <w:sz w:val="14"/>
                <w:szCs w:val="14"/>
                <w:color w:val="auto"/>
                <w:w w:val="93"/>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Performance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160" w:type="dxa"/>
            <w:vAlign w:val="bottom"/>
          </w:tcPr>
          <w:p>
            <w:pPr>
              <w:spacing w:after="0"/>
              <w:rPr>
                <w:sz w:val="12"/>
                <w:szCs w:val="12"/>
                <w:color w:val="auto"/>
              </w:rPr>
            </w:pP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4"/>
                <w:szCs w:val="14"/>
                <w:color w:val="auto"/>
              </w:rPr>
              <w:t xml:space="preserve">RSUs </w:t>
            </w:r>
            <w:r>
              <w:rPr>
                <w:rFonts w:ascii="Arial" w:cs="Arial" w:eastAsia="Arial" w:hAnsi="Arial"/>
                <w:sz w:val="19"/>
                <w:szCs w:val="19"/>
                <w:color w:val="auto"/>
                <w:vertAlign w:val="superscript"/>
              </w:rPr>
              <w:t>(1)</w:t>
            </w:r>
          </w:p>
        </w:tc>
        <w:tc>
          <w:tcPr>
            <w:tcW w:w="1080" w:type="dxa"/>
            <w:vAlign w:val="bottom"/>
          </w:tcPr>
          <w:p>
            <w:pPr>
              <w:jc w:val="right"/>
              <w:ind w:right="215"/>
              <w:spacing w:after="0" w:line="141" w:lineRule="exact"/>
              <w:rPr>
                <w:sz w:val="20"/>
                <w:szCs w:val="20"/>
                <w:color w:val="auto"/>
              </w:rPr>
            </w:pPr>
            <w:r>
              <w:rPr>
                <w:rFonts w:ascii="Arial" w:cs="Arial" w:eastAsia="Arial" w:hAnsi="Arial"/>
                <w:sz w:val="14"/>
                <w:szCs w:val="14"/>
                <w:color w:val="auto"/>
              </w:rPr>
              <w:t>Deferred</w:t>
            </w:r>
          </w:p>
        </w:tc>
        <w:tc>
          <w:tcPr>
            <w:tcW w:w="200" w:type="dxa"/>
            <w:vAlign w:val="bottom"/>
          </w:tcPr>
          <w:p>
            <w:pPr>
              <w:spacing w:after="0"/>
              <w:rPr>
                <w:sz w:val="12"/>
                <w:szCs w:val="12"/>
                <w:color w:val="auto"/>
              </w:rPr>
            </w:pPr>
          </w:p>
        </w:tc>
        <w:tc>
          <w:tcPr>
            <w:tcW w:w="1280" w:type="dxa"/>
            <w:vAlign w:val="bottom"/>
            <w:gridSpan w:val="2"/>
          </w:tcPr>
          <w:p>
            <w:pPr>
              <w:jc w:val="right"/>
              <w:ind w:right="580"/>
              <w:spacing w:after="0" w:line="141" w:lineRule="exact"/>
              <w:rPr>
                <w:sz w:val="20"/>
                <w:szCs w:val="20"/>
                <w:color w:val="auto"/>
              </w:rPr>
            </w:pPr>
            <w:r>
              <w:rPr>
                <w:rFonts w:ascii="Arial" w:cs="Arial" w:eastAsia="Arial" w:hAnsi="Arial"/>
                <w:sz w:val="14"/>
                <w:szCs w:val="14"/>
                <w:color w:val="auto"/>
              </w:rPr>
              <w:t>Share</w:t>
            </w:r>
          </w:p>
        </w:tc>
        <w:tc>
          <w:tcPr>
            <w:tcW w:w="1180" w:type="dxa"/>
            <w:vAlign w:val="bottom"/>
            <w:gridSpan w:val="2"/>
          </w:tcPr>
          <w:p>
            <w:pPr>
              <w:jc w:val="right"/>
              <w:ind w:right="280"/>
              <w:spacing w:after="0" w:line="141" w:lineRule="exact"/>
              <w:rPr>
                <w:sz w:val="20"/>
                <w:szCs w:val="20"/>
                <w:color w:val="auto"/>
              </w:rPr>
            </w:pPr>
            <w:r>
              <w:rPr>
                <w:rFonts w:ascii="Arial" w:cs="Arial" w:eastAsia="Arial" w:hAnsi="Arial"/>
                <w:sz w:val="14"/>
                <w:szCs w:val="14"/>
                <w:color w:val="auto"/>
              </w:rPr>
              <w:t>Total number</w:t>
            </w:r>
          </w:p>
        </w:tc>
        <w:tc>
          <w:tcPr>
            <w:tcW w:w="160" w:type="dxa"/>
            <w:vAlign w:val="bottom"/>
          </w:tcPr>
          <w:p>
            <w:pPr>
              <w:spacing w:after="0"/>
              <w:rPr>
                <w:sz w:val="12"/>
                <w:szCs w:val="12"/>
                <w:color w:val="auto"/>
              </w:rPr>
            </w:pPr>
          </w:p>
        </w:tc>
        <w:tc>
          <w:tcPr>
            <w:tcW w:w="840" w:type="dxa"/>
            <w:vAlign w:val="bottom"/>
          </w:tcPr>
          <w:p>
            <w:pPr>
              <w:jc w:val="center"/>
              <w:ind w:right="59"/>
              <w:spacing w:after="0" w:line="141" w:lineRule="exact"/>
              <w:rPr>
                <w:sz w:val="20"/>
                <w:szCs w:val="20"/>
                <w:color w:val="auto"/>
              </w:rPr>
            </w:pPr>
            <w:r>
              <w:rPr>
                <w:rFonts w:ascii="Arial" w:cs="Arial" w:eastAsia="Arial" w:hAnsi="Arial"/>
                <w:sz w:val="14"/>
                <w:szCs w:val="14"/>
                <w:color w:val="auto"/>
                <w:w w:val="90"/>
              </w:rPr>
              <w:t>grant-date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1280" w:type="dxa"/>
            <w:vAlign w:val="bottom"/>
            <w:gridSpan w:val="2"/>
            <w:vMerge w:val="continue"/>
          </w:tcPr>
          <w:p>
            <w:pPr>
              <w:spacing w:after="0"/>
              <w:rPr>
                <w:sz w:val="16"/>
                <w:szCs w:val="16"/>
                <w:color w:val="auto"/>
              </w:rPr>
            </w:pPr>
          </w:p>
        </w:tc>
        <w:tc>
          <w:tcPr>
            <w:tcW w:w="1080" w:type="dxa"/>
            <w:vAlign w:val="bottom"/>
          </w:tcPr>
          <w:p>
            <w:pPr>
              <w:jc w:val="right"/>
              <w:ind w:right="215"/>
              <w:spacing w:after="0" w:line="189"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9"/>
                <w:szCs w:val="19"/>
                <w:color w:val="auto"/>
                <w:vertAlign w:val="superscript"/>
              </w:rPr>
              <w:t>(2)</w:t>
            </w:r>
          </w:p>
        </w:tc>
        <w:tc>
          <w:tcPr>
            <w:tcW w:w="200" w:type="dxa"/>
            <w:vAlign w:val="bottom"/>
          </w:tcPr>
          <w:p>
            <w:pPr>
              <w:spacing w:after="0"/>
              <w:rPr>
                <w:sz w:val="16"/>
                <w:szCs w:val="16"/>
                <w:color w:val="auto"/>
              </w:rPr>
            </w:pPr>
          </w:p>
        </w:tc>
        <w:tc>
          <w:tcPr>
            <w:tcW w:w="1280" w:type="dxa"/>
            <w:vAlign w:val="bottom"/>
            <w:gridSpan w:val="2"/>
          </w:tcPr>
          <w:p>
            <w:pPr>
              <w:jc w:val="right"/>
              <w:ind w:right="500"/>
              <w:spacing w:after="0" w:line="189"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19"/>
                <w:szCs w:val="19"/>
                <w:color w:val="auto"/>
                <w:vertAlign w:val="superscript"/>
              </w:rPr>
              <w:t>(3)</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of shares</w:t>
            </w:r>
          </w:p>
        </w:tc>
        <w:tc>
          <w:tcPr>
            <w:tcW w:w="16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color w:val="auto"/>
                <w:w w:val="94"/>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Outstanding non-vested shares at beginning of year</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815,292</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435,568</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720,000</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1,970,860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Shares granted</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8,054</w:t>
            </w: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8,054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Shares vested/issued</w:t>
            </w: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(308,055 )</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(480,000 )</w:t>
            </w: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(788,055 )</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Outstanding non-vested shares at end of year</w:t>
            </w: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515,291</w:t>
            </w:r>
          </w:p>
        </w:tc>
        <w:tc>
          <w:tcPr>
            <w:tcW w:w="24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435,568</w:t>
            </w:r>
          </w:p>
        </w:tc>
        <w:tc>
          <w:tcPr>
            <w:tcW w:w="20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240,000</w:t>
            </w:r>
          </w:p>
        </w:tc>
        <w:tc>
          <w:tcPr>
            <w:tcW w:w="20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1,190,859</w:t>
            </w: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 and expected to vest at end of year</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515,291</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435,568</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950,859</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-262255</wp:posOffset>
            </wp:positionV>
            <wp:extent cx="5969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-262255</wp:posOffset>
            </wp:positionV>
            <wp:extent cx="431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-262255</wp:posOffset>
            </wp:positionV>
            <wp:extent cx="5143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-262255</wp:posOffset>
            </wp:positionV>
            <wp:extent cx="5143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-262255</wp:posOffset>
            </wp:positionV>
            <wp:extent cx="3429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76" w:lineRule="exact"/>
        <w:rPr>
          <w:sz w:val="20"/>
          <w:szCs w:val="20"/>
          <w:color w:val="auto"/>
        </w:rPr>
      </w:pPr>
    </w:p>
    <w:p>
      <w:pPr>
        <w:ind w:left="1020" w:right="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During fiscal 2021, the vesting of RSUs was primarily related to the time-based awards under the Company’s LTIP plans, see Note H, </w:t>
      </w:r>
      <w:r>
        <w:rPr>
          <w:rFonts w:ascii="Arial" w:cs="Arial" w:eastAsia="Arial" w:hAnsi="Arial"/>
          <w:sz w:val="18"/>
          <w:szCs w:val="18"/>
          <w:i w:val="1"/>
          <w:iCs w:val="1"/>
          <w:color w:val="auto"/>
        </w:rPr>
        <w:t>Long-Term Incentive Plans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compensation to certain directors, in lieu of cash, in accordance with their irrevocable elections. During fiscal 2021, all equity issued to directors for compensation, in lieu of cash, was issued only from the Non-Employee Director Compensation Plan. The outstanding deferred shares will be issued upon the director’s separation from service.</w:t>
      </w:r>
    </w:p>
    <w:p>
      <w:pPr>
        <w:spacing w:after="0" w:line="73" w:lineRule="exact"/>
        <w:rPr>
          <w:rFonts w:ascii="Arial" w:cs="Arial" w:eastAsia="Arial" w:hAnsi="Arial"/>
          <w:sz w:val="18"/>
          <w:szCs w:val="18"/>
          <w:color w:val="auto"/>
        </w:rPr>
      </w:pPr>
    </w:p>
    <w:p>
      <w:pPr>
        <w:jc w:val="both"/>
        <w:ind w:left="1020" w:hanging="503"/>
        <w:spacing w:after="0" w:line="257"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720,000 shares of performance stock units (“PSUs”), with a fair value of $1.0 million, represent a sign-on grant in fiscal 2019 to Mr. Kanter. The PSUs vest in installments when the following milestones are met: one-third of the PSUs vest when the trailing 90-day volume-weighted average closing stock price (“VWAP”) is $4.00, one-third of the PSUs vest when the VWAP is $6.00, and one-third when the VWAP is $8.00. During fiscal 2021, 480,000 PSUs vested as a result of achieving a VWAP of $4.00 per share and $6.00 per share. As a result of net share settlement, of the 480,000 PSUs that vested, only 327,120 shares of common stock were issued. The remaining 240,000 PSUs will expire on April 1, 2023 if the $8.00 VWAP is not achieved by that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5" w:name="page56"/>
    <w:bookmarkEnd w:id="55"/>
    <w:p>
      <w:pPr>
        <w:ind w:left="520"/>
        <w:spacing w:after="0"/>
        <w:rPr>
          <w:sz w:val="20"/>
          <w:szCs w:val="20"/>
          <w:color w:val="auto"/>
        </w:rPr>
      </w:pPr>
      <w:r>
        <w:rPr>
          <w:rFonts w:ascii="Arial" w:cs="Arial" w:eastAsia="Arial" w:hAnsi="Arial"/>
          <w:sz w:val="18"/>
          <w:szCs w:val="18"/>
          <w:u w:val="single" w:color="auto"/>
          <w:color w:val="auto"/>
        </w:rPr>
        <w:t>Non-Employee Director Compensation Plan</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Sixth Amended and Restated Non-Employee Director Compensation Plan.</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Through the end of fiscal 2020, non-employee directors were required to take 50% of their annual retainer, which was paid quarterly, in equity. Any shares of common stock or deferred stock issued to a director as part of this 50% requirement were issued from the 2016 Plan. Only discretionary elections of shares of common stock were issued from the Non-Employee Director Compensation Plan.</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November 2020, the Board of Directors approved the Fifth Amended and Restated Non-Employee Director Compensation Plan and all compensation in fiscal 2021 was earned pursuant to this amended plan. The plan was amended to, among other things, increase the number of shares available for grant under the plan by an additional 1,000,000 shares, limit the number of shares that can be issued each quarter to 250,000 shares (with any shortfall satisfied in cash), removed the requirement for directors to take 50% of their annual retainer in equity and removed the ability for directors to select deferred stock.</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December 2021, the Board of Directors approved the Sixth Amended and Restated Non-Employee Director Compensation Plan, which will be effective for board compensation in fiscal 2022. The plan was amended to, among other things, add a minimum equity ownership requirement which will require each director to receive at least 60% of their annual retainers in shares of common stock until the value of their equity ownership is equal to at least three times the annual retainer. Any shares issued to satisfy the minimum equity ownership will be granted from the 2016 Plan. All other shares will be granted under the Non-Employee Director Compensation Plan. The amended plan still limits the maximum number of shares that can be issued in any quarter to 250,000 shares, in aggregate.</w:t>
      </w:r>
    </w:p>
    <w:p>
      <w:pPr>
        <w:spacing w:after="0" w:line="189" w:lineRule="exact"/>
        <w:rPr>
          <w:sz w:val="20"/>
          <w:szCs w:val="20"/>
          <w:color w:val="auto"/>
        </w:rPr>
      </w:pPr>
    </w:p>
    <w:p>
      <w:pPr>
        <w:ind w:right="640"/>
        <w:spacing w:after="0" w:line="247" w:lineRule="auto"/>
        <w:rPr>
          <w:sz w:val="20"/>
          <w:szCs w:val="20"/>
          <w:color w:val="auto"/>
        </w:rPr>
      </w:pPr>
      <w:r>
        <w:rPr>
          <w:rFonts w:ascii="Arial" w:cs="Arial" w:eastAsia="Arial" w:hAnsi="Arial"/>
          <w:sz w:val="18"/>
          <w:szCs w:val="18"/>
          <w:color w:val="auto"/>
        </w:rPr>
        <w:t>The following shares of common stock, with the respective fair value, were issued from the Non-Employee Director Compensation Plan to its non-employee directors as compensation for fiscal 2021, fiscal 2020 and fiscal 2019:</w:t>
      </w:r>
    </w:p>
    <w:tbl>
      <w:tblPr>
        <w:tblLayout w:type="fixed"/>
        <w:tblInd w:w="0" w:type="dxa"/>
        <w:tblCellMar>
          <w:top w:w="0" w:type="dxa"/>
          <w:left w:w="0" w:type="dxa"/>
          <w:bottom w:w="0" w:type="dxa"/>
          <w:right w:w="0" w:type="dxa"/>
        </w:tblCellMar>
      </w:tblPr>
      <w:tr>
        <w:trPr>
          <w:trHeight w:val="137"/>
        </w:trPr>
        <w:tc>
          <w:tcPr>
            <w:tcW w:w="7200" w:type="dxa"/>
            <w:vAlign w:val="bottom"/>
          </w:tcPr>
          <w:p>
            <w:pPr>
              <w:spacing w:after="0"/>
              <w:rPr>
                <w:sz w:val="11"/>
                <w:szCs w:val="11"/>
                <w:color w:val="auto"/>
              </w:rPr>
            </w:pPr>
          </w:p>
        </w:tc>
        <w:tc>
          <w:tcPr>
            <w:tcW w:w="1820" w:type="dxa"/>
            <w:vAlign w:val="bottom"/>
          </w:tcPr>
          <w:p>
            <w:pPr>
              <w:jc w:val="right"/>
              <w:ind w:right="237"/>
              <w:spacing w:after="0" w:line="137" w:lineRule="exact"/>
              <w:rPr>
                <w:sz w:val="20"/>
                <w:szCs w:val="20"/>
                <w:color w:val="auto"/>
              </w:rPr>
            </w:pPr>
            <w:r>
              <w:rPr>
                <w:rFonts w:ascii="Arial" w:cs="Arial" w:eastAsia="Arial" w:hAnsi="Arial"/>
                <w:sz w:val="14"/>
                <w:szCs w:val="14"/>
                <w:color w:val="auto"/>
              </w:rPr>
              <w:t>Number of shares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jc w:val="right"/>
              <w:ind w:right="477"/>
              <w:spacing w:after="0" w:line="137" w:lineRule="exact"/>
              <w:rPr>
                <w:sz w:val="20"/>
                <w:szCs w:val="20"/>
                <w:color w:val="auto"/>
              </w:rPr>
            </w:pPr>
            <w:r>
              <w:rPr>
                <w:rFonts w:ascii="Arial" w:cs="Arial" w:eastAsia="Arial" w:hAnsi="Arial"/>
                <w:sz w:val="14"/>
                <w:szCs w:val="14"/>
                <w:color w:val="auto"/>
              </w:rPr>
              <w:t>Fair value of</w:t>
            </w:r>
          </w:p>
        </w:tc>
        <w:tc>
          <w:tcPr>
            <w:tcW w:w="100" w:type="dxa"/>
            <w:vAlign w:val="bottom"/>
          </w:tcPr>
          <w:p>
            <w:pPr>
              <w:spacing w:after="0"/>
              <w:rPr>
                <w:sz w:val="11"/>
                <w:szCs w:val="11"/>
                <w:color w:val="auto"/>
              </w:rPr>
            </w:pPr>
          </w:p>
        </w:tc>
      </w:tr>
      <w:tr>
        <w:trPr>
          <w:trHeight w:val="181"/>
        </w:trPr>
        <w:tc>
          <w:tcPr>
            <w:tcW w:w="7200" w:type="dxa"/>
            <w:vAlign w:val="bottom"/>
          </w:tcPr>
          <w:p>
            <w:pPr>
              <w:spacing w:after="0"/>
              <w:rPr>
                <w:sz w:val="15"/>
                <w:szCs w:val="15"/>
                <w:color w:val="auto"/>
              </w:rPr>
            </w:pPr>
          </w:p>
        </w:tc>
        <w:tc>
          <w:tcPr>
            <w:tcW w:w="18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common stock issued</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w w:val="98"/>
              </w:rPr>
              <w:t>common stock issued</w:t>
            </w:r>
          </w:p>
        </w:tc>
        <w:tc>
          <w:tcPr>
            <w:tcW w:w="100" w:type="dxa"/>
            <w:vAlign w:val="bottom"/>
          </w:tcPr>
          <w:p>
            <w:pPr>
              <w:spacing w:after="0"/>
              <w:rPr>
                <w:sz w:val="15"/>
                <w:szCs w:val="15"/>
                <w:color w:val="auto"/>
              </w:rPr>
            </w:pPr>
          </w:p>
        </w:tc>
      </w:tr>
      <w:tr>
        <w:trPr>
          <w:trHeight w:val="196"/>
        </w:trPr>
        <w:tc>
          <w:tcPr>
            <w:tcW w:w="7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Fiscal 2021</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232,910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374,227</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Fiscal 2020</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187,897</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75,065</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Fiscal 2019</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37,113</w:t>
            </w:r>
          </w:p>
        </w:tc>
        <w:tc>
          <w:tcPr>
            <w:tcW w:w="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69,991</w:t>
            </w:r>
          </w:p>
        </w:tc>
        <w:tc>
          <w:tcPr>
            <w:tcW w:w="10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At January 29, 2022, 767,090 shares remain available for grant under the Sixth Amended and Restated Non-Employee Director Compensation Plan.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EMPLOYEE BENEFIT PLANS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The Company accounts for its employee benefit plans in accordance with ASC Topic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amounts will be subsequently recognized as net periodic pension cost pursuant to the Company’s accounting policy for amortizing such amounts. Further, actuarial gains and losses that arise in subsequent periods and are not recognized as net periodic pension cost in the same periods will be recognized as a component of accumulated other comprehensive income (loss). In fiscal 2021, the amortization of the unrecognized loss was calculated based on the average remaining lifetime of all employees, as opposed to the average remaining future service of active employees. As a result of this change in amortization, the Company expects a decrease in net periodic pension cost in fiscal 2022 of $47,000.</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10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In connection with the Casual Male acquisition in May 2002,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following table sets forth the Pension Plan’s funded status at January 29, 2022 and January 30, 2021:</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0"/>
              </w:rPr>
              <w:t>January 29, 2022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90"/>
              </w:rPr>
              <w:t>January 30, 2021</w:t>
            </w:r>
          </w:p>
        </w:tc>
        <w:tc>
          <w:tcPr>
            <w:tcW w:w="100" w:type="dxa"/>
            <w:vAlign w:val="bottom"/>
          </w:tcPr>
          <w:p>
            <w:pPr>
              <w:spacing w:after="0"/>
              <w:rPr>
                <w:sz w:val="15"/>
                <w:szCs w:val="15"/>
                <w:color w:val="auto"/>
              </w:rPr>
            </w:pPr>
          </w:p>
        </w:tc>
      </w:tr>
      <w:tr>
        <w:trPr>
          <w:trHeight w:val="169"/>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i w:val="1"/>
                <w:iCs w:val="1"/>
                <w:color w:val="auto"/>
              </w:rPr>
              <w:t>in</w:t>
            </w:r>
          </w:p>
        </w:tc>
        <w:tc>
          <w:tcPr>
            <w:tcW w:w="1420" w:type="dxa"/>
            <w:vAlign w:val="bottom"/>
            <w:gridSpan w:val="3"/>
          </w:tcPr>
          <w:p>
            <w:pPr>
              <w:jc w:val="right"/>
              <w:ind w:right="891"/>
              <w:spacing w:after="0"/>
              <w:rPr>
                <w:sz w:val="20"/>
                <w:szCs w:val="20"/>
                <w:color w:val="auto"/>
              </w:rPr>
            </w:pPr>
            <w:r>
              <w:rPr>
                <w:rFonts w:ascii="Arial" w:cs="Arial" w:eastAsia="Arial" w:hAnsi="Arial"/>
                <w:sz w:val="12"/>
                <w:szCs w:val="12"/>
                <w:i w:val="1"/>
                <w:iCs w:val="1"/>
                <w:color w:val="auto"/>
                <w:w w:val="75"/>
              </w:rPr>
              <w:t>thousands</w:t>
            </w:r>
          </w:p>
        </w:tc>
        <w:tc>
          <w:tcPr>
            <w:tcW w:w="100" w:type="dxa"/>
            <w:vAlign w:val="bottom"/>
          </w:tcPr>
          <w:p>
            <w:pPr>
              <w:spacing w:after="0"/>
              <w:rPr>
                <w:sz w:val="14"/>
                <w:szCs w:val="14"/>
                <w:color w:val="auto"/>
              </w:rPr>
            </w:pPr>
          </w:p>
        </w:tc>
      </w:tr>
      <w:tr>
        <w:trPr>
          <w:trHeight w:val="183"/>
        </w:trPr>
        <w:tc>
          <w:tcPr>
            <w:tcW w:w="2120" w:type="dxa"/>
            <w:vAlign w:val="bottom"/>
            <w:tcBorders>
              <w:bottom w:val="single" w:sz="8" w:color="auto"/>
            </w:tcBorders>
            <w:gridSpan w:val="2"/>
            <w:shd w:val="clear" w:color="auto" w:fill="CFF0FC"/>
          </w:tcPr>
          <w:p>
            <w:pPr>
              <w:spacing w:after="0" w:line="176" w:lineRule="exact"/>
              <w:rPr>
                <w:sz w:val="20"/>
                <w:szCs w:val="20"/>
                <w:color w:val="auto"/>
              </w:rPr>
            </w:pPr>
            <w:r>
              <w:rPr>
                <w:rFonts w:ascii="Arial" w:cs="Arial" w:eastAsia="Arial" w:hAnsi="Arial"/>
                <w:sz w:val="18"/>
                <w:szCs w:val="18"/>
                <w:color w:val="auto"/>
                <w:w w:val="92"/>
              </w:rPr>
              <w:t>Change in benefit obligation:</w:t>
            </w:r>
          </w:p>
        </w:tc>
        <w:tc>
          <w:tcPr>
            <w:tcW w:w="2960" w:type="dxa"/>
            <w:vAlign w:val="bottom"/>
            <w:tcBorders>
              <w:bottom w:val="single" w:sz="8" w:color="CFF0FC"/>
            </w:tcBorders>
            <w:gridSpan w:val="3"/>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203"/>
        </w:trPr>
        <w:tc>
          <w:tcPr>
            <w:tcW w:w="5080" w:type="dxa"/>
            <w:vAlign w:val="bottom"/>
            <w:gridSpan w:val="5"/>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15,864</w:t>
            </w:r>
          </w:p>
        </w:tc>
        <w:tc>
          <w:tcPr>
            <w:tcW w:w="1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16,217</w:t>
            </w:r>
          </w:p>
        </w:tc>
        <w:tc>
          <w:tcPr>
            <w:tcW w:w="100" w:type="dxa"/>
            <w:vAlign w:val="bottom"/>
          </w:tcPr>
          <w:p>
            <w:pPr>
              <w:spacing w:after="0"/>
              <w:rPr>
                <w:sz w:val="17"/>
                <w:szCs w:val="17"/>
                <w:color w:val="auto"/>
              </w:rPr>
            </w:pPr>
          </w:p>
        </w:tc>
      </w:tr>
      <w:tr>
        <w:trPr>
          <w:trHeight w:val="203"/>
        </w:trPr>
        <w:tc>
          <w:tcPr>
            <w:tcW w:w="5080" w:type="dxa"/>
            <w:vAlign w:val="bottom"/>
            <w:gridSpan w:val="5"/>
            <w:shd w:val="clear" w:color="auto" w:fill="CFF0FC"/>
          </w:tcPr>
          <w:p>
            <w:pPr>
              <w:spacing w:after="0" w:line="202" w:lineRule="exact"/>
              <w:rPr>
                <w:sz w:val="20"/>
                <w:szCs w:val="20"/>
                <w:color w:val="auto"/>
              </w:rPr>
            </w:pPr>
            <w:r>
              <w:rPr>
                <w:rFonts w:ascii="Arial" w:cs="Arial" w:eastAsia="Arial" w:hAnsi="Arial"/>
                <w:sz w:val="18"/>
                <w:szCs w:val="18"/>
                <w:color w:val="auto"/>
              </w:rPr>
              <w:t>Benefits and expenses paid</w:t>
            </w: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(839 )</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(877 )</w:t>
            </w:r>
          </w:p>
        </w:tc>
      </w:tr>
      <w:tr>
        <w:trPr>
          <w:trHeight w:val="203"/>
        </w:trPr>
        <w:tc>
          <w:tcPr>
            <w:tcW w:w="5080" w:type="dxa"/>
            <w:vAlign w:val="bottom"/>
            <w:gridSpan w:val="5"/>
          </w:tcPr>
          <w:p>
            <w:pPr>
              <w:spacing w:after="0" w:line="202" w:lineRule="exact"/>
              <w:rPr>
                <w:sz w:val="20"/>
                <w:szCs w:val="20"/>
                <w:color w:val="auto"/>
              </w:rPr>
            </w:pPr>
            <w:r>
              <w:rPr>
                <w:rFonts w:ascii="Arial" w:cs="Arial" w:eastAsia="Arial" w:hAnsi="Arial"/>
                <w:sz w:val="18"/>
                <w:szCs w:val="18"/>
                <w:color w:val="auto"/>
              </w:rPr>
              <w:t>Interest costs</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100" w:type="dxa"/>
            <w:vAlign w:val="bottom"/>
          </w:tcPr>
          <w:p>
            <w:pPr>
              <w:spacing w:after="0"/>
              <w:rPr>
                <w:sz w:val="17"/>
                <w:szCs w:val="17"/>
                <w:color w:val="auto"/>
              </w:rPr>
            </w:pPr>
          </w:p>
        </w:tc>
      </w:tr>
      <w:tr>
        <w:trPr>
          <w:trHeight w:val="203"/>
        </w:trPr>
        <w:tc>
          <w:tcPr>
            <w:tcW w:w="5080" w:type="dxa"/>
            <w:vAlign w:val="bottom"/>
            <w:gridSpan w:val="5"/>
            <w:shd w:val="clear" w:color="auto" w:fill="CFF0FC"/>
          </w:tcPr>
          <w:p>
            <w:pPr>
              <w:spacing w:after="0" w:line="202" w:lineRule="exact"/>
              <w:rPr>
                <w:sz w:val="20"/>
                <w:szCs w:val="20"/>
                <w:color w:val="auto"/>
              </w:rPr>
            </w:pPr>
            <w:r>
              <w:rPr>
                <w:rFonts w:ascii="Arial" w:cs="Arial" w:eastAsia="Arial" w:hAnsi="Arial"/>
                <w:sz w:val="18"/>
                <w:szCs w:val="18"/>
                <w:color w:val="auto"/>
              </w:rPr>
              <w:t>Settlements</w:t>
            </w: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(353 )</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(410 )</w:t>
            </w:r>
          </w:p>
        </w:tc>
      </w:tr>
      <w:tr>
        <w:trPr>
          <w:trHeight w:val="203"/>
        </w:trPr>
        <w:tc>
          <w:tcPr>
            <w:tcW w:w="5080" w:type="dxa"/>
            <w:vAlign w:val="bottom"/>
            <w:gridSpan w:val="5"/>
          </w:tcPr>
          <w:p>
            <w:pPr>
              <w:spacing w:after="0" w:line="202" w:lineRule="exact"/>
              <w:rPr>
                <w:sz w:val="20"/>
                <w:szCs w:val="20"/>
                <w:color w:val="auto"/>
              </w:rPr>
            </w:pPr>
            <w:r>
              <w:rPr>
                <w:rFonts w:ascii="Arial" w:cs="Arial" w:eastAsia="Arial" w:hAnsi="Arial"/>
                <w:sz w:val="18"/>
                <w:szCs w:val="18"/>
                <w:color w:val="auto"/>
              </w:rPr>
              <w:t>Actuarial (gain) loss</w:t>
            </w:r>
          </w:p>
        </w:tc>
        <w:tc>
          <w:tcPr>
            <w:tcW w:w="120" w:type="dxa"/>
            <w:vAlign w:val="bottom"/>
          </w:tcPr>
          <w:p>
            <w:pPr>
              <w:spacing w:after="0"/>
              <w:rPr>
                <w:sz w:val="17"/>
                <w:szCs w:val="17"/>
                <w:color w:val="auto"/>
              </w:rPr>
            </w:pPr>
          </w:p>
        </w:tc>
        <w:tc>
          <w:tcPr>
            <w:tcW w:w="132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(684 )</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100" w:type="dxa"/>
            <w:vAlign w:val="bottom"/>
          </w:tcPr>
          <w:p>
            <w:pPr>
              <w:spacing w:after="0"/>
              <w:rPr>
                <w:sz w:val="17"/>
                <w:szCs w:val="17"/>
                <w:color w:val="auto"/>
              </w:rPr>
            </w:pPr>
          </w:p>
        </w:tc>
      </w:tr>
      <w:tr>
        <w:trPr>
          <w:trHeight w:val="236"/>
        </w:trPr>
        <w:tc>
          <w:tcPr>
            <w:tcW w:w="5080" w:type="dxa"/>
            <w:vAlign w:val="bottom"/>
            <w:tcBorders>
              <w:bottom w:val="single" w:sz="8" w:color="CFF0FC"/>
            </w:tcBorders>
            <w:gridSpan w:val="5"/>
            <w:shd w:val="clear" w:color="auto" w:fill="CFF0FC"/>
          </w:tcPr>
          <w:p>
            <w:pPr>
              <w:spacing w:after="0" w:line="182" w:lineRule="exact"/>
              <w:rPr>
                <w:sz w:val="20"/>
                <w:szCs w:val="20"/>
                <w:color w:val="auto"/>
              </w:rPr>
            </w:pPr>
            <w:r>
              <w:rPr>
                <w:rFonts w:ascii="Arial" w:cs="Arial" w:eastAsia="Arial" w:hAnsi="Arial"/>
                <w:sz w:val="18"/>
                <w:szCs w:val="18"/>
                <w:color w:val="auto"/>
              </w:rPr>
              <w:t>Balance at end of year</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14,361</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540" w:type="dxa"/>
            <w:vAlign w:val="bottom"/>
            <w:tcBorders>
              <w:bottom w:val="single" w:sz="8" w:color="auto"/>
            </w:tcBorders>
            <w:gridSpan w:val="4"/>
            <w:shd w:val="clear" w:color="auto" w:fill="CFF0FC"/>
          </w:tcPr>
          <w:p>
            <w:pPr>
              <w:spacing w:after="0" w:line="176" w:lineRule="exact"/>
              <w:rPr>
                <w:sz w:val="20"/>
                <w:szCs w:val="20"/>
                <w:color w:val="auto"/>
              </w:rPr>
            </w:pPr>
            <w:r>
              <w:rPr>
                <w:rFonts w:ascii="Arial" w:cs="Arial" w:eastAsia="Arial" w:hAnsi="Arial"/>
                <w:sz w:val="18"/>
                <w:szCs w:val="18"/>
                <w:color w:val="auto"/>
                <w:w w:val="89"/>
              </w:rPr>
              <w:t>Change in fair value of plan assets:</w:t>
            </w:r>
          </w:p>
        </w:tc>
        <w:tc>
          <w:tcPr>
            <w:tcW w:w="25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203"/>
        </w:trPr>
        <w:tc>
          <w:tcPr>
            <w:tcW w:w="5080" w:type="dxa"/>
            <w:vAlign w:val="bottom"/>
            <w:gridSpan w:val="5"/>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11,351</w:t>
            </w:r>
          </w:p>
        </w:tc>
        <w:tc>
          <w:tcPr>
            <w:tcW w:w="1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11,483</w:t>
            </w:r>
          </w:p>
        </w:tc>
        <w:tc>
          <w:tcPr>
            <w:tcW w:w="100" w:type="dxa"/>
            <w:vAlign w:val="bottom"/>
          </w:tcPr>
          <w:p>
            <w:pPr>
              <w:spacing w:after="0"/>
              <w:rPr>
                <w:sz w:val="17"/>
                <w:szCs w:val="17"/>
                <w:color w:val="auto"/>
              </w:rPr>
            </w:pPr>
          </w:p>
        </w:tc>
      </w:tr>
      <w:tr>
        <w:trPr>
          <w:trHeight w:val="203"/>
        </w:trPr>
        <w:tc>
          <w:tcPr>
            <w:tcW w:w="5080" w:type="dxa"/>
            <w:vAlign w:val="bottom"/>
            <w:gridSpan w:val="5"/>
            <w:shd w:val="clear" w:color="auto" w:fill="CFF0FC"/>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gridSpan w:val="5"/>
          </w:tcPr>
          <w:p>
            <w:pPr>
              <w:spacing w:after="0" w:line="202" w:lineRule="exact"/>
              <w:rPr>
                <w:sz w:val="20"/>
                <w:szCs w:val="20"/>
                <w:color w:val="auto"/>
              </w:rPr>
            </w:pPr>
            <w:r>
              <w:rPr>
                <w:rFonts w:ascii="Arial" w:cs="Arial" w:eastAsia="Arial" w:hAnsi="Arial"/>
                <w:sz w:val="18"/>
                <w:szCs w:val="18"/>
                <w:color w:val="auto"/>
              </w:rPr>
              <w:t>Employer contributions</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100" w:type="dxa"/>
            <w:vAlign w:val="bottom"/>
          </w:tcPr>
          <w:p>
            <w:pPr>
              <w:spacing w:after="0"/>
              <w:rPr>
                <w:sz w:val="17"/>
                <w:szCs w:val="17"/>
                <w:color w:val="auto"/>
              </w:rPr>
            </w:pPr>
          </w:p>
        </w:tc>
      </w:tr>
      <w:tr>
        <w:trPr>
          <w:trHeight w:val="203"/>
        </w:trPr>
        <w:tc>
          <w:tcPr>
            <w:tcW w:w="5080" w:type="dxa"/>
            <w:vAlign w:val="bottom"/>
            <w:gridSpan w:val="5"/>
            <w:shd w:val="clear" w:color="auto" w:fill="CFF0FC"/>
          </w:tcPr>
          <w:p>
            <w:pPr>
              <w:spacing w:after="0" w:line="202" w:lineRule="exact"/>
              <w:rPr>
                <w:sz w:val="20"/>
                <w:szCs w:val="20"/>
                <w:color w:val="auto"/>
              </w:rPr>
            </w:pPr>
            <w:r>
              <w:rPr>
                <w:rFonts w:ascii="Arial" w:cs="Arial" w:eastAsia="Arial" w:hAnsi="Arial"/>
                <w:sz w:val="18"/>
                <w:szCs w:val="18"/>
                <w:color w:val="auto"/>
              </w:rPr>
              <w:t>Settlements</w:t>
            </w: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(353 )</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(410 )</w:t>
            </w:r>
          </w:p>
        </w:tc>
      </w:tr>
      <w:tr>
        <w:trPr>
          <w:trHeight w:val="203"/>
        </w:trPr>
        <w:tc>
          <w:tcPr>
            <w:tcW w:w="5080" w:type="dxa"/>
            <w:vAlign w:val="bottom"/>
            <w:gridSpan w:val="5"/>
          </w:tcPr>
          <w:p>
            <w:pPr>
              <w:spacing w:after="0" w:line="202" w:lineRule="exact"/>
              <w:rPr>
                <w:sz w:val="20"/>
                <w:szCs w:val="20"/>
                <w:color w:val="auto"/>
              </w:rPr>
            </w:pPr>
            <w:r>
              <w:rPr>
                <w:rFonts w:ascii="Arial" w:cs="Arial" w:eastAsia="Arial" w:hAnsi="Arial"/>
                <w:sz w:val="18"/>
                <w:szCs w:val="18"/>
                <w:color w:val="auto"/>
              </w:rPr>
              <w:t>Benefits and expenses paid</w:t>
            </w:r>
          </w:p>
        </w:tc>
        <w:tc>
          <w:tcPr>
            <w:tcW w:w="120" w:type="dxa"/>
            <w:vAlign w:val="bottom"/>
          </w:tcPr>
          <w:p>
            <w:pPr>
              <w:spacing w:after="0"/>
              <w:rPr>
                <w:sz w:val="17"/>
                <w:szCs w:val="17"/>
                <w:color w:val="auto"/>
              </w:rPr>
            </w:pPr>
          </w:p>
        </w:tc>
        <w:tc>
          <w:tcPr>
            <w:tcW w:w="132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(839 )</w:t>
            </w:r>
          </w:p>
        </w:tc>
        <w:tc>
          <w:tcPr>
            <w:tcW w:w="12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(877 )</w:t>
            </w:r>
          </w:p>
        </w:tc>
      </w:tr>
      <w:tr>
        <w:trPr>
          <w:trHeight w:val="236"/>
        </w:trPr>
        <w:tc>
          <w:tcPr>
            <w:tcW w:w="5080" w:type="dxa"/>
            <w:vAlign w:val="bottom"/>
            <w:tcBorders>
              <w:bottom w:val="single" w:sz="8" w:color="CFF0FC"/>
            </w:tcBorders>
            <w:gridSpan w:val="5"/>
            <w:shd w:val="clear" w:color="auto" w:fill="CFF0FC"/>
          </w:tcPr>
          <w:p>
            <w:pPr>
              <w:spacing w:after="0" w:line="182" w:lineRule="exact"/>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11,293</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11,351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080" w:type="dxa"/>
            <w:vAlign w:val="bottom"/>
            <w:gridSpan w:val="5"/>
            <w:shd w:val="clear" w:color="auto" w:fill="CFF0FC"/>
          </w:tcPr>
          <w:p>
            <w:pPr>
              <w:spacing w:after="0" w:line="176" w:lineRule="exact"/>
              <w:rPr>
                <w:sz w:val="20"/>
                <w:szCs w:val="20"/>
                <w:color w:val="auto"/>
              </w:rPr>
            </w:pPr>
            <w:r>
              <w:rPr>
                <w:rFonts w:ascii="Arial" w:cs="Arial" w:eastAsia="Arial" w:hAnsi="Arial"/>
                <w:sz w:val="18"/>
                <w:szCs w:val="18"/>
                <w:color w:val="auto"/>
              </w:rPr>
              <w:t>Reconciliation of funded status:</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30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2780" w:type="dxa"/>
            <w:vAlign w:val="bottom"/>
            <w:tcBorders>
              <w:top w:val="single" w:sz="8" w:color="CFF0FC"/>
            </w:tcBorders>
            <w:gridSpan w:val="2"/>
          </w:tcPr>
          <w:p>
            <w:pPr>
              <w:spacing w:after="0"/>
              <w:rPr>
                <w:sz w:val="17"/>
                <w:szCs w:val="17"/>
                <w:color w:val="auto"/>
              </w:rPr>
            </w:pPr>
          </w:p>
        </w:tc>
        <w:tc>
          <w:tcPr>
            <w:tcW w:w="12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14,361</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15,864</w:t>
            </w:r>
          </w:p>
        </w:tc>
        <w:tc>
          <w:tcPr>
            <w:tcW w:w="100" w:type="dxa"/>
            <w:vAlign w:val="bottom"/>
            <w:tcBorders>
              <w:top w:val="single" w:sz="8" w:color="CFF0FC"/>
            </w:tcBorders>
          </w:tcPr>
          <w:p>
            <w:pPr>
              <w:spacing w:after="0"/>
              <w:rPr>
                <w:sz w:val="17"/>
                <w:szCs w:val="17"/>
                <w:color w:val="auto"/>
              </w:rPr>
            </w:pPr>
          </w:p>
        </w:tc>
      </w:tr>
      <w:tr>
        <w:trPr>
          <w:trHeight w:val="203"/>
        </w:trPr>
        <w:tc>
          <w:tcPr>
            <w:tcW w:w="5080" w:type="dxa"/>
            <w:vAlign w:val="bottom"/>
            <w:tcBorders>
              <w:bottom w:val="single" w:sz="8" w:color="CFF0FC"/>
            </w:tcBorders>
            <w:gridSpan w:val="5"/>
            <w:shd w:val="clear" w:color="auto" w:fill="CFF0FC"/>
          </w:tcPr>
          <w:p>
            <w:pPr>
              <w:spacing w:after="0" w:line="202" w:lineRule="exact"/>
              <w:rPr>
                <w:sz w:val="20"/>
                <w:szCs w:val="20"/>
                <w:color w:val="auto"/>
              </w:rPr>
            </w:pPr>
            <w:r>
              <w:rPr>
                <w:rFonts w:ascii="Arial" w:cs="Arial" w:eastAsia="Arial" w:hAnsi="Arial"/>
                <w:sz w:val="18"/>
                <w:szCs w:val="18"/>
                <w:color w:val="auto"/>
              </w:rPr>
              <w:t>Fair value of plan assets</w:t>
            </w: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11,293</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gridSpan w:val="5"/>
          </w:tcPr>
          <w:p>
            <w:pPr>
              <w:spacing w:after="0" w:line="196" w:lineRule="exact"/>
              <w:rPr>
                <w:sz w:val="20"/>
                <w:szCs w:val="20"/>
                <w:color w:val="auto"/>
              </w:rPr>
            </w:pPr>
            <w:r>
              <w:rPr>
                <w:rFonts w:ascii="Arial" w:cs="Arial" w:eastAsia="Arial" w:hAnsi="Arial"/>
                <w:sz w:val="18"/>
                <w:szCs w:val="18"/>
                <w:color w:val="auto"/>
              </w:rPr>
              <w:t>Unfunded status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8"/>
              <w:spacing w:after="0" w:line="196" w:lineRule="exact"/>
              <w:rPr>
                <w:sz w:val="20"/>
                <w:szCs w:val="20"/>
                <w:color w:val="auto"/>
              </w:rPr>
            </w:pPr>
            <w:r>
              <w:rPr>
                <w:rFonts w:ascii="Arial" w:cs="Arial" w:eastAsia="Arial" w:hAnsi="Arial"/>
                <w:sz w:val="18"/>
                <w:szCs w:val="18"/>
                <w:color w:val="auto"/>
              </w:rPr>
              <w:t>(3,068 )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(4,513 )</w:t>
            </w:r>
          </w:p>
        </w:tc>
      </w:tr>
      <w:tr>
        <w:trPr>
          <w:trHeight w:val="203"/>
        </w:trPr>
        <w:tc>
          <w:tcPr>
            <w:tcW w:w="2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3"/>
        </w:trPr>
        <w:tc>
          <w:tcPr>
            <w:tcW w:w="5080" w:type="dxa"/>
            <w:vAlign w:val="bottom"/>
            <w:gridSpan w:val="5"/>
          </w:tcPr>
          <w:p>
            <w:pPr>
              <w:spacing w:after="0" w:line="176" w:lineRule="exact"/>
              <w:rPr>
                <w:sz w:val="20"/>
                <w:szCs w:val="20"/>
                <w:color w:val="auto"/>
              </w:rPr>
            </w:pPr>
            <w:r>
              <w:rPr>
                <w:rFonts w:ascii="Arial" w:cs="Arial" w:eastAsia="Arial" w:hAnsi="Arial"/>
                <w:sz w:val="18"/>
                <w:szCs w:val="18"/>
                <w:color w:val="auto"/>
              </w:rPr>
              <w:t>Balance sheet classification:</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4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Other long-term liabilities</w:t>
            </w:r>
          </w:p>
        </w:tc>
        <w:tc>
          <w:tcPr>
            <w:tcW w:w="3040" w:type="dxa"/>
            <w:vAlign w:val="bottom"/>
            <w:gridSpan w:val="4"/>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4,513</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-2125345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-2108200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-2125345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-2108200</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-1062355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-1045210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-1062355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-1045210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-519430</wp:posOffset>
            </wp:positionV>
            <wp:extent cx="685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-519430</wp:posOffset>
            </wp:positionV>
            <wp:extent cx="603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Total plan expense and other amounts recognized in accumulated other comprehensive loss for the years ended January 29, 2022, January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1, 2020 include the following components: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020" w:type="dxa"/>
            <w:vAlign w:val="bottom"/>
            <w:gridSpan w:val="4"/>
            <w:vMerge w:val="restart"/>
          </w:tcPr>
          <w:p>
            <w:pPr>
              <w:spacing w:after="0"/>
              <w:rPr>
                <w:sz w:val="20"/>
                <w:szCs w:val="20"/>
                <w:color w:val="auto"/>
              </w:rPr>
            </w:pPr>
            <w:r>
              <w:rPr>
                <w:rFonts w:ascii="Arial" w:cs="Arial" w:eastAsia="Arial" w:hAnsi="Arial"/>
                <w:sz w:val="18"/>
                <w:szCs w:val="18"/>
                <w:color w:val="auto"/>
              </w:rPr>
              <w:t>Net pension cost:</w:t>
            </w: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w w:val="96"/>
              </w:rPr>
              <w:t>January 29, 2022</w:t>
            </w:r>
          </w:p>
        </w:tc>
        <w:tc>
          <w:tcPr>
            <w:tcW w:w="24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January 30, 2021</w:t>
            </w: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February 1,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2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i w:val="1"/>
                <w:iCs w:val="1"/>
                <w:color w:val="auto"/>
                <w:w w:val="92"/>
              </w:rPr>
              <w:t>(in thousands)</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Interest cost on</w:t>
            </w:r>
          </w:p>
        </w:tc>
        <w:tc>
          <w:tcPr>
            <w:tcW w:w="3760" w:type="dxa"/>
            <w:vAlign w:val="bottom"/>
            <w:gridSpan w:val="2"/>
          </w:tcPr>
          <w:p>
            <w:pPr>
              <w:spacing w:after="0"/>
              <w:rPr>
                <w:sz w:val="20"/>
                <w:szCs w:val="20"/>
                <w:color w:val="auto"/>
              </w:rPr>
            </w:pPr>
            <w:r>
              <w:rPr>
                <w:rFonts w:ascii="Arial" w:cs="Arial" w:eastAsia="Arial" w:hAnsi="Arial"/>
                <w:sz w:val="18"/>
                <w:szCs w:val="18"/>
                <w:color w:val="auto"/>
              </w:rPr>
              <w:t>projected benefit obligation</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gridSpan w:val="4"/>
            <w:shd w:val="clear" w:color="auto" w:fill="CFF0FC"/>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(728 )</w:t>
            </w: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(737 )</w:t>
            </w:r>
          </w:p>
        </w:tc>
        <w:tc>
          <w:tcPr>
            <w:tcW w:w="4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(724 )</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Amortization of unrecognized loss</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989</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color w:val="auto"/>
              </w:rPr>
              <w:t>Net pension cost</w:t>
            </w: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shd w:val="clear" w:color="auto" w:fill="CFF0FC"/>
          </w:tcPr>
          <w:p>
            <w:pPr>
              <w:jc w:val="right"/>
              <w:ind w:right="101"/>
              <w:spacing w:after="0" w:line="183" w:lineRule="exact"/>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682</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641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gridSpan w:val="4"/>
            <w:shd w:val="clear" w:color="auto" w:fill="CFF0FC"/>
          </w:tcPr>
          <w:p>
            <w:pPr>
              <w:spacing w:after="0" w:line="176" w:lineRule="exact"/>
              <w:rPr>
                <w:sz w:val="20"/>
                <w:szCs w:val="20"/>
                <w:color w:val="auto"/>
              </w:rPr>
            </w:pPr>
            <w:r>
              <w:rPr>
                <w:rFonts w:ascii="Arial" w:cs="Arial" w:eastAsia="Arial" w:hAnsi="Arial"/>
                <w:sz w:val="18"/>
                <w:szCs w:val="18"/>
                <w:color w:val="auto"/>
              </w:rPr>
              <w:t>Other changes recognized in other comprehensive loss,</w:t>
            </w: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80" w:type="dxa"/>
            <w:vAlign w:val="bottom"/>
            <w:tcBorders>
              <w:top w:val="single" w:sz="8" w:color="auto"/>
            </w:tcBorders>
            <w:gridSpan w:val="3"/>
            <w:shd w:val="clear" w:color="auto" w:fill="CFF0FC"/>
          </w:tcPr>
          <w:p>
            <w:pPr>
              <w:ind w:left="140"/>
              <w:spacing w:after="0" w:line="156" w:lineRule="exact"/>
              <w:rPr>
                <w:sz w:val="20"/>
                <w:szCs w:val="20"/>
                <w:color w:val="auto"/>
              </w:rPr>
            </w:pPr>
            <w:r>
              <w:rPr>
                <w:rFonts w:ascii="Arial" w:cs="Arial" w:eastAsia="Arial" w:hAnsi="Arial"/>
                <w:sz w:val="18"/>
                <w:szCs w:val="18"/>
                <w:color w:val="auto"/>
              </w:rPr>
              <w:t>before taxes:</w:t>
            </w:r>
          </w:p>
        </w:tc>
        <w:tc>
          <w:tcPr>
            <w:tcW w:w="104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7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Unrecognized losses at the beginning of the year</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6,914</w:t>
            </w:r>
          </w:p>
        </w:tc>
        <w:tc>
          <w:tcPr>
            <w:tcW w:w="2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7,206</w:t>
            </w:r>
          </w:p>
        </w:tc>
        <w:tc>
          <w:tcPr>
            <w:tcW w:w="22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4"/>
            <w:shd w:val="clear" w:color="auto" w:fill="CFF0FC"/>
          </w:tcPr>
          <w:p>
            <w:pPr>
              <w:spacing w:after="0" w:line="202" w:lineRule="exact"/>
              <w:rPr>
                <w:sz w:val="20"/>
                <w:szCs w:val="20"/>
                <w:color w:val="auto"/>
              </w:rPr>
            </w:pPr>
            <w:r>
              <w:rPr>
                <w:rFonts w:ascii="Arial" w:cs="Arial" w:eastAsia="Arial" w:hAnsi="Arial"/>
                <w:sz w:val="18"/>
                <w:szCs w:val="18"/>
                <w:color w:val="auto"/>
              </w:rPr>
              <w:t>Net periodic pension cost</w:t>
            </w: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(682 )</w:t>
            </w:r>
          </w:p>
        </w:tc>
        <w:tc>
          <w:tcPr>
            <w:tcW w:w="4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(641 )</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Employer contribution</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4"/>
            <w:shd w:val="clear" w:color="auto" w:fill="CFF0FC"/>
          </w:tcPr>
          <w:p>
            <w:pPr>
              <w:spacing w:after="0" w:line="202" w:lineRule="exact"/>
              <w:rPr>
                <w:sz w:val="20"/>
                <w:szCs w:val="20"/>
                <w:color w:val="auto"/>
              </w:rPr>
            </w:pPr>
            <w:r>
              <w:rPr>
                <w:rFonts w:ascii="Arial" w:cs="Arial" w:eastAsia="Arial" w:hAnsi="Arial"/>
                <w:sz w:val="18"/>
                <w:szCs w:val="18"/>
                <w:color w:val="auto"/>
              </w:rPr>
              <w:t>Change in plan assets and benefit obligations</w:t>
            </w:r>
          </w:p>
        </w:tc>
        <w:tc>
          <w:tcPr>
            <w:tcW w:w="3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(1,445 )</w:t>
            </w: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(221 )</w:t>
            </w:r>
          </w:p>
        </w:tc>
        <w:tc>
          <w:tcPr>
            <w:tcW w:w="4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FF0FC"/>
            </w:tcBorders>
            <w:gridSpan w:val="4"/>
          </w:tcPr>
          <w:p>
            <w:pPr>
              <w:spacing w:after="0" w:line="182" w:lineRule="exact"/>
              <w:rPr>
                <w:sz w:val="20"/>
                <w:szCs w:val="20"/>
                <w:color w:val="auto"/>
              </w:rPr>
            </w:pPr>
            <w:r>
              <w:rPr>
                <w:rFonts w:ascii="Arial" w:cs="Arial" w:eastAsia="Arial" w:hAnsi="Arial"/>
                <w:sz w:val="18"/>
                <w:szCs w:val="18"/>
                <w:color w:val="auto"/>
              </w:rPr>
              <w:t>Unrecognized losses at the end of year</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6,132</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6,914</w:t>
            </w:r>
          </w:p>
        </w:tc>
        <w:tc>
          <w:tcPr>
            <w:tcW w:w="22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7,206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-1070610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-1053465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-1070610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-1053465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-1070610</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-1053465</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-159385</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6032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 for fiscal 2022 is estimated to be approximately $864,000.</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Assumptions used to determine the benefit obligations as of January 29, 2022 and January 30, 2021 include a discount rate of 3.00% for fiscal 2021 and 2.39% for fiscal 2020. Assumptions used to determine the net periodic benefit cost for the years ended January 29, 2022, January 30, 2021 and February 1, 2020 included a discount rate of 2.39% for fiscal 2021, 2.72% for fiscal 2020 and 3.98% for fiscal 2019.</w:t>
      </w:r>
    </w:p>
    <w:p>
      <w:pPr>
        <w:spacing w:after="0" w:line="18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expected long-term rate of return for plan assets was assumed to be 6.50% for both fiscal 2021 and fiscal 2020. The expected long-term rate of return assumption was developed considering historical and future expectations for returns for each asset class.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181"/>
        </w:trPr>
        <w:tc>
          <w:tcPr>
            <w:tcW w:w="34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1115"/>
              <w:spacing w:after="0"/>
              <w:rPr>
                <w:sz w:val="20"/>
                <w:szCs w:val="20"/>
                <w:color w:val="auto"/>
              </w:rPr>
            </w:pPr>
            <w:r>
              <w:rPr>
                <w:rFonts w:ascii="Arial" w:cs="Arial" w:eastAsia="Arial" w:hAnsi="Arial"/>
                <w:sz w:val="14"/>
                <w:szCs w:val="14"/>
                <w:color w:val="auto"/>
              </w:rPr>
              <w:t>Total</w:t>
            </w:r>
          </w:p>
        </w:tc>
        <w:tc>
          <w:tcPr>
            <w:tcW w:w="640" w:type="dxa"/>
            <w:vAlign w:val="bottom"/>
          </w:tcPr>
          <w:p>
            <w:pPr>
              <w:spacing w:after="0"/>
              <w:rPr>
                <w:sz w:val="15"/>
                <w:szCs w:val="15"/>
                <w:color w:val="auto"/>
              </w:rPr>
            </w:pPr>
          </w:p>
        </w:tc>
      </w:tr>
      <w:tr>
        <w:trPr>
          <w:trHeight w:val="169"/>
        </w:trPr>
        <w:tc>
          <w:tcPr>
            <w:tcW w:w="3420" w:type="dxa"/>
            <w:vAlign w:val="bottom"/>
          </w:tcPr>
          <w:p>
            <w:pPr>
              <w:spacing w:after="0"/>
              <w:rPr>
                <w:sz w:val="20"/>
                <w:szCs w:val="20"/>
                <w:color w:val="auto"/>
              </w:rPr>
            </w:pPr>
            <w:r>
              <w:rPr>
                <w:rFonts w:ascii="Arial" w:cs="Arial" w:eastAsia="Arial" w:hAnsi="Arial"/>
                <w:sz w:val="14"/>
                <w:szCs w:val="14"/>
                <w:color w:val="auto"/>
              </w:rPr>
              <w:t>FISCAL YEAR</w:t>
            </w:r>
          </w:p>
        </w:tc>
        <w:tc>
          <w:tcPr>
            <w:tcW w:w="500" w:type="dxa"/>
            <w:vAlign w:val="bottom"/>
          </w:tcPr>
          <w:p>
            <w:pPr>
              <w:spacing w:after="0"/>
              <w:rPr>
                <w:sz w:val="14"/>
                <w:szCs w:val="14"/>
                <w:color w:val="auto"/>
              </w:rPr>
            </w:pPr>
          </w:p>
        </w:tc>
        <w:tc>
          <w:tcPr>
            <w:tcW w:w="2180" w:type="dxa"/>
            <w:vAlign w:val="bottom"/>
          </w:tcPr>
          <w:p>
            <w:pPr>
              <w:jc w:val="right"/>
              <w:ind w:right="855"/>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4"/>
                <w:szCs w:val="14"/>
                <w:color w:val="auto"/>
              </w:rPr>
            </w:pPr>
          </w:p>
        </w:tc>
      </w:tr>
      <w:tr>
        <w:trPr>
          <w:trHeight w:val="203"/>
        </w:trPr>
        <w:tc>
          <w:tcPr>
            <w:tcW w:w="3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908</w:t>
            </w:r>
          </w:p>
        </w:tc>
        <w:tc>
          <w:tcPr>
            <w:tcW w:w="640" w:type="dxa"/>
            <w:vAlign w:val="bottom"/>
            <w:shd w:val="clear" w:color="auto" w:fill="CFF0FC"/>
          </w:tcPr>
          <w:p>
            <w:pPr>
              <w:spacing w:after="0"/>
              <w:rPr>
                <w:sz w:val="17"/>
                <w:szCs w:val="17"/>
                <w:color w:val="auto"/>
              </w:rPr>
            </w:pP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0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922</w:t>
            </w:r>
          </w:p>
        </w:tc>
        <w:tc>
          <w:tcPr>
            <w:tcW w:w="640" w:type="dxa"/>
            <w:vAlign w:val="bottom"/>
          </w:tcPr>
          <w:p>
            <w:pPr>
              <w:spacing w:after="0"/>
              <w:rPr>
                <w:sz w:val="17"/>
                <w:szCs w:val="17"/>
                <w:color w:val="auto"/>
              </w:rPr>
            </w:pPr>
          </w:p>
        </w:tc>
      </w:tr>
      <w:tr>
        <w:trPr>
          <w:trHeight w:val="203"/>
        </w:trPr>
        <w:tc>
          <w:tcPr>
            <w:tcW w:w="3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500" w:type="dxa"/>
            <w:vAlign w:val="bottom"/>
            <w:shd w:val="clear" w:color="auto" w:fill="CFF0FC"/>
          </w:tcPr>
          <w:p>
            <w:pPr>
              <w:spacing w:after="0"/>
              <w:rPr>
                <w:sz w:val="17"/>
                <w:szCs w:val="17"/>
                <w:color w:val="auto"/>
              </w:rPr>
            </w:pPr>
          </w:p>
        </w:tc>
        <w:tc>
          <w:tcPr>
            <w:tcW w:w="2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916</w:t>
            </w:r>
          </w:p>
        </w:tc>
        <w:tc>
          <w:tcPr>
            <w:tcW w:w="640" w:type="dxa"/>
            <w:vAlign w:val="bottom"/>
            <w:shd w:val="clear" w:color="auto" w:fill="CFF0FC"/>
          </w:tcPr>
          <w:p>
            <w:pPr>
              <w:spacing w:after="0"/>
              <w:rPr>
                <w:sz w:val="17"/>
                <w:szCs w:val="17"/>
                <w:color w:val="auto"/>
              </w:rPr>
            </w:pP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0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907</w:t>
            </w:r>
          </w:p>
        </w:tc>
        <w:tc>
          <w:tcPr>
            <w:tcW w:w="640" w:type="dxa"/>
            <w:vAlign w:val="bottom"/>
          </w:tcPr>
          <w:p>
            <w:pPr>
              <w:spacing w:after="0"/>
              <w:rPr>
                <w:sz w:val="17"/>
                <w:szCs w:val="17"/>
                <w:color w:val="auto"/>
              </w:rPr>
            </w:pPr>
          </w:p>
        </w:tc>
      </w:tr>
      <w:tr>
        <w:trPr>
          <w:trHeight w:val="203"/>
        </w:trPr>
        <w:tc>
          <w:tcPr>
            <w:tcW w:w="3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500" w:type="dxa"/>
            <w:vAlign w:val="bottom"/>
            <w:shd w:val="clear" w:color="auto" w:fill="CFF0FC"/>
          </w:tcPr>
          <w:p>
            <w:pPr>
              <w:spacing w:after="0"/>
              <w:rPr>
                <w:sz w:val="17"/>
                <w:szCs w:val="17"/>
                <w:color w:val="auto"/>
              </w:rPr>
            </w:pPr>
          </w:p>
        </w:tc>
        <w:tc>
          <w:tcPr>
            <w:tcW w:w="2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916</w:t>
            </w:r>
          </w:p>
        </w:tc>
        <w:tc>
          <w:tcPr>
            <w:tcW w:w="640" w:type="dxa"/>
            <w:vAlign w:val="bottom"/>
            <w:shd w:val="clear" w:color="auto" w:fill="CFF0FC"/>
          </w:tcPr>
          <w:p>
            <w:pPr>
              <w:spacing w:after="0"/>
              <w:rPr>
                <w:sz w:val="17"/>
                <w:szCs w:val="17"/>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2027-2031</w:t>
            </w:r>
          </w:p>
        </w:tc>
        <w:tc>
          <w:tcPr>
            <w:tcW w:w="5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4,502</w:t>
            </w:r>
          </w:p>
        </w:tc>
        <w:tc>
          <w:tcPr>
            <w:tcW w:w="6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fair values of the Company’s noncontributory defined benefit retirement plan assets at the end of fiscal 2021 and fiscal 2020, by asset category,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Fair Value Measurement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ind w:left="240"/>
              <w:spacing w:after="0" w:line="143" w:lineRule="exact"/>
              <w:rPr>
                <w:sz w:val="20"/>
                <w:szCs w:val="20"/>
                <w:color w:val="auto"/>
              </w:rPr>
            </w:pPr>
            <w:r>
              <w:rPr>
                <w:rFonts w:ascii="Arial" w:cs="Arial" w:eastAsia="Arial" w:hAnsi="Arial"/>
                <w:sz w:val="13"/>
                <w:szCs w:val="13"/>
                <w:color w:val="auto"/>
              </w:rPr>
              <w:t>January 29, 2022</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240"/>
              <w:spacing w:after="0" w:line="143" w:lineRule="exact"/>
              <w:rPr>
                <w:sz w:val="20"/>
                <w:szCs w:val="20"/>
                <w:color w:val="auto"/>
              </w:rPr>
            </w:pPr>
            <w:r>
              <w:rPr>
                <w:rFonts w:ascii="Arial" w:cs="Arial" w:eastAsia="Arial" w:hAnsi="Arial"/>
                <w:sz w:val="13"/>
                <w:szCs w:val="13"/>
                <w:color w:val="auto"/>
              </w:rPr>
              <w:t>January 30, 2021</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jc w:val="center"/>
              <w:ind w:right="18"/>
              <w:spacing w:after="0" w:line="102" w:lineRule="exact"/>
              <w:rPr>
                <w:sz w:val="20"/>
                <w:szCs w:val="20"/>
                <w:color w:val="auto"/>
              </w:rPr>
            </w:pPr>
            <w:r>
              <w:rPr>
                <w:rFonts w:ascii="Arial" w:cs="Arial" w:eastAsia="Arial" w:hAnsi="Arial"/>
                <w:sz w:val="10"/>
                <w:szCs w:val="10"/>
                <w:color w:val="auto"/>
              </w:rPr>
              <w:t>Quoted Prices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Significant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auto"/>
                <w:w w:val="87"/>
              </w:rPr>
              <w:t>Quoted Prices in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3"/>
                <w:szCs w:val="13"/>
                <w:color w:val="auto"/>
                <w:w w:val="93"/>
              </w:rPr>
              <w:t>Significant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8"/>
              <w:spacing w:after="0" w:line="122" w:lineRule="exact"/>
              <w:rPr>
                <w:sz w:val="20"/>
                <w:szCs w:val="20"/>
                <w:color w:val="auto"/>
              </w:rPr>
            </w:pPr>
            <w:r>
              <w:rPr>
                <w:rFonts w:ascii="Arial" w:cs="Arial" w:eastAsia="Arial" w:hAnsi="Arial"/>
                <w:sz w:val="13"/>
                <w:szCs w:val="13"/>
                <w:color w:val="auto"/>
                <w:w w:val="93"/>
              </w:rPr>
              <w:t>in Active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Significant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ind w:right="77"/>
              <w:spacing w:after="0"/>
              <w:rPr>
                <w:sz w:val="20"/>
                <w:szCs w:val="20"/>
                <w:color w:val="auto"/>
              </w:rPr>
            </w:pPr>
            <w:r>
              <w:rPr>
                <w:rFonts w:ascii="Arial" w:cs="Arial" w:eastAsia="Arial" w:hAnsi="Arial"/>
                <w:sz w:val="13"/>
                <w:szCs w:val="13"/>
                <w:color w:val="auto"/>
                <w:w w:val="93"/>
              </w:rPr>
              <w:t>Significant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8"/>
              <w:spacing w:after="0" w:line="122" w:lineRule="exact"/>
              <w:rPr>
                <w:sz w:val="20"/>
                <w:szCs w:val="20"/>
                <w:color w:val="auto"/>
              </w:rPr>
            </w:pPr>
            <w:r>
              <w:rPr>
                <w:rFonts w:ascii="Arial" w:cs="Arial" w:eastAsia="Arial" w:hAnsi="Arial"/>
                <w:sz w:val="13"/>
                <w:szCs w:val="13"/>
                <w:color w:val="auto"/>
                <w:w w:val="89"/>
              </w:rPr>
              <w:t>Markets for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37"/>
              <w:spacing w:after="0" w:line="122" w:lineRule="exact"/>
              <w:rPr>
                <w:sz w:val="20"/>
                <w:szCs w:val="20"/>
                <w:color w:val="auto"/>
              </w:rPr>
            </w:pPr>
            <w:r>
              <w:rPr>
                <w:rFonts w:ascii="Arial" w:cs="Arial" w:eastAsia="Arial" w:hAnsi="Arial"/>
                <w:sz w:val="13"/>
                <w:szCs w:val="13"/>
                <w:color w:val="auto"/>
                <w:w w:val="87"/>
              </w:rPr>
              <w:t>Observable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17"/>
              <w:spacing w:after="0" w:line="122" w:lineRule="exact"/>
              <w:rPr>
                <w:sz w:val="20"/>
                <w:szCs w:val="20"/>
                <w:color w:val="auto"/>
              </w:rPr>
            </w:pPr>
            <w:r>
              <w:rPr>
                <w:rFonts w:ascii="Arial" w:cs="Arial" w:eastAsia="Arial" w:hAnsi="Arial"/>
                <w:sz w:val="13"/>
                <w:szCs w:val="13"/>
                <w:color w:val="auto"/>
                <w:w w:val="89"/>
              </w:rPr>
              <w:t>Active Markets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17"/>
              <w:spacing w:after="0" w:line="122" w:lineRule="exact"/>
              <w:rPr>
                <w:sz w:val="20"/>
                <w:szCs w:val="20"/>
                <w:color w:val="auto"/>
              </w:rPr>
            </w:pPr>
            <w:r>
              <w:rPr>
                <w:rFonts w:ascii="Arial" w:cs="Arial" w:eastAsia="Arial" w:hAnsi="Arial"/>
                <w:sz w:val="13"/>
                <w:szCs w:val="13"/>
                <w:color w:val="auto"/>
                <w:w w:val="84"/>
              </w:rPr>
              <w:t>Observable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38"/>
              <w:spacing w:after="0" w:line="122" w:lineRule="exact"/>
              <w:rPr>
                <w:sz w:val="20"/>
                <w:szCs w:val="20"/>
                <w:color w:val="auto"/>
              </w:rPr>
            </w:pPr>
            <w:r>
              <w:rPr>
                <w:rFonts w:ascii="Arial" w:cs="Arial" w:eastAsia="Arial" w:hAnsi="Arial"/>
                <w:sz w:val="13"/>
                <w:szCs w:val="13"/>
                <w:color w:val="auto"/>
                <w:w w:val="87"/>
              </w:rPr>
              <w:t>Identical Assets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17"/>
              <w:spacing w:after="0" w:line="122" w:lineRule="exact"/>
              <w:rPr>
                <w:sz w:val="20"/>
                <w:szCs w:val="20"/>
                <w:color w:val="auto"/>
              </w:rPr>
            </w:pPr>
            <w:r>
              <w:rPr>
                <w:rFonts w:ascii="Arial" w:cs="Arial" w:eastAsia="Arial" w:hAnsi="Arial"/>
                <w:sz w:val="13"/>
                <w:szCs w:val="13"/>
                <w:color w:val="auto"/>
                <w:w w:val="90"/>
              </w:rPr>
              <w:t>Inputs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Arial" w:cs="Arial" w:eastAsia="Arial" w:hAnsi="Arial"/>
                <w:sz w:val="13"/>
                <w:szCs w:val="13"/>
                <w:color w:val="auto"/>
                <w:w w:val="87"/>
              </w:rPr>
              <w:t>Unobservable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7"/>
              <w:spacing w:after="0" w:line="122" w:lineRule="exact"/>
              <w:rPr>
                <w:sz w:val="20"/>
                <w:szCs w:val="20"/>
                <w:color w:val="auto"/>
              </w:rPr>
            </w:pPr>
            <w:r>
              <w:rPr>
                <w:rFonts w:ascii="Arial" w:cs="Arial" w:eastAsia="Arial" w:hAnsi="Arial"/>
                <w:sz w:val="13"/>
                <w:szCs w:val="13"/>
                <w:color w:val="auto"/>
                <w:w w:val="92"/>
              </w:rPr>
              <w:t>for Identical</w:t>
            </w:r>
          </w:p>
        </w:tc>
        <w:tc>
          <w:tcPr>
            <w:tcW w:w="100" w:type="dxa"/>
            <w:vAlign w:val="bottom"/>
          </w:tcPr>
          <w:p>
            <w:pPr>
              <w:spacing w:after="0"/>
              <w:rPr>
                <w:sz w:val="10"/>
                <w:szCs w:val="10"/>
                <w:color w:val="auto"/>
              </w:rPr>
            </w:pPr>
          </w:p>
        </w:tc>
        <w:tc>
          <w:tcPr>
            <w:tcW w:w="760" w:type="dxa"/>
            <w:vAlign w:val="bottom"/>
            <w:gridSpan w:val="2"/>
          </w:tcPr>
          <w:p>
            <w:pPr>
              <w:jc w:val="center"/>
              <w:spacing w:after="0" w:line="122" w:lineRule="exact"/>
              <w:rPr>
                <w:sz w:val="20"/>
                <w:szCs w:val="20"/>
                <w:color w:val="auto"/>
              </w:rPr>
            </w:pPr>
            <w:r>
              <w:rPr>
                <w:rFonts w:ascii="Arial" w:cs="Arial" w:eastAsia="Arial" w:hAnsi="Arial"/>
                <w:sz w:val="13"/>
                <w:szCs w:val="13"/>
                <w:color w:val="auto"/>
                <w:w w:val="91"/>
              </w:rPr>
              <w:t>Inputs (Level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87"/>
              </w:rPr>
              <w:t>Unobservable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color w:val="auto"/>
                <w:w w:val="90"/>
              </w:rPr>
              <w:t>(Level 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90"/>
              </w:rPr>
              <w:t>(Level 2)</w:t>
            </w:r>
          </w:p>
        </w:tc>
        <w:tc>
          <w:tcPr>
            <w:tcW w:w="12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1"/>
              </w:rPr>
              <w:t>Inputs (Level 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7"/>
              </w:rPr>
              <w:t>Assets (Level 1)</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9"/>
              </w:rPr>
              <w:t>Inputs (Level 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Asset category:</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20"/>
              <w:spacing w:after="0"/>
              <w:rPr>
                <w:sz w:val="20"/>
                <w:szCs w:val="20"/>
                <w:color w:val="auto"/>
              </w:rPr>
            </w:pPr>
            <w:r>
              <w:rPr>
                <w:rFonts w:ascii="Arial" w:cs="Arial" w:eastAsia="Arial" w:hAnsi="Arial"/>
                <w:sz w:val="13"/>
                <w:szCs w:val="13"/>
                <w:color w:val="auto"/>
              </w:rPr>
              <w:t>Mutual Funds: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U.S. Equity</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rPr>
                <w:sz w:val="20"/>
                <w:szCs w:val="20"/>
                <w:color w:val="auto"/>
              </w:rPr>
            </w:pPr>
            <w:r>
              <w:rPr>
                <w:rFonts w:ascii="Arial" w:cs="Arial" w:eastAsia="Arial" w:hAnsi="Arial"/>
                <w:sz w:val="13"/>
                <w:szCs w:val="13"/>
                <w:color w:val="auto"/>
                <w:w w:val="91"/>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ind w:left="680"/>
              <w:spacing w:after="0"/>
              <w:rPr>
                <w:sz w:val="20"/>
                <w:szCs w:val="20"/>
                <w:color w:val="auto"/>
              </w:rPr>
            </w:pPr>
            <w:r>
              <w:rPr>
                <w:rFonts w:ascii="Arial" w:cs="Arial" w:eastAsia="Arial" w:hAnsi="Arial"/>
                <w:sz w:val="13"/>
                <w:szCs w:val="13"/>
                <w:color w:val="auto"/>
                <w:w w:val="91"/>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200"/>
              <w:spacing w:after="0"/>
              <w:rPr>
                <w:sz w:val="20"/>
                <w:szCs w:val="20"/>
                <w:color w:val="auto"/>
              </w:rPr>
            </w:pPr>
            <w:r>
              <w:rPr>
                <w:rFonts w:ascii="Arial" w:cs="Arial" w:eastAsia="Arial" w:hAnsi="Arial"/>
                <w:sz w:val="13"/>
                <w:szCs w:val="13"/>
                <w:color w:val="auto"/>
              </w:rPr>
              <w:t>International Equity</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7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5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ind w:left="6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Fixed Income</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ind w:left="6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20"/>
              <w:spacing w:after="0"/>
              <w:rPr>
                <w:sz w:val="20"/>
                <w:szCs w:val="20"/>
                <w:color w:val="auto"/>
              </w:rPr>
            </w:pPr>
            <w:r>
              <w:rPr>
                <w:rFonts w:ascii="Arial" w:cs="Arial" w:eastAsia="Arial" w:hAnsi="Arial"/>
                <w:sz w:val="13"/>
                <w:szCs w:val="13"/>
                <w:color w:val="auto"/>
              </w:rPr>
              <w:t>Cash</w:t>
            </w: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Total</w:t>
            </w: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11,293</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ind w:left="580"/>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ind w:left="700"/>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11,293</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11,351</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ind w:left="540"/>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ind w:left="680"/>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11,351</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-5080</wp:posOffset>
            </wp:positionV>
            <wp:extent cx="4254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-5080</wp:posOffset>
            </wp:positionV>
            <wp:extent cx="4254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-5080</wp:posOffset>
            </wp:positionV>
            <wp:extent cx="431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-5080</wp:posOffset>
            </wp:positionV>
            <wp:extent cx="3429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-5080</wp:posOffset>
            </wp:positionV>
            <wp:extent cx="3429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-5080</wp:posOffset>
            </wp:positionV>
            <wp:extent cx="3429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-5080</wp:posOffset>
            </wp:positionV>
            <wp:extent cx="431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-5080</wp:posOffset>
            </wp:positionV>
            <wp:extent cx="431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 asset allocation for fiscal 2022 and its asset allocation at January 29, 2022 and January 30, 2021 were as follows, by asset category:</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1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80" w:type="dxa"/>
            <w:vAlign w:val="bottom"/>
            <w:gridSpan w:val="2"/>
          </w:tcPr>
          <w:p>
            <w:pPr>
              <w:jc w:val="right"/>
              <w:ind w:right="510"/>
              <w:spacing w:after="0"/>
              <w:rPr>
                <w:sz w:val="20"/>
                <w:szCs w:val="20"/>
                <w:color w:val="auto"/>
              </w:rPr>
            </w:pPr>
            <w:r>
              <w:rPr>
                <w:rFonts w:ascii="Arial" w:cs="Arial" w:eastAsia="Arial" w:hAnsi="Arial"/>
                <w:sz w:val="14"/>
                <w:szCs w:val="14"/>
                <w:color w:val="auto"/>
              </w:rPr>
              <w:t>Target Allocation</w:t>
            </w:r>
          </w:p>
        </w:tc>
        <w:tc>
          <w:tcPr>
            <w:tcW w:w="2880" w:type="dxa"/>
            <w:vAlign w:val="bottom"/>
            <w:gridSpan w:val="4"/>
          </w:tcPr>
          <w:p>
            <w:pPr>
              <w:jc w:val="right"/>
              <w:ind w:right="690"/>
              <w:spacing w:after="0"/>
              <w:rPr>
                <w:sz w:val="20"/>
                <w:szCs w:val="20"/>
                <w:color w:val="auto"/>
              </w:rPr>
            </w:pPr>
            <w:r>
              <w:rPr>
                <w:rFonts w:ascii="Arial" w:cs="Arial" w:eastAsia="Arial" w:hAnsi="Arial"/>
                <w:sz w:val="14"/>
                <w:szCs w:val="14"/>
                <w:color w:val="auto"/>
              </w:rPr>
              <w:t>Percentage of plan assets at</w:t>
            </w:r>
          </w:p>
        </w:tc>
      </w:tr>
      <w:tr>
        <w:trPr>
          <w:trHeight w:val="181"/>
        </w:trPr>
        <w:tc>
          <w:tcPr>
            <w:tcW w:w="1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80" w:type="dxa"/>
            <w:vAlign w:val="bottom"/>
            <w:gridSpan w:val="2"/>
          </w:tcPr>
          <w:p>
            <w:pPr>
              <w:jc w:val="right"/>
              <w:ind w:right="690"/>
              <w:spacing w:after="0"/>
              <w:rPr>
                <w:sz w:val="20"/>
                <w:szCs w:val="20"/>
                <w:color w:val="auto"/>
              </w:rPr>
            </w:pPr>
            <w:r>
              <w:rPr>
                <w:rFonts w:ascii="Arial" w:cs="Arial" w:eastAsia="Arial" w:hAnsi="Arial"/>
                <w:sz w:val="14"/>
                <w:szCs w:val="14"/>
                <w:color w:val="auto"/>
              </w:rPr>
              <w:t>Fiscal 2022</w:t>
            </w:r>
          </w:p>
        </w:tc>
        <w:tc>
          <w:tcPr>
            <w:tcW w:w="1480" w:type="dxa"/>
            <w:vAlign w:val="bottom"/>
            <w:gridSpan w:val="2"/>
          </w:tcPr>
          <w:p>
            <w:pPr>
              <w:jc w:val="right"/>
              <w:ind w:right="330"/>
              <w:spacing w:after="0"/>
              <w:rPr>
                <w:sz w:val="20"/>
                <w:szCs w:val="20"/>
                <w:color w:val="auto"/>
              </w:rPr>
            </w:pPr>
            <w:r>
              <w:rPr>
                <w:rFonts w:ascii="Arial" w:cs="Arial" w:eastAsia="Arial" w:hAnsi="Arial"/>
                <w:sz w:val="14"/>
                <w:szCs w:val="14"/>
                <w:color w:val="auto"/>
                <w:w w:val="96"/>
              </w:rPr>
              <w:t>January 29, 2022</w:t>
            </w:r>
          </w:p>
        </w:tc>
        <w:tc>
          <w:tcPr>
            <w:tcW w:w="1400" w:type="dxa"/>
            <w:vAlign w:val="bottom"/>
            <w:gridSpan w:val="2"/>
          </w:tcPr>
          <w:p>
            <w:pPr>
              <w:jc w:val="right"/>
              <w:ind w:right="250"/>
              <w:spacing w:after="0"/>
              <w:rPr>
                <w:sz w:val="20"/>
                <w:szCs w:val="20"/>
                <w:color w:val="auto"/>
              </w:rPr>
            </w:pPr>
            <w:r>
              <w:rPr>
                <w:rFonts w:ascii="Arial" w:cs="Arial" w:eastAsia="Arial" w:hAnsi="Arial"/>
                <w:sz w:val="14"/>
                <w:szCs w:val="14"/>
                <w:color w:val="auto"/>
                <w:w w:val="96"/>
              </w:rPr>
              <w:t>January 30, 2021</w:t>
            </w:r>
          </w:p>
        </w:tc>
      </w:tr>
      <w:tr>
        <w:trPr>
          <w:trHeight w:val="169"/>
        </w:trPr>
        <w:tc>
          <w:tcPr>
            <w:tcW w:w="4220" w:type="dxa"/>
            <w:vAlign w:val="bottom"/>
            <w:gridSpan w:val="2"/>
            <w:shd w:val="clear" w:color="auto" w:fill="CFF0FC"/>
          </w:tcPr>
          <w:p>
            <w:pPr>
              <w:spacing w:after="0" w:line="169" w:lineRule="exact"/>
              <w:rPr>
                <w:sz w:val="20"/>
                <w:szCs w:val="20"/>
                <w:color w:val="auto"/>
              </w:rPr>
            </w:pPr>
            <w:r>
              <w:rPr>
                <w:rFonts w:ascii="Arial" w:cs="Arial" w:eastAsia="Arial" w:hAnsi="Arial"/>
                <w:sz w:val="18"/>
                <w:szCs w:val="18"/>
                <w:color w:val="auto"/>
              </w:rPr>
              <w:t>Asset category:</w:t>
            </w:r>
          </w:p>
        </w:tc>
        <w:tc>
          <w:tcPr>
            <w:tcW w:w="1540" w:type="dxa"/>
            <w:vAlign w:val="bottom"/>
            <w:tcBorders>
              <w:top w:val="single" w:sz="8" w:color="auto"/>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27"/>
        </w:trPr>
        <w:tc>
          <w:tcPr>
            <w:tcW w:w="1120" w:type="dxa"/>
            <w:vAlign w:val="bottom"/>
            <w:shd w:val="clear" w:color="auto" w:fill="000000"/>
          </w:tcPr>
          <w:p>
            <w:pPr>
              <w:spacing w:after="0"/>
              <w:rPr>
                <w:sz w:val="2"/>
                <w:szCs w:val="2"/>
                <w:color w:val="auto"/>
              </w:rPr>
            </w:pPr>
          </w:p>
        </w:tc>
        <w:tc>
          <w:tcPr>
            <w:tcW w:w="310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Equity securities</w:t>
            </w:r>
          </w:p>
        </w:tc>
        <w:tc>
          <w:tcPr>
            <w:tcW w:w="1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63.0 %</w:t>
            </w: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68.2 %</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61.7 %</w:t>
            </w:r>
          </w:p>
        </w:tc>
      </w:tr>
      <w:tr>
        <w:trPr>
          <w:trHeight w:val="203"/>
        </w:trPr>
        <w:tc>
          <w:tcPr>
            <w:tcW w:w="42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Debt securities</w:t>
            </w:r>
          </w:p>
        </w:tc>
        <w:tc>
          <w:tcPr>
            <w:tcW w:w="1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35.0 %</w:t>
            </w: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30.9 %</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31.1 %</w:t>
            </w: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Cash</w:t>
            </w:r>
          </w:p>
        </w:tc>
        <w:tc>
          <w:tcPr>
            <w:tcW w:w="1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2.0 %</w:t>
            </w: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0.9 %</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7.2 %</w:t>
            </w:r>
          </w:p>
        </w:tc>
      </w:tr>
      <w:tr>
        <w:trPr>
          <w:trHeight w:val="236"/>
        </w:trPr>
        <w:tc>
          <w:tcPr>
            <w:tcW w:w="422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2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1631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1631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543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543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15430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1543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Supplemental Executive Retirement Plan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Casual Male acquisition, the Company also assumed the liability of the Casual Male Supplemental Retirement Plan (the “SERP”).</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following table sets forth the SERP’s funded status at January 29, 2022 and January 30, 2021:</w:t>
      </w:r>
    </w:p>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color w:val="auto"/>
                <w:w w:val="99"/>
              </w:rPr>
              <w:t>January 29, 2022</w:t>
            </w:r>
          </w:p>
        </w:tc>
        <w:tc>
          <w:tcPr>
            <w:tcW w:w="200" w:type="dxa"/>
            <w:vAlign w:val="bottom"/>
          </w:tcPr>
          <w:p>
            <w:pPr>
              <w:spacing w:after="0"/>
              <w:rPr>
                <w:sz w:val="15"/>
                <w:szCs w:val="15"/>
                <w:color w:val="auto"/>
              </w:rPr>
            </w:pPr>
          </w:p>
        </w:tc>
        <w:tc>
          <w:tcPr>
            <w:tcW w:w="11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color w:val="auto"/>
                <w:w w:val="97"/>
              </w:rPr>
              <w:t>January 30, 2021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5"/>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tcBorders>
              <w:bottom w:val="single" w:sz="8" w:color="auto"/>
            </w:tcBorders>
            <w:gridSpan w:val="3"/>
            <w:shd w:val="clear" w:color="auto" w:fill="CFF0FC"/>
          </w:tcPr>
          <w:p>
            <w:pPr>
              <w:spacing w:after="0" w:line="176" w:lineRule="exact"/>
              <w:rPr>
                <w:sz w:val="20"/>
                <w:szCs w:val="20"/>
                <w:color w:val="auto"/>
              </w:rPr>
            </w:pPr>
            <w:r>
              <w:rPr>
                <w:rFonts w:ascii="Arial" w:cs="Arial" w:eastAsia="Arial" w:hAnsi="Arial"/>
                <w:sz w:val="18"/>
                <w:szCs w:val="18"/>
                <w:color w:val="auto"/>
                <w:w w:val="92"/>
              </w:rPr>
              <w:t>Change in benefit obligation:</w:t>
            </w:r>
          </w:p>
        </w:tc>
        <w:tc>
          <w:tcPr>
            <w:tcW w:w="2400" w:type="dxa"/>
            <w:vAlign w:val="bottom"/>
            <w:tcBorders>
              <w:bottom w:val="single" w:sz="8" w:color="CFF0FC"/>
            </w:tcBorders>
            <w:gridSpan w:val="4"/>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7"/>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660" w:type="dxa"/>
            <w:vAlign w:val="bottom"/>
          </w:tcPr>
          <w:p>
            <w:pPr>
              <w:spacing w:after="0"/>
              <w:rPr>
                <w:sz w:val="17"/>
                <w:szCs w:val="17"/>
                <w:color w:val="auto"/>
              </w:rPr>
            </w:pPr>
          </w:p>
        </w:tc>
        <w:tc>
          <w:tcPr>
            <w:tcW w:w="480" w:type="dxa"/>
            <w:vAlign w:val="bottom"/>
          </w:tcPr>
          <w:p>
            <w:pPr>
              <w:jc w:val="right"/>
              <w:ind w:right="291"/>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563</w:t>
            </w:r>
          </w:p>
        </w:tc>
        <w:tc>
          <w:tcPr>
            <w:tcW w:w="200" w:type="dxa"/>
            <w:vAlign w:val="bottom"/>
          </w:tcPr>
          <w:p>
            <w:pPr>
              <w:spacing w:after="0"/>
              <w:rPr>
                <w:sz w:val="17"/>
                <w:szCs w:val="17"/>
                <w:color w:val="auto"/>
              </w:rPr>
            </w:pPr>
          </w:p>
        </w:tc>
        <w:tc>
          <w:tcPr>
            <w:tcW w:w="40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7"/>
            <w:shd w:val="clear" w:color="auto" w:fill="CFF0FC"/>
          </w:tcPr>
          <w:p>
            <w:pPr>
              <w:spacing w:after="0" w:line="202" w:lineRule="exact"/>
              <w:rPr>
                <w:sz w:val="20"/>
                <w:szCs w:val="20"/>
                <w:color w:val="auto"/>
              </w:rPr>
            </w:pPr>
            <w:r>
              <w:rPr>
                <w:rFonts w:ascii="Arial" w:cs="Arial" w:eastAsia="Arial" w:hAnsi="Arial"/>
                <w:sz w:val="18"/>
                <w:szCs w:val="18"/>
                <w:color w:val="auto"/>
              </w:rPr>
              <w:t>Benefits and expenses paid</w:t>
            </w: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(40 )</w:t>
            </w: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(38 )</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7"/>
          </w:tcPr>
          <w:p>
            <w:pPr>
              <w:spacing w:after="0" w:line="202" w:lineRule="exact"/>
              <w:rPr>
                <w:sz w:val="20"/>
                <w:szCs w:val="20"/>
                <w:color w:val="auto"/>
              </w:rPr>
            </w:pPr>
            <w:r>
              <w:rPr>
                <w:rFonts w:ascii="Arial" w:cs="Arial" w:eastAsia="Arial" w:hAnsi="Arial"/>
                <w:sz w:val="18"/>
                <w:szCs w:val="18"/>
                <w:color w:val="auto"/>
              </w:rPr>
              <w:t>Interest costs</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7"/>
            <w:shd w:val="clear" w:color="auto" w:fill="CFF0FC"/>
          </w:tcPr>
          <w:p>
            <w:pPr>
              <w:spacing w:after="0" w:line="202" w:lineRule="exact"/>
              <w:rPr>
                <w:sz w:val="20"/>
                <w:szCs w:val="20"/>
                <w:color w:val="auto"/>
              </w:rPr>
            </w:pPr>
            <w:r>
              <w:rPr>
                <w:rFonts w:ascii="Arial" w:cs="Arial" w:eastAsia="Arial" w:hAnsi="Arial"/>
                <w:sz w:val="18"/>
                <w:szCs w:val="18"/>
                <w:color w:val="auto"/>
              </w:rPr>
              <w:t>Actuarial (gain) loss</w:t>
            </w: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(21 )</w:t>
            </w: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Borders>
              <w:top w:val="single" w:sz="8" w:color="CFF0FC"/>
            </w:tcBorders>
            <w:gridSpan w:val="7"/>
          </w:tcPr>
          <w:p>
            <w:pPr>
              <w:spacing w:after="0" w:line="182" w:lineRule="exact"/>
              <w:rPr>
                <w:sz w:val="20"/>
                <w:szCs w:val="20"/>
                <w:color w:val="auto"/>
              </w:rPr>
            </w:pPr>
            <w:r>
              <w:rPr>
                <w:rFonts w:ascii="Arial" w:cs="Arial" w:eastAsia="Arial" w:hAnsi="Arial"/>
                <w:sz w:val="18"/>
                <w:szCs w:val="18"/>
                <w:color w:val="auto"/>
              </w:rPr>
              <w:t>Balance at end of year</w:t>
            </w:r>
          </w:p>
        </w:tc>
        <w:tc>
          <w:tcPr>
            <w:tcW w:w="66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1"/>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514</w:t>
            </w:r>
          </w:p>
        </w:tc>
        <w:tc>
          <w:tcPr>
            <w:tcW w:w="20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1"/>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563</w:t>
            </w:r>
          </w:p>
        </w:tc>
        <w:tc>
          <w:tcPr>
            <w:tcW w:w="100" w:type="dxa"/>
            <w:vAlign w:val="bottom"/>
            <w:tcBorders>
              <w:top w:val="single" w:sz="8" w:color="CFF0FC"/>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40" w:type="dxa"/>
            <w:vAlign w:val="bottom"/>
            <w:tcBorders>
              <w:bottom w:val="single" w:sz="8" w:color="auto"/>
            </w:tcBorders>
            <w:gridSpan w:val="5"/>
          </w:tcPr>
          <w:p>
            <w:pPr>
              <w:spacing w:after="0" w:line="176" w:lineRule="exact"/>
              <w:rPr>
                <w:sz w:val="20"/>
                <w:szCs w:val="20"/>
                <w:color w:val="auto"/>
              </w:rPr>
            </w:pPr>
            <w:r>
              <w:rPr>
                <w:rFonts w:ascii="Arial" w:cs="Arial" w:eastAsia="Arial" w:hAnsi="Arial"/>
                <w:sz w:val="18"/>
                <w:szCs w:val="18"/>
                <w:color w:val="auto"/>
                <w:w w:val="89"/>
              </w:rPr>
              <w:t>Change in fair value of plan assets:</w:t>
            </w:r>
          </w:p>
        </w:tc>
        <w:tc>
          <w:tcPr>
            <w:tcW w:w="198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7"/>
            <w:shd w:val="clear" w:color="auto" w:fill="CFF0FC"/>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1"/>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211"/>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7"/>
          </w:tcPr>
          <w:p>
            <w:pPr>
              <w:spacing w:after="0" w:line="202" w:lineRule="exact"/>
              <w:rPr>
                <w:sz w:val="20"/>
                <w:szCs w:val="20"/>
                <w:color w:val="auto"/>
              </w:rPr>
            </w:pPr>
            <w:r>
              <w:rPr>
                <w:rFonts w:ascii="Arial" w:cs="Arial" w:eastAsia="Arial" w:hAnsi="Arial"/>
                <w:sz w:val="18"/>
                <w:szCs w:val="18"/>
                <w:color w:val="auto"/>
              </w:rPr>
              <w:t>Employer contributions</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7"/>
            <w:shd w:val="clear" w:color="auto" w:fill="CFF0FC"/>
          </w:tcPr>
          <w:p>
            <w:pPr>
              <w:spacing w:after="0" w:line="202" w:lineRule="exact"/>
              <w:rPr>
                <w:sz w:val="20"/>
                <w:szCs w:val="20"/>
                <w:color w:val="auto"/>
              </w:rPr>
            </w:pPr>
            <w:r>
              <w:rPr>
                <w:rFonts w:ascii="Arial" w:cs="Arial" w:eastAsia="Arial" w:hAnsi="Arial"/>
                <w:sz w:val="18"/>
                <w:szCs w:val="18"/>
                <w:color w:val="auto"/>
              </w:rPr>
              <w:t>Benefits and expenses paid</w:t>
            </w: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(40 )</w:t>
            </w: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(38 )</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Borders>
              <w:top w:val="single" w:sz="8" w:color="CFF0FC"/>
            </w:tcBorders>
            <w:gridSpan w:val="7"/>
          </w:tcPr>
          <w:p>
            <w:pPr>
              <w:spacing w:after="0" w:line="182" w:lineRule="exact"/>
              <w:rPr>
                <w:sz w:val="20"/>
                <w:szCs w:val="20"/>
                <w:color w:val="auto"/>
              </w:rPr>
            </w:pPr>
            <w:r>
              <w:rPr>
                <w:rFonts w:ascii="Arial" w:cs="Arial" w:eastAsia="Arial" w:hAnsi="Arial"/>
                <w:sz w:val="18"/>
                <w:szCs w:val="18"/>
                <w:color w:val="auto"/>
              </w:rPr>
              <w:t>Balance at end of period</w:t>
            </w:r>
          </w:p>
        </w:tc>
        <w:tc>
          <w:tcPr>
            <w:tcW w:w="66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1"/>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1"/>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7"/>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660" w:type="dxa"/>
            <w:vAlign w:val="bottom"/>
          </w:tcPr>
          <w:p>
            <w:pPr>
              <w:spacing w:after="0"/>
              <w:rPr>
                <w:sz w:val="17"/>
                <w:szCs w:val="17"/>
                <w:color w:val="auto"/>
              </w:rPr>
            </w:pPr>
          </w:p>
        </w:tc>
        <w:tc>
          <w:tcPr>
            <w:tcW w:w="480" w:type="dxa"/>
            <w:vAlign w:val="bottom"/>
          </w:tcPr>
          <w:p>
            <w:pPr>
              <w:jc w:val="right"/>
              <w:ind w:right="291"/>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514</w:t>
            </w:r>
          </w:p>
        </w:tc>
        <w:tc>
          <w:tcPr>
            <w:tcW w:w="200" w:type="dxa"/>
            <w:vAlign w:val="bottom"/>
          </w:tcPr>
          <w:p>
            <w:pPr>
              <w:spacing w:after="0"/>
              <w:rPr>
                <w:sz w:val="17"/>
                <w:szCs w:val="17"/>
                <w:color w:val="auto"/>
              </w:rPr>
            </w:pPr>
          </w:p>
        </w:tc>
        <w:tc>
          <w:tcPr>
            <w:tcW w:w="40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563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520" w:type="dxa"/>
            <w:vAlign w:val="bottom"/>
            <w:gridSpan w:val="7"/>
          </w:tcPr>
          <w:p>
            <w:pPr>
              <w:spacing w:after="0" w:line="176" w:lineRule="exact"/>
              <w:rPr>
                <w:sz w:val="20"/>
                <w:szCs w:val="20"/>
                <w:color w:val="auto"/>
              </w:rPr>
            </w:pPr>
            <w:r>
              <w:rPr>
                <w:rFonts w:ascii="Arial" w:cs="Arial" w:eastAsia="Arial" w:hAnsi="Arial"/>
                <w:sz w:val="18"/>
                <w:szCs w:val="18"/>
                <w:color w:val="auto"/>
              </w:rPr>
              <w:t>Reconciliation of funded status:</w:t>
            </w: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00" w:type="dxa"/>
            <w:vAlign w:val="bottom"/>
            <w:tcBorders>
              <w:top w:val="single" w:sz="8" w:color="auto"/>
            </w:tcBorders>
            <w:gridSpan w:val="4"/>
            <w:shd w:val="clear" w:color="auto" w:fill="CFF0FC"/>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2220" w:type="dxa"/>
            <w:vAlign w:val="bottom"/>
            <w:gridSpan w:val="3"/>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1"/>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514</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1"/>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7"/>
          </w:tcPr>
          <w:p>
            <w:pPr>
              <w:spacing w:after="0" w:line="202" w:lineRule="exact"/>
              <w:rPr>
                <w:sz w:val="20"/>
                <w:szCs w:val="20"/>
                <w:color w:val="auto"/>
              </w:rPr>
            </w:pPr>
            <w:r>
              <w:rPr>
                <w:rFonts w:ascii="Arial" w:cs="Arial" w:eastAsia="Arial" w:hAnsi="Arial"/>
                <w:sz w:val="18"/>
                <w:szCs w:val="18"/>
                <w:color w:val="auto"/>
              </w:rPr>
              <w:t>Fair value of plan assets</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7"/>
            <w:shd w:val="clear" w:color="auto" w:fill="CFF0FC"/>
          </w:tcPr>
          <w:p>
            <w:pPr>
              <w:spacing w:after="0" w:line="196" w:lineRule="exact"/>
              <w:rPr>
                <w:sz w:val="20"/>
                <w:szCs w:val="20"/>
                <w:color w:val="auto"/>
              </w:rPr>
            </w:pPr>
            <w:r>
              <w:rPr>
                <w:rFonts w:ascii="Arial" w:cs="Arial" w:eastAsia="Arial" w:hAnsi="Arial"/>
                <w:sz w:val="18"/>
                <w:szCs w:val="18"/>
                <w:color w:val="auto"/>
              </w:rPr>
              <w:t>Unfunded Status</w:t>
            </w:r>
          </w:p>
        </w:tc>
        <w:tc>
          <w:tcPr>
            <w:tcW w:w="66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ind w:right="291"/>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(514</w:t>
            </w:r>
          </w:p>
        </w:tc>
        <w:tc>
          <w:tcPr>
            <w:tcW w:w="200" w:type="dxa"/>
            <w:vAlign w:val="bottom"/>
            <w:shd w:val="clear" w:color="auto" w:fill="CFF0FC"/>
          </w:tcPr>
          <w:p>
            <w:pPr>
              <w:jc w:val="center"/>
              <w:ind w:right="1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ind w:right="211"/>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520" w:type="dxa"/>
            <w:vAlign w:val="bottom"/>
            <w:gridSpan w:val="7"/>
            <w:shd w:val="clear" w:color="auto" w:fill="CFF0FC"/>
          </w:tcPr>
          <w:p>
            <w:pPr>
              <w:spacing w:after="0" w:line="176" w:lineRule="exact"/>
              <w:rPr>
                <w:sz w:val="20"/>
                <w:szCs w:val="20"/>
                <w:color w:val="auto"/>
              </w:rPr>
            </w:pPr>
            <w:r>
              <w:rPr>
                <w:rFonts w:ascii="Arial" w:cs="Arial" w:eastAsia="Arial" w:hAnsi="Arial"/>
                <w:sz w:val="18"/>
                <w:szCs w:val="18"/>
                <w:color w:val="auto"/>
              </w:rPr>
              <w:t>Balance sheet classification:</w:t>
            </w:r>
          </w:p>
        </w:tc>
        <w:tc>
          <w:tcPr>
            <w:tcW w:w="6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2480" w:type="dxa"/>
            <w:vAlign w:val="bottom"/>
            <w:tcBorders>
              <w:top w:val="single" w:sz="8" w:color="CFF0FC"/>
            </w:tcBorders>
            <w:gridSpan w:val="5"/>
          </w:tcPr>
          <w:p>
            <w:pPr>
              <w:spacing w:after="0"/>
              <w:rPr>
                <w:sz w:val="20"/>
                <w:szCs w:val="20"/>
                <w:color w:val="auto"/>
              </w:rPr>
            </w:pPr>
          </w:p>
        </w:tc>
        <w:tc>
          <w:tcPr>
            <w:tcW w:w="660" w:type="dxa"/>
            <w:vAlign w:val="bottom"/>
            <w:tcBorders>
              <w:top w:val="single" w:sz="8" w:color="CFF0FC"/>
            </w:tcBorders>
          </w:tcPr>
          <w:p>
            <w:pPr>
              <w:spacing w:after="0"/>
              <w:rPr>
                <w:sz w:val="20"/>
                <w:szCs w:val="20"/>
                <w:color w:val="auto"/>
              </w:rPr>
            </w:pPr>
          </w:p>
        </w:tc>
        <w:tc>
          <w:tcPr>
            <w:tcW w:w="480" w:type="dxa"/>
            <w:vAlign w:val="bottom"/>
            <w:tcBorders>
              <w:top w:val="single" w:sz="8" w:color="CFF0FC"/>
            </w:tcBorders>
          </w:tcPr>
          <w:p>
            <w:pPr>
              <w:jc w:val="right"/>
              <w:ind w:right="29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CFF0FC"/>
            </w:tcBorders>
          </w:tcPr>
          <w:p>
            <w:pPr>
              <w:spacing w:after="0"/>
              <w:rPr>
                <w:sz w:val="20"/>
                <w:szCs w:val="20"/>
                <w:color w:val="auto"/>
              </w:rPr>
            </w:pPr>
          </w:p>
        </w:tc>
        <w:tc>
          <w:tcPr>
            <w:tcW w:w="5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Borders>
              <w:top w:val="single" w:sz="8" w:color="CFF0FC"/>
            </w:tcBorders>
          </w:tcPr>
          <w:p>
            <w:pPr>
              <w:spacing w:after="0"/>
              <w:rPr>
                <w:sz w:val="20"/>
                <w:szCs w:val="20"/>
                <w:color w:val="auto"/>
              </w:rPr>
            </w:pPr>
          </w:p>
        </w:tc>
        <w:tc>
          <w:tcPr>
            <w:tcW w:w="400" w:type="dxa"/>
            <w:vAlign w:val="bottom"/>
            <w:tcBorders>
              <w:top w:val="single" w:sz="8" w:color="CFF0FC"/>
            </w:tcBorders>
          </w:tcPr>
          <w:p>
            <w:pPr>
              <w:jc w:val="right"/>
              <w:ind w:right="21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CFF0FC"/>
            </w:tcBorders>
          </w:tcPr>
          <w:p>
            <w:pPr>
              <w:spacing w:after="0"/>
              <w:rPr>
                <w:sz w:val="20"/>
                <w:szCs w:val="20"/>
                <w:color w:val="auto"/>
              </w:rPr>
            </w:pPr>
          </w:p>
        </w:tc>
        <w:tc>
          <w:tcPr>
            <w:tcW w:w="5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CFF0FC"/>
            </w:tcBorders>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2"/>
        </w:trPr>
        <w:tc>
          <w:tcPr>
            <w:tcW w:w="6360" w:type="dxa"/>
            <w:vAlign w:val="bottom"/>
            <w:gridSpan w:val="11"/>
          </w:tcPr>
          <w:p>
            <w:pPr>
              <w:jc w:val="right"/>
              <w:ind w:right="256"/>
              <w:spacing w:after="0"/>
              <w:rPr>
                <w:sz w:val="20"/>
                <w:szCs w:val="20"/>
                <w:color w:val="auto"/>
              </w:rPr>
            </w:pPr>
            <w:r>
              <w:rPr>
                <w:rFonts w:ascii="Arial" w:cs="Arial" w:eastAsia="Arial" w:hAnsi="Arial"/>
                <w:sz w:val="18"/>
                <w:szCs w:val="18"/>
                <w:color w:val="auto"/>
                <w:w w:val="89"/>
              </w:rPr>
              <w:t>Other changes recognized in other comprehensive loss, before taxes (</w:t>
            </w:r>
            <w:r>
              <w:rPr>
                <w:rFonts w:ascii="Arial" w:cs="Arial" w:eastAsia="Arial" w:hAnsi="Arial"/>
                <w:sz w:val="18"/>
                <w:szCs w:val="18"/>
                <w:i w:val="1"/>
                <w:iCs w:val="1"/>
                <w:color w:val="auto"/>
                <w:w w:val="89"/>
              </w:rPr>
              <w:t>in thousands</w:t>
            </w:r>
            <w:r>
              <w:rPr>
                <w:rFonts w:ascii="Arial" w:cs="Arial" w:eastAsia="Arial" w:hAnsi="Arial"/>
                <w:sz w:val="18"/>
                <w:szCs w:val="18"/>
                <w:color w:val="auto"/>
                <w:w w:val="89"/>
              </w:rPr>
              <w:t>):</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w w:val="96"/>
              </w:rPr>
              <w:t>January 29, 2022</w:t>
            </w:r>
          </w:p>
        </w:tc>
        <w:tc>
          <w:tcPr>
            <w:tcW w:w="1320" w:type="dxa"/>
            <w:vAlign w:val="bottom"/>
            <w:gridSpan w:val="4"/>
          </w:tcPr>
          <w:p>
            <w:pPr>
              <w:jc w:val="center"/>
              <w:ind w:right="200"/>
              <w:spacing w:after="0"/>
              <w:rPr>
                <w:sz w:val="20"/>
                <w:szCs w:val="20"/>
                <w:color w:val="auto"/>
              </w:rPr>
            </w:pPr>
            <w:r>
              <w:rPr>
                <w:rFonts w:ascii="Arial" w:cs="Arial" w:eastAsia="Arial" w:hAnsi="Arial"/>
                <w:sz w:val="14"/>
                <w:szCs w:val="14"/>
                <w:color w:val="auto"/>
                <w:w w:val="92"/>
              </w:rPr>
              <w:t>January 30, 2021</w:t>
            </w:r>
          </w:p>
        </w:tc>
        <w:tc>
          <w:tcPr>
            <w:tcW w:w="1240" w:type="dxa"/>
            <w:vAlign w:val="bottom"/>
            <w:gridSpan w:val="4"/>
          </w:tcPr>
          <w:p>
            <w:pPr>
              <w:jc w:val="right"/>
              <w:ind w:right="180"/>
              <w:spacing w:after="0"/>
              <w:rPr>
                <w:sz w:val="20"/>
                <w:szCs w:val="20"/>
                <w:color w:val="auto"/>
              </w:rPr>
            </w:pPr>
            <w:r>
              <w:rPr>
                <w:rFonts w:ascii="Arial" w:cs="Arial" w:eastAsia="Arial" w:hAnsi="Arial"/>
                <w:sz w:val="14"/>
                <w:szCs w:val="14"/>
                <w:color w:val="auto"/>
                <w:w w:val="97"/>
              </w:rPr>
              <w:t>February 1, 2020</w:t>
            </w:r>
          </w:p>
        </w:tc>
      </w:tr>
      <w:tr>
        <w:trPr>
          <w:trHeight w:val="169"/>
        </w:trPr>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w w:val="93"/>
              </w:rPr>
              <w:t>in thousands</w:t>
            </w:r>
          </w:p>
        </w:tc>
        <w:tc>
          <w:tcPr>
            <w:tcW w:w="2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20" w:type="dxa"/>
            <w:vAlign w:val="bottom"/>
          </w:tcPr>
          <w:p>
            <w:pPr>
              <w:spacing w:after="0"/>
              <w:rPr>
                <w:sz w:val="15"/>
                <w:szCs w:val="15"/>
                <w:color w:val="auto"/>
              </w:rPr>
            </w:pPr>
          </w:p>
        </w:tc>
        <w:tc>
          <w:tcPr>
            <w:tcW w:w="5080" w:type="dxa"/>
            <w:vAlign w:val="bottom"/>
            <w:gridSpan w:val="9"/>
            <w:shd w:val="clear" w:color="auto" w:fill="CFF0FC"/>
          </w:tcPr>
          <w:p>
            <w:pPr>
              <w:spacing w:after="0" w:line="176" w:lineRule="exact"/>
              <w:rPr>
                <w:sz w:val="20"/>
                <w:szCs w:val="20"/>
                <w:color w:val="auto"/>
              </w:rPr>
            </w:pPr>
            <w:r>
              <w:rPr>
                <w:rFonts w:ascii="Arial" w:cs="Arial" w:eastAsia="Arial" w:hAnsi="Arial"/>
                <w:sz w:val="18"/>
                <w:szCs w:val="18"/>
                <w:color w:val="auto"/>
              </w:rPr>
              <w:t>Other changes recognized in other comprehensive loss,</w:t>
            </w:r>
          </w:p>
        </w:tc>
        <w:tc>
          <w:tcPr>
            <w:tcW w:w="6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6"/>
        </w:trPr>
        <w:tc>
          <w:tcPr>
            <w:tcW w:w="620" w:type="dxa"/>
            <w:vAlign w:val="bottom"/>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3840" w:type="dxa"/>
            <w:vAlign w:val="bottom"/>
            <w:tcBorders>
              <w:top w:val="single" w:sz="8" w:color="auto"/>
            </w:tcBorders>
            <w:gridSpan w:val="7"/>
            <w:shd w:val="clear" w:color="auto" w:fill="CFF0FC"/>
          </w:tcPr>
          <w:p>
            <w:pPr>
              <w:spacing w:after="0" w:line="156" w:lineRule="exact"/>
              <w:rPr>
                <w:sz w:val="20"/>
                <w:szCs w:val="20"/>
                <w:color w:val="auto"/>
              </w:rPr>
            </w:pPr>
            <w:r>
              <w:rPr>
                <w:rFonts w:ascii="Arial" w:cs="Arial" w:eastAsia="Arial" w:hAnsi="Arial"/>
                <w:sz w:val="18"/>
                <w:szCs w:val="18"/>
                <w:color w:val="auto"/>
              </w:rPr>
              <w:t>before taxes:</w:t>
            </w:r>
          </w:p>
        </w:tc>
        <w:tc>
          <w:tcPr>
            <w:tcW w:w="110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27"/>
        </w:trPr>
        <w:tc>
          <w:tcPr>
            <w:tcW w:w="620" w:type="dxa"/>
            <w:vAlign w:val="bottom"/>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03"/>
        </w:trPr>
        <w:tc>
          <w:tcPr>
            <w:tcW w:w="620" w:type="dxa"/>
            <w:vAlign w:val="bottom"/>
          </w:tcPr>
          <w:p>
            <w:pPr>
              <w:spacing w:after="0"/>
              <w:rPr>
                <w:sz w:val="17"/>
                <w:szCs w:val="17"/>
                <w:color w:val="auto"/>
              </w:rPr>
            </w:pPr>
          </w:p>
        </w:tc>
        <w:tc>
          <w:tcPr>
            <w:tcW w:w="5080" w:type="dxa"/>
            <w:vAlign w:val="bottom"/>
            <w:gridSpan w:val="9"/>
          </w:tcPr>
          <w:p>
            <w:pPr>
              <w:spacing w:after="0" w:line="202" w:lineRule="exact"/>
              <w:rPr>
                <w:sz w:val="20"/>
                <w:szCs w:val="20"/>
                <w:color w:val="auto"/>
              </w:rPr>
            </w:pPr>
            <w:r>
              <w:rPr>
                <w:rFonts w:ascii="Arial" w:cs="Arial" w:eastAsia="Arial" w:hAnsi="Arial"/>
                <w:sz w:val="18"/>
                <w:szCs w:val="18"/>
                <w:color w:val="auto"/>
              </w:rPr>
              <w:t>Unrecognized losses at the beginning of the year</w:t>
            </w:r>
          </w:p>
        </w:tc>
        <w:tc>
          <w:tcPr>
            <w:tcW w:w="660" w:type="dxa"/>
            <w:vAlign w:val="bottom"/>
          </w:tcPr>
          <w:p>
            <w:pPr>
              <w:jc w:val="right"/>
              <w:ind w:right="476"/>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200" w:type="dxa"/>
            <w:vAlign w:val="bottom"/>
          </w:tcPr>
          <w:p>
            <w:pPr>
              <w:spacing w:after="0"/>
              <w:rPr>
                <w:sz w:val="17"/>
                <w:szCs w:val="17"/>
                <w:color w:val="auto"/>
              </w:rPr>
            </w:pPr>
          </w:p>
        </w:tc>
        <w:tc>
          <w:tcPr>
            <w:tcW w:w="520" w:type="dxa"/>
            <w:vAlign w:val="bottom"/>
          </w:tcPr>
          <w:p>
            <w:pPr>
              <w:jc w:val="right"/>
              <w:ind w:right="333"/>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580" w:type="dxa"/>
            <w:vAlign w:val="bottom"/>
          </w:tcPr>
          <w:p>
            <w:pPr>
              <w:jc w:val="right"/>
              <w:ind w:right="391"/>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080" w:type="dxa"/>
            <w:vAlign w:val="bottom"/>
            <w:gridSpan w:val="9"/>
            <w:shd w:val="clear" w:color="auto" w:fill="CFF0FC"/>
          </w:tcPr>
          <w:p>
            <w:pPr>
              <w:spacing w:after="0" w:line="202" w:lineRule="exact"/>
              <w:rPr>
                <w:sz w:val="20"/>
                <w:szCs w:val="20"/>
                <w:color w:val="auto"/>
              </w:rPr>
            </w:pPr>
            <w:r>
              <w:rPr>
                <w:rFonts w:ascii="Arial" w:cs="Arial" w:eastAsia="Arial" w:hAnsi="Arial"/>
                <w:sz w:val="18"/>
                <w:szCs w:val="18"/>
                <w:color w:val="auto"/>
              </w:rPr>
              <w:t>Net periodic pension cost</w:t>
            </w:r>
          </w:p>
        </w:tc>
        <w:tc>
          <w:tcPr>
            <w:tcW w:w="6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(16 )</w:t>
            </w: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(15 )</w:t>
            </w: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(19 )</w:t>
            </w:r>
          </w:p>
        </w:tc>
      </w:tr>
      <w:tr>
        <w:trPr>
          <w:trHeight w:val="203"/>
        </w:trPr>
        <w:tc>
          <w:tcPr>
            <w:tcW w:w="620" w:type="dxa"/>
            <w:vAlign w:val="bottom"/>
          </w:tcPr>
          <w:p>
            <w:pPr>
              <w:spacing w:after="0"/>
              <w:rPr>
                <w:sz w:val="17"/>
                <w:szCs w:val="17"/>
                <w:color w:val="auto"/>
              </w:rPr>
            </w:pPr>
          </w:p>
        </w:tc>
        <w:tc>
          <w:tcPr>
            <w:tcW w:w="5080" w:type="dxa"/>
            <w:vAlign w:val="bottom"/>
            <w:gridSpan w:val="9"/>
          </w:tcPr>
          <w:p>
            <w:pPr>
              <w:spacing w:after="0" w:line="202" w:lineRule="exact"/>
              <w:rPr>
                <w:sz w:val="20"/>
                <w:szCs w:val="20"/>
                <w:color w:val="auto"/>
              </w:rPr>
            </w:pPr>
            <w:r>
              <w:rPr>
                <w:rFonts w:ascii="Arial" w:cs="Arial" w:eastAsia="Arial" w:hAnsi="Arial"/>
                <w:sz w:val="18"/>
                <w:szCs w:val="18"/>
                <w:color w:val="auto"/>
              </w:rPr>
              <w:t>Employer contribution</w:t>
            </w:r>
          </w:p>
        </w:tc>
        <w:tc>
          <w:tcPr>
            <w:tcW w:w="6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080" w:type="dxa"/>
            <w:vAlign w:val="bottom"/>
            <w:gridSpan w:val="9"/>
            <w:shd w:val="clear" w:color="auto" w:fill="CFF0FC"/>
          </w:tcPr>
          <w:p>
            <w:pPr>
              <w:spacing w:after="0" w:line="202" w:lineRule="exact"/>
              <w:rPr>
                <w:sz w:val="20"/>
                <w:szCs w:val="20"/>
                <w:color w:val="auto"/>
              </w:rPr>
            </w:pPr>
            <w:r>
              <w:rPr>
                <w:rFonts w:ascii="Arial" w:cs="Arial" w:eastAsia="Arial" w:hAnsi="Arial"/>
                <w:sz w:val="18"/>
                <w:szCs w:val="18"/>
                <w:color w:val="auto"/>
              </w:rPr>
              <w:t>Change in benefit obligations</w:t>
            </w:r>
          </w:p>
        </w:tc>
        <w:tc>
          <w:tcPr>
            <w:tcW w:w="6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(49 )</w:t>
            </w: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5080" w:type="dxa"/>
            <w:vAlign w:val="bottom"/>
            <w:tcBorders>
              <w:top w:val="single" w:sz="8" w:color="CFF0FC"/>
            </w:tcBorders>
            <w:gridSpan w:val="9"/>
          </w:tcPr>
          <w:p>
            <w:pPr>
              <w:spacing w:after="0" w:line="182" w:lineRule="exact"/>
              <w:rPr>
                <w:sz w:val="20"/>
                <w:szCs w:val="20"/>
                <w:color w:val="auto"/>
              </w:rPr>
            </w:pPr>
            <w:r>
              <w:rPr>
                <w:rFonts w:ascii="Arial" w:cs="Arial" w:eastAsia="Arial" w:hAnsi="Arial"/>
                <w:sz w:val="18"/>
                <w:szCs w:val="18"/>
                <w:color w:val="auto"/>
              </w:rPr>
              <w:t>Unrecognized losses at the end of year</w:t>
            </w:r>
          </w:p>
        </w:tc>
        <w:tc>
          <w:tcPr>
            <w:tcW w:w="660" w:type="dxa"/>
            <w:vAlign w:val="bottom"/>
            <w:tcBorders>
              <w:top w:val="single" w:sz="8" w:color="auto"/>
              <w:bottom w:val="single" w:sz="8" w:color="auto"/>
            </w:tcBorders>
          </w:tcPr>
          <w:p>
            <w:pPr>
              <w:jc w:val="right"/>
              <w:ind w:right="476"/>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95</w:t>
            </w:r>
          </w:p>
        </w:tc>
        <w:tc>
          <w:tcPr>
            <w:tcW w:w="20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33"/>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120</w:t>
            </w:r>
          </w:p>
        </w:tc>
        <w:tc>
          <w:tcPr>
            <w:tcW w:w="20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391"/>
              <w:spacing w:after="0" w:line="182"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w:t>
            </w:r>
          </w:p>
        </w:tc>
        <w:tc>
          <w:tcPr>
            <w:tcW w:w="100" w:type="dxa"/>
            <w:vAlign w:val="bottom"/>
            <w:tcBorders>
              <w:top w:val="single" w:sz="8" w:color="CFF0FC"/>
            </w:tcBorders>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-3870960</wp:posOffset>
            </wp:positionV>
            <wp:extent cx="685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-3870960</wp:posOffset>
            </wp:positionV>
            <wp:extent cx="6032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-3065145</wp:posOffset>
            </wp:positionV>
            <wp:extent cx="685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-3065145</wp:posOffset>
            </wp:positionV>
            <wp:extent cx="6032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-159385</wp:posOffset>
            </wp:positionV>
            <wp:extent cx="685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6032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Assumptions used to determine the benefit obligations as of January 29, 2022 and January 30, 2021 included a discount rate of 2.90% for fiscal 2021 and 2.24% for fiscal 2020. Assumptions used to determine the net periodic benefit cost for the years ended January 29, 2022, January 30, 2021 and February 1, 2020 included a discount rate of 2.24% for fiscal 2021, 2.59% for fiscal 2020 and 3.87% for fiscal 2019.</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63" w:right="419" w:bottom="1440" w:gutter="0" w:footer="0" w:header="0"/>
        </w:sectPr>
      </w:pPr>
    </w:p>
    <w:bookmarkStart w:id="59" w:name="page60"/>
    <w:bookmarkEnd w:id="59"/>
    <w:p>
      <w:pPr>
        <w:ind w:left="26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Company match after one year of employment and 1,000 hours.</w:t>
      </w:r>
    </w:p>
    <w:p>
      <w:pPr>
        <w:spacing w:after="0" w:line="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fiscal 2018, the Board ratified and approved the recommendation of the Company’s management team to suspend employer contributions to the 401(k) Plan, for the period from July 1, 2018 until December 31, 2019 and resumed its QACA status for the 2020 plan year. For the 2021 plan year, the Company suspended its QACA safe harbor and, while not required, the Company made a discretionary employer match for 2021. The Company has resumed its QACA status for fiscal 2022.</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$2.0 million, $1.5 million and $0.3 million of expense under the 401(k) Plan in fiscal 2021, 2020 and 2019, respectively.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REGISTERED DIRECT OFFERING - COMMON STOCK</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5, 2021, the Company sold, pursuant to a stock purchase agreement and through a registered direct offering, an aggregate of 11,111,111 shares of its common stock, for a gross purchase price of $5.0 million, before payment of offering costs of $0.6 million. The Company used the net proceeds from the offering for working capital and other general corporate purposes.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SUBSEQUENT EVENT</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15, 2022, the Company’s Board of Directors approved a stock repurchase program. Under the stock repurchase program, the Company may repurchase up to $15.0 million of its common stock through open market and privately negotiated transactions.</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timing and the amount of any repurchases of common stock will be determined based on the Company’s evaluation of market conditions and other factors. The stock repurchase program is expected to commence in the first quarter of fiscal 2022 and will expire on March 15, 2023, but may be suspended, terminated or modified at any time for any reason. The Company expects to finance the repurchases from operating funds and/or periodic borrowings on its credit facility. Any shares of repurchased common stock will be held as treasury stock.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0" w:name="page61"/>
    <w:bookmarkEnd w:id="60"/>
    <w:p>
      <w:pPr>
        <w:ind w:right="3880"/>
        <w:spacing w:after="0" w:line="391"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29, 2022. Based on this evaluation, our Chief Executive Officer and Chief Financial Officer concluded that, as of January 29, 2022, our disclosure controls and procedures were effective.</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0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47" w:lineRule="exact"/>
        <w:rPr>
          <w:sz w:val="20"/>
          <w:szCs w:val="20"/>
          <w:color w:val="auto"/>
        </w:rPr>
      </w:pPr>
    </w:p>
    <w:p>
      <w:pPr>
        <w:ind w:left="1240" w:hanging="214"/>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26" w:lineRule="exact"/>
        <w:rPr>
          <w:rFonts w:ascii="Arial" w:cs="Arial" w:eastAsia="Arial" w:hAnsi="Arial"/>
          <w:sz w:val="16"/>
          <w:szCs w:val="16"/>
          <w:color w:val="auto"/>
        </w:rPr>
      </w:pPr>
    </w:p>
    <w:p>
      <w:pPr>
        <w:ind w:left="520" w:right="60" w:firstLine="506"/>
        <w:spacing w:after="0" w:line="248" w:lineRule="auto"/>
        <w:tabs>
          <w:tab w:leader="none" w:pos="12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520" w:firstLine="506"/>
        <w:spacing w:after="0" w:line="261" w:lineRule="auto"/>
        <w:tabs>
          <w:tab w:leader="none" w:pos="13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7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January 29, 2022. In making this assessment, management used the criteria set forth by the Committee of Sponsoring Organizations of the Treadway Commission (COSO) in Internal Control-Integrated Framework (2013).</w:t>
      </w:r>
    </w:p>
    <w:p>
      <w:pPr>
        <w:spacing w:after="0" w:line="18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Based on management’s assessment and the above mentioned criteria, management determined that we maintained effective internal control over financial reporting as of January 29, 2022.</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KPMG LLP, our independent registered public accounting firm, has issued an audit report on our internal control over financial reporting as of January 29, 2022, which appears below.</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3" w:right="3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4"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 xml:space="preserve">We have audited Destination XL Group, Inc. and subsidiaries' (the Company) internal control over financial reporting as of January 29,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January 29,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January 29, 2022 and January 30, 2021, the related consolidated statements of operations, comprehensive income (loss), changes in stockholders’ equity (deficit), and cash flows for each of the years in the three-year period ended January 29, 2022, and the related notes (collectively, the consolidated financial statements), and our report dated March 17, 2022 expressed an unqualified opinion on those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that occurred during the fourth quarter of fiscal 2021 that has materially affected, or is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December 17, 2021, the Board of Directors approved the Sixth Amended and Restated Non-Employee Director Compensation Plan, which will be effective for board compensation in fiscal 2022. The plan was amended to, among other things, add a minimum equity ownership requirement, which will require each director to receive at least 60% of his/her annual retainer in shares of common stock until the value of his/her equity ownership is equal to at least three times the annual retainer. Any shares issued to satisfy the minimum equity ownership will be granted from the 2016 Plan. All other shares will be granted from the Non-Employee Director Compensation Plan. The amended plan still limits the maximum number of shares that can be issued in any quarter to 250,000 shares, in aggregate.</w:t>
      </w:r>
    </w:p>
    <w:p>
      <w:pPr>
        <w:spacing w:after="0" w:line="81" w:lineRule="exact"/>
        <w:rPr>
          <w:sz w:val="20"/>
          <w:szCs w:val="20"/>
          <w:color w:val="auto"/>
        </w:rPr>
      </w:pPr>
    </w:p>
    <w:p>
      <w:pPr>
        <w:jc w:val="both"/>
        <w:ind w:right="480"/>
        <w:spacing w:after="0" w:line="248" w:lineRule="auto"/>
        <w:rPr>
          <w:sz w:val="20"/>
          <w:szCs w:val="20"/>
          <w:color w:val="auto"/>
        </w:rPr>
      </w:pPr>
      <w:r>
        <w:rPr>
          <w:rFonts w:ascii="Arial" w:cs="Arial" w:eastAsia="Arial" w:hAnsi="Arial"/>
          <w:sz w:val="18"/>
          <w:szCs w:val="18"/>
          <w:color w:val="auto"/>
        </w:rPr>
        <w:t>The plan was also amended to increase the compensation paid to directors as follows: annual retainer from $120,000 to $135,000, the annual fee for chairman of the board from $20,000 to $40,000, the annual fee for the chairperson of the Audit committee from $10,000 to $20,000 and for all other committees from $5,000 to $10,000.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29, 2022 in connection with our 2022 Annual Meeting of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29,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29,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29,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29,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29, 2022.</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15(a)(1) Financial Statements</w:t>
      </w:r>
    </w:p>
    <w:p>
      <w:pPr>
        <w:spacing w:after="0" w:line="10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34 of this Annual Report.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15(a)(2) Financial Statement Schedules</w:t>
      </w:r>
    </w:p>
    <w:p>
      <w:pPr>
        <w:spacing w:after="0" w:line="10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65 of this Annual Report.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Omitted at registrant’s option.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3"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60" w:type="dxa"/>
            <w:vAlign w:val="bottom"/>
            <w:gridSpan w:val="28"/>
          </w:tcPr>
          <w:p>
            <w:pPr>
              <w:ind w:left="560"/>
              <w:spacing w:after="0"/>
              <w:rPr>
                <w:sz w:val="20"/>
                <w:szCs w:val="20"/>
                <w:color w:val="auto"/>
              </w:rPr>
            </w:pPr>
            <w:r>
              <w:rPr>
                <w:rFonts w:ascii="Arial" w:cs="Arial" w:eastAsia="Arial" w:hAnsi="Arial"/>
                <w:sz w:val="18"/>
                <w:szCs w:val="18"/>
                <w:b w:val="1"/>
                <w:bCs w:val="1"/>
                <w:color w:val="auto"/>
              </w:rPr>
              <w:t>Index to Exhibits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4"/>
        </w:trPr>
        <w:tc>
          <w:tcPr>
            <w:tcW w:w="1160" w:type="dxa"/>
            <w:vAlign w:val="bottom"/>
          </w:tcPr>
          <w:p>
            <w:pPr>
              <w:ind w:left="60"/>
              <w:spacing w:after="0"/>
              <w:rPr>
                <w:sz w:val="20"/>
                <w:szCs w:val="20"/>
                <w:color w:val="auto"/>
              </w:rPr>
            </w:pPr>
            <w:r>
              <w:rPr>
                <w:rFonts w:ascii="Arial" w:cs="Arial" w:eastAsia="Arial" w:hAnsi="Arial"/>
                <w:sz w:val="14"/>
                <w:szCs w:val="14"/>
                <w:b w:val="1"/>
                <w:bCs w:val="1"/>
                <w:color w:val="auto"/>
              </w:rPr>
              <w:t>Exhibits</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60" w:type="dxa"/>
            <w:vAlign w:val="bottom"/>
          </w:tcPr>
          <w:p>
            <w:pPr>
              <w:ind w:left="20"/>
              <w:spacing w:after="0"/>
              <w:rPr>
                <w:sz w:val="20"/>
                <w:szCs w:val="20"/>
                <w:color w:val="auto"/>
              </w:rPr>
            </w:pPr>
            <w:r>
              <w:rPr>
                <w:rFonts w:ascii="Arial" w:cs="Arial" w:eastAsia="Arial" w:hAnsi="Arial"/>
                <w:sz w:val="18"/>
                <w:szCs w:val="18"/>
                <w:color w:val="auto"/>
              </w:rPr>
              <w:t>3.1</w:t>
            </w:r>
          </w:p>
        </w:tc>
        <w:tc>
          <w:tcPr>
            <w:tcW w:w="9460" w:type="dxa"/>
            <w:vAlign w:val="bottom"/>
            <w:gridSpan w:val="33"/>
          </w:tcPr>
          <w:p>
            <w:pPr>
              <w:spacing w:after="0"/>
              <w:rPr>
                <w:rFonts w:ascii="Arial" w:cs="Arial" w:eastAsia="Arial" w:hAnsi="Arial"/>
                <w:sz w:val="18"/>
                <w:szCs w:val="18"/>
                <w:color w:val="auto"/>
                <w:w w:val="93"/>
              </w:rPr>
            </w:pPr>
            <w:hyperlink r:id="rId304">
              <w:r>
                <w:rPr>
                  <w:rFonts w:ascii="Arial" w:cs="Arial" w:eastAsia="Arial" w:hAnsi="Arial"/>
                  <w:sz w:val="18"/>
                  <w:szCs w:val="18"/>
                  <w:color w:val="auto"/>
                  <w:w w:val="93"/>
                </w:rPr>
                <w:t>Certificate of Amendment to Restated Certificate of Incorporation, effective as of August 6, 2021 (included as Exhibit 3.1 to the</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EE"/>
            </w:tcBorders>
            <w:gridSpan w:val="23"/>
          </w:tcPr>
          <w:p>
            <w:pPr>
              <w:spacing w:after="0" w:line="156" w:lineRule="exact"/>
              <w:rPr>
                <w:rFonts w:ascii="Arial" w:cs="Arial" w:eastAsia="Arial" w:hAnsi="Arial"/>
                <w:sz w:val="18"/>
                <w:szCs w:val="18"/>
                <w:color w:val="auto"/>
              </w:rPr>
            </w:pPr>
            <w:hyperlink r:id="rId304">
              <w:r>
                <w:rPr>
                  <w:rFonts w:ascii="Arial" w:cs="Arial" w:eastAsia="Arial" w:hAnsi="Arial"/>
                  <w:sz w:val="18"/>
                  <w:szCs w:val="18"/>
                  <w:color w:val="auto"/>
                </w:rPr>
                <w:t>Company's Quarterly Report on Form 10-Q filed on August 31, 2021,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9460" w:type="dxa"/>
            <w:vAlign w:val="bottom"/>
            <w:gridSpan w:val="33"/>
          </w:tcPr>
          <w:p>
            <w:pPr>
              <w:spacing w:after="0"/>
              <w:rPr>
                <w:rFonts w:ascii="Arial" w:cs="Arial" w:eastAsia="Arial" w:hAnsi="Arial"/>
                <w:sz w:val="18"/>
                <w:szCs w:val="18"/>
                <w:color w:val="auto"/>
                <w:w w:val="95"/>
              </w:rPr>
            </w:pPr>
            <w:hyperlink r:id="rId305">
              <w:r>
                <w:rPr>
                  <w:rFonts w:ascii="Arial" w:cs="Arial" w:eastAsia="Arial" w:hAnsi="Arial"/>
                  <w:sz w:val="18"/>
                  <w:szCs w:val="18"/>
                  <w:color w:val="auto"/>
                  <w:w w:val="95"/>
                </w:rPr>
                <w:t>Restated Certificate of Incorporation of the Company (conformed copy incorporating all amendments through August 6, 2021</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440" w:type="dxa"/>
            <w:vAlign w:val="bottom"/>
            <w:gridSpan w:val="32"/>
          </w:tcPr>
          <w:p>
            <w:pPr>
              <w:spacing w:after="0" w:line="156" w:lineRule="exact"/>
              <w:rPr>
                <w:rFonts w:ascii="Arial" w:cs="Arial" w:eastAsia="Arial" w:hAnsi="Arial"/>
                <w:sz w:val="18"/>
                <w:szCs w:val="18"/>
                <w:color w:val="auto"/>
                <w:w w:val="93"/>
              </w:rPr>
            </w:pPr>
            <w:hyperlink r:id="rId305">
              <w:r>
                <w:rPr>
                  <w:rFonts w:ascii="Arial" w:cs="Arial" w:eastAsia="Arial" w:hAnsi="Arial"/>
                  <w:sz w:val="18"/>
                  <w:szCs w:val="18"/>
                  <w:color w:val="auto"/>
                  <w:w w:val="93"/>
                </w:rPr>
                <w:t>(included as Exhibit 3.2 to the Company's Quarterly Report on Form 10-Q filed on August 31, 2021, and incorporated herein by</w:t>
              </w:r>
            </w:hyperlink>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EE"/>
            </w:tcBorders>
            <w:gridSpan w:val="22"/>
          </w:tcPr>
          <w:p>
            <w:pPr>
              <w:spacing w:after="0" w:line="156" w:lineRule="exact"/>
              <w:rPr>
                <w:rFonts w:ascii="Arial" w:cs="Arial" w:eastAsia="Arial" w:hAnsi="Arial"/>
                <w:sz w:val="18"/>
                <w:szCs w:val="18"/>
                <w:color w:val="auto"/>
              </w:rPr>
            </w:pPr>
            <w:hyperlink r:id="rId305">
              <w:r>
                <w:rPr>
                  <w:rFonts w:ascii="Arial" w:cs="Arial" w:eastAsia="Arial" w:hAnsi="Arial"/>
                  <w:sz w:val="18"/>
                  <w:szCs w:val="18"/>
                  <w:color w:val="auto"/>
                </w:rPr>
                <w:t>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60" w:type="dxa"/>
            <w:vAlign w:val="bottom"/>
          </w:tcPr>
          <w:p>
            <w:pPr>
              <w:ind w:left="20"/>
              <w:spacing w:after="0"/>
              <w:rPr>
                <w:sz w:val="20"/>
                <w:szCs w:val="20"/>
                <w:color w:val="auto"/>
              </w:rPr>
            </w:pPr>
            <w:r>
              <w:rPr>
                <w:rFonts w:ascii="Arial" w:cs="Arial" w:eastAsia="Arial" w:hAnsi="Arial"/>
                <w:sz w:val="18"/>
                <w:szCs w:val="18"/>
                <w:color w:val="auto"/>
              </w:rPr>
              <w:t>3.3</w:t>
            </w:r>
          </w:p>
        </w:tc>
        <w:tc>
          <w:tcPr>
            <w:tcW w:w="9460" w:type="dxa"/>
            <w:vAlign w:val="bottom"/>
            <w:gridSpan w:val="33"/>
          </w:tcPr>
          <w:p>
            <w:pPr>
              <w:spacing w:after="0"/>
              <w:rPr>
                <w:rFonts w:ascii="Arial" w:cs="Arial" w:eastAsia="Arial" w:hAnsi="Arial"/>
                <w:sz w:val="18"/>
                <w:szCs w:val="18"/>
                <w:color w:val="auto"/>
                <w:w w:val="92"/>
              </w:rPr>
            </w:pPr>
            <w:hyperlink r:id="rId306">
              <w:r>
                <w:rPr>
                  <w:rFonts w:ascii="Arial" w:cs="Arial" w:eastAsia="Arial" w:hAnsi="Arial"/>
                  <w:sz w:val="18"/>
                  <w:szCs w:val="18"/>
                  <w:color w:val="auto"/>
                  <w:w w:val="92"/>
                </w:rPr>
                <w:t>Fourth Amended and Restated By-Laws (included as Exhibit 3.1 to the Company’s Current Report on Form 8-K filed on June 18,</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18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auto"/>
                <w:w w:val="88"/>
              </w:rPr>
            </w:pPr>
            <w:hyperlink r:id="rId306">
              <w:r>
                <w:rPr>
                  <w:rFonts w:ascii="Arial" w:cs="Arial" w:eastAsia="Arial" w:hAnsi="Arial"/>
                  <w:sz w:val="18"/>
                  <w:szCs w:val="18"/>
                  <w:color w:val="auto"/>
                  <w:w w:val="88"/>
                </w:rPr>
                <w:t>2015, and incorporated herein by reference).</w:t>
              </w:r>
            </w:hyperlink>
          </w:p>
        </w:tc>
        <w:tc>
          <w:tcPr>
            <w:tcW w:w="6240" w:type="dxa"/>
            <w:vAlign w:val="bottom"/>
            <w:tcBorders>
              <w:top w:val="single" w:sz="8" w:color="0000EE"/>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9460" w:type="dxa"/>
            <w:vAlign w:val="bottom"/>
            <w:gridSpan w:val="33"/>
          </w:tcPr>
          <w:p>
            <w:pPr>
              <w:spacing w:after="0"/>
              <w:rPr>
                <w:rFonts w:ascii="Arial" w:cs="Arial" w:eastAsia="Arial" w:hAnsi="Arial"/>
                <w:sz w:val="18"/>
                <w:szCs w:val="18"/>
                <w:color w:val="auto"/>
              </w:rPr>
            </w:pPr>
            <w:hyperlink w:anchor="page70">
              <w:r>
                <w:rPr>
                  <w:rFonts w:ascii="Arial" w:cs="Arial" w:eastAsia="Arial" w:hAnsi="Arial"/>
                  <w:sz w:val="18"/>
                  <w:szCs w:val="18"/>
                  <w:color w:val="auto"/>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9460" w:type="dxa"/>
            <w:vAlign w:val="bottom"/>
            <w:gridSpan w:val="33"/>
          </w:tcPr>
          <w:p>
            <w:pPr>
              <w:spacing w:after="0"/>
              <w:rPr>
                <w:rFonts w:ascii="Arial" w:cs="Arial" w:eastAsia="Arial" w:hAnsi="Arial"/>
                <w:sz w:val="18"/>
                <w:szCs w:val="18"/>
                <w:color w:val="auto"/>
                <w:w w:val="92"/>
              </w:rPr>
            </w:pPr>
            <w:hyperlink r:id="rId307">
              <w:r>
                <w:rPr>
                  <w:rFonts w:ascii="Arial" w:cs="Arial" w:eastAsia="Arial" w:hAnsi="Arial"/>
                  <w:sz w:val="18"/>
                  <w:szCs w:val="18"/>
                  <w:color w:val="auto"/>
                  <w:w w:val="92"/>
                </w:rPr>
                <w:t>Company’s 2006 Incentive Compensation Plan, as amended (included as Exhibit 10.3 to the Company’s Annual Report on Form</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634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auto"/>
                <w:w w:val="91"/>
              </w:rPr>
            </w:pPr>
            <w:hyperlink r:id="rId307">
              <w:r>
                <w:rPr>
                  <w:rFonts w:ascii="Arial" w:cs="Arial" w:eastAsia="Arial" w:hAnsi="Arial"/>
                  <w:sz w:val="18"/>
                  <w:szCs w:val="18"/>
                  <w:color w:val="auto"/>
                  <w:w w:val="91"/>
                </w:rPr>
                <w:t>10-K filed March 17, 2014 (File No. 001-34219), and incorporated herein by reference).</w:t>
              </w:r>
            </w:hyperlink>
          </w:p>
        </w:tc>
        <w:tc>
          <w:tcPr>
            <w:tcW w:w="2960" w:type="dxa"/>
            <w:vAlign w:val="bottom"/>
            <w:tcBorders>
              <w:top w:val="single" w:sz="8" w:color="0000EE"/>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9460" w:type="dxa"/>
            <w:vAlign w:val="bottom"/>
            <w:gridSpan w:val="33"/>
          </w:tcPr>
          <w:p>
            <w:pPr>
              <w:spacing w:after="0"/>
              <w:rPr>
                <w:rFonts w:ascii="Arial" w:cs="Arial" w:eastAsia="Arial" w:hAnsi="Arial"/>
                <w:sz w:val="18"/>
                <w:szCs w:val="18"/>
                <w:color w:val="auto"/>
                <w:w w:val="92"/>
              </w:rPr>
            </w:pPr>
            <w:hyperlink r:id="rId308">
              <w:r>
                <w:rPr>
                  <w:rFonts w:ascii="Arial" w:cs="Arial" w:eastAsia="Arial" w:hAnsi="Arial"/>
                  <w:sz w:val="18"/>
                  <w:szCs w:val="18"/>
                  <w:color w:val="auto"/>
                  <w:w w:val="92"/>
                </w:rPr>
                <w:t>Company’s 2016 Incentive Compensation Plan, as amended (included as Exhibit 10.1 to the Company’s Current Report on Form</w:t>
              </w:r>
            </w:hyperlink>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EE"/>
            </w:tcBorders>
            <w:gridSpan w:val="28"/>
          </w:tcPr>
          <w:p>
            <w:pPr>
              <w:spacing w:after="0" w:line="156" w:lineRule="exact"/>
              <w:rPr>
                <w:rFonts w:ascii="Arial" w:cs="Arial" w:eastAsia="Arial" w:hAnsi="Arial"/>
                <w:sz w:val="18"/>
                <w:szCs w:val="18"/>
                <w:color w:val="auto"/>
              </w:rPr>
            </w:pPr>
            <w:hyperlink r:id="rId308">
              <w:r>
                <w:rPr>
                  <w:rFonts w:ascii="Arial" w:cs="Arial" w:eastAsia="Arial" w:hAnsi="Arial"/>
                  <w:sz w:val="18"/>
                  <w:szCs w:val="18"/>
                  <w:color w:val="auto"/>
                </w:rPr>
                <w:t>8-K filed August 6, 2021,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tcPr>
          <w:p>
            <w:pPr>
              <w:ind w:left="20"/>
              <w:spacing w:after="0"/>
              <w:rPr>
                <w:sz w:val="20"/>
                <w:szCs w:val="20"/>
                <w:color w:val="auto"/>
              </w:rPr>
            </w:pPr>
            <w:r>
              <w:rPr>
                <w:rFonts w:ascii="Arial" w:cs="Arial" w:eastAsia="Arial" w:hAnsi="Arial"/>
                <w:sz w:val="18"/>
                <w:szCs w:val="18"/>
                <w:color w:val="auto"/>
              </w:rPr>
              <w:t>10.3</w:t>
            </w:r>
          </w:p>
        </w:tc>
        <w:tc>
          <w:tcPr>
            <w:tcW w:w="9460" w:type="dxa"/>
            <w:vAlign w:val="bottom"/>
            <w:gridSpan w:val="33"/>
          </w:tcPr>
          <w:p>
            <w:pPr>
              <w:spacing w:after="0"/>
              <w:rPr>
                <w:rFonts w:ascii="Arial" w:cs="Arial" w:eastAsia="Arial" w:hAnsi="Arial"/>
                <w:sz w:val="18"/>
                <w:szCs w:val="18"/>
                <w:color w:val="auto"/>
                <w:w w:val="92"/>
              </w:rPr>
            </w:pPr>
            <w:hyperlink r:id="rId309">
              <w:r>
                <w:rPr>
                  <w:rFonts w:ascii="Arial" w:cs="Arial" w:eastAsia="Arial" w:hAnsi="Arial"/>
                  <w:sz w:val="18"/>
                  <w:szCs w:val="18"/>
                  <w:color w:val="auto"/>
                  <w:w w:val="92"/>
                </w:rPr>
                <w:t>Form of Non-Qualified Option Agreement for Associates (included as Exhibit 10.3 to the Company’s Annual Report on Form 10-</w:t>
              </w:r>
            </w:hyperlink>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54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auto"/>
                <w:w w:val="91"/>
              </w:rPr>
            </w:pPr>
            <w:hyperlink r:id="rId309">
              <w:r>
                <w:rPr>
                  <w:rFonts w:ascii="Arial" w:cs="Arial" w:eastAsia="Arial" w:hAnsi="Arial"/>
                  <w:sz w:val="18"/>
                  <w:szCs w:val="18"/>
                  <w:color w:val="auto"/>
                  <w:w w:val="91"/>
                </w:rPr>
                <w:t>K filed March 20, 2017, and incorporated herein by reference).</w:t>
              </w:r>
            </w:hyperlink>
          </w:p>
        </w:tc>
        <w:tc>
          <w:tcPr>
            <w:tcW w:w="4880" w:type="dxa"/>
            <w:vAlign w:val="bottom"/>
            <w:tcBorders>
              <w:top w:val="single" w:sz="8" w:color="0000EE"/>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9460" w:type="dxa"/>
            <w:vAlign w:val="bottom"/>
            <w:gridSpan w:val="33"/>
          </w:tcPr>
          <w:p>
            <w:pPr>
              <w:spacing w:after="0"/>
              <w:rPr>
                <w:rFonts w:ascii="Arial" w:cs="Arial" w:eastAsia="Arial" w:hAnsi="Arial"/>
                <w:sz w:val="18"/>
                <w:szCs w:val="18"/>
                <w:color w:val="auto"/>
                <w:w w:val="94"/>
              </w:rPr>
            </w:pPr>
            <w:hyperlink r:id="rId310">
              <w:r>
                <w:rPr>
                  <w:rFonts w:ascii="Arial" w:cs="Arial" w:eastAsia="Arial" w:hAnsi="Arial"/>
                  <w:sz w:val="18"/>
                  <w:szCs w:val="18"/>
                  <w:color w:val="auto"/>
                  <w:w w:val="94"/>
                </w:rPr>
                <w:t>Form of Non-Qualified Option Agreement for Associates (pursuant to the Company’s Long-Term Incentive Plan, as amended)</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EE"/>
            </w:tcBorders>
            <w:gridSpan w:val="19"/>
          </w:tcPr>
          <w:p>
            <w:pPr>
              <w:spacing w:after="0" w:line="156" w:lineRule="exact"/>
              <w:rPr>
                <w:rFonts w:ascii="Arial" w:cs="Arial" w:eastAsia="Arial" w:hAnsi="Arial"/>
                <w:sz w:val="18"/>
                <w:szCs w:val="18"/>
                <w:color w:val="auto"/>
                <w:w w:val="91"/>
              </w:rPr>
            </w:pPr>
            <w:hyperlink r:id="rId310">
              <w:r>
                <w:rPr>
                  <w:rFonts w:ascii="Arial" w:cs="Arial" w:eastAsia="Arial" w:hAnsi="Arial"/>
                  <w:sz w:val="18"/>
                  <w:szCs w:val="18"/>
                  <w:color w:val="auto"/>
                  <w:w w:val="91"/>
                </w:rPr>
                <w:t>(included as Exhibit 10.3 to the Company’s Quarterly Report on Form 10-Q filed August 27, 2020, and incorporated herein by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EE"/>
            </w:tcBorders>
            <w:gridSpan w:val="18"/>
          </w:tcPr>
          <w:p>
            <w:pPr>
              <w:spacing w:after="0" w:line="142" w:lineRule="exact"/>
              <w:rPr>
                <w:rFonts w:ascii="Arial" w:cs="Arial" w:eastAsia="Arial" w:hAnsi="Arial"/>
                <w:sz w:val="16"/>
                <w:szCs w:val="16"/>
                <w:color w:val="auto"/>
              </w:rPr>
            </w:pPr>
            <w:hyperlink r:id="rId310">
              <w:r>
                <w:rPr>
                  <w:rFonts w:ascii="Arial" w:cs="Arial" w:eastAsia="Arial" w:hAnsi="Arial"/>
                  <w:sz w:val="16"/>
                  <w:szCs w:val="16"/>
                  <w:color w:val="auto"/>
                </w:rPr>
                <w:t>reference).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ind w:left="20"/>
              <w:spacing w:after="0"/>
              <w:rPr>
                <w:sz w:val="20"/>
                <w:szCs w:val="20"/>
                <w:color w:val="auto"/>
              </w:rPr>
            </w:pPr>
            <w:r>
              <w:rPr>
                <w:rFonts w:ascii="Arial" w:cs="Arial" w:eastAsia="Arial" w:hAnsi="Arial"/>
                <w:sz w:val="18"/>
                <w:szCs w:val="18"/>
                <w:color w:val="auto"/>
              </w:rPr>
              <w:t>10.5</w:t>
            </w:r>
          </w:p>
        </w:tc>
        <w:tc>
          <w:tcPr>
            <w:tcW w:w="9460" w:type="dxa"/>
            <w:vAlign w:val="bottom"/>
            <w:gridSpan w:val="33"/>
          </w:tcPr>
          <w:p>
            <w:pPr>
              <w:spacing w:after="0"/>
              <w:rPr>
                <w:rFonts w:ascii="Arial" w:cs="Arial" w:eastAsia="Arial" w:hAnsi="Arial"/>
                <w:sz w:val="18"/>
                <w:szCs w:val="18"/>
                <w:color w:val="auto"/>
                <w:w w:val="95"/>
              </w:rPr>
            </w:pPr>
            <w:hyperlink r:id="rId311">
              <w:r>
                <w:rPr>
                  <w:rFonts w:ascii="Arial" w:cs="Arial" w:eastAsia="Arial" w:hAnsi="Arial"/>
                  <w:sz w:val="18"/>
                  <w:szCs w:val="18"/>
                  <w:color w:val="auto"/>
                  <w:w w:val="95"/>
                </w:rPr>
                <w:t>Form of Restricted Stock Agreement for Associates (included as Exhibit 10.5 to the Company’s Annual Report on Form 10-K</w:t>
              </w:r>
            </w:hyperlink>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340" w:type="dxa"/>
            <w:vAlign w:val="bottom"/>
            <w:tcBorders>
              <w:top w:val="single" w:sz="8" w:color="0000EE"/>
              <w:bottom w:val="single" w:sz="8" w:color="0000EE"/>
            </w:tcBorders>
            <w:gridSpan w:val="5"/>
          </w:tcPr>
          <w:p>
            <w:pPr>
              <w:spacing w:after="0" w:line="142" w:lineRule="exact"/>
              <w:rPr>
                <w:rFonts w:ascii="Arial" w:cs="Arial" w:eastAsia="Arial" w:hAnsi="Arial"/>
                <w:sz w:val="16"/>
                <w:szCs w:val="16"/>
                <w:color w:val="auto"/>
              </w:rPr>
            </w:pPr>
            <w:hyperlink r:id="rId311">
              <w:r>
                <w:rPr>
                  <w:rFonts w:ascii="Arial" w:cs="Arial" w:eastAsia="Arial" w:hAnsi="Arial"/>
                  <w:sz w:val="16"/>
                  <w:szCs w:val="16"/>
                  <w:color w:val="auto"/>
                </w:rPr>
                <w:t>filed March 20, 2017, and incorporated herein by reference).</w:t>
              </w:r>
            </w:hyperlink>
          </w:p>
        </w:tc>
        <w:tc>
          <w:tcPr>
            <w:tcW w:w="4760" w:type="dxa"/>
            <w:vAlign w:val="bottom"/>
            <w:tcBorders>
              <w:top w:val="single" w:sz="8" w:color="0000EE"/>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60" w:type="dxa"/>
            <w:vAlign w:val="bottom"/>
          </w:tcPr>
          <w:p>
            <w:pPr>
              <w:ind w:left="20"/>
              <w:spacing w:after="0"/>
              <w:rPr>
                <w:sz w:val="20"/>
                <w:szCs w:val="20"/>
                <w:color w:val="auto"/>
              </w:rPr>
            </w:pPr>
            <w:r>
              <w:rPr>
                <w:rFonts w:ascii="Arial" w:cs="Arial" w:eastAsia="Arial" w:hAnsi="Arial"/>
                <w:sz w:val="18"/>
                <w:szCs w:val="18"/>
                <w:color w:val="auto"/>
              </w:rPr>
              <w:t>10.6</w:t>
            </w:r>
          </w:p>
        </w:tc>
        <w:tc>
          <w:tcPr>
            <w:tcW w:w="9460" w:type="dxa"/>
            <w:vAlign w:val="bottom"/>
            <w:gridSpan w:val="33"/>
          </w:tcPr>
          <w:p>
            <w:pPr>
              <w:spacing w:after="0"/>
              <w:rPr>
                <w:rFonts w:ascii="Arial" w:cs="Arial" w:eastAsia="Arial" w:hAnsi="Arial"/>
                <w:sz w:val="18"/>
                <w:szCs w:val="18"/>
                <w:color w:val="auto"/>
                <w:w w:val="93"/>
              </w:rPr>
            </w:pPr>
            <w:hyperlink r:id="rId312">
              <w:r>
                <w:rPr>
                  <w:rFonts w:ascii="Arial" w:cs="Arial" w:eastAsia="Arial" w:hAnsi="Arial"/>
                  <w:sz w:val="18"/>
                  <w:szCs w:val="18"/>
                  <w:color w:val="auto"/>
                  <w:w w:val="93"/>
                </w:rPr>
                <w:t>Form of Restricted Stock Agreement for Associates (pursuant to the Company’s Long-Term Incentive Plan) (included as Exhibit</w:t>
              </w:r>
            </w:hyperlink>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200" w:type="dxa"/>
            <w:vAlign w:val="bottom"/>
            <w:tcBorders>
              <w:top w:val="single" w:sz="8" w:color="0000EE"/>
              <w:bottom w:val="single" w:sz="8" w:color="0000EE"/>
            </w:tcBorders>
            <w:gridSpan w:val="13"/>
          </w:tcPr>
          <w:p>
            <w:pPr>
              <w:spacing w:after="0" w:line="142" w:lineRule="exact"/>
              <w:rPr>
                <w:rFonts w:ascii="Arial" w:cs="Arial" w:eastAsia="Arial" w:hAnsi="Arial"/>
                <w:sz w:val="16"/>
                <w:szCs w:val="16"/>
                <w:color w:val="auto"/>
              </w:rPr>
            </w:pPr>
            <w:hyperlink r:id="rId312">
              <w:r>
                <w:rPr>
                  <w:rFonts w:ascii="Arial" w:cs="Arial" w:eastAsia="Arial" w:hAnsi="Arial"/>
                  <w:sz w:val="16"/>
                  <w:szCs w:val="16"/>
                  <w:color w:val="auto"/>
                </w:rPr>
                <w:t>10.6 to the Company’s Annual Report on Form 10-K filed March 20, 2017, and incorporated herein by reference).</w:t>
              </w:r>
            </w:hyperlink>
          </w:p>
        </w:tc>
        <w:tc>
          <w:tcPr>
            <w:tcW w:w="560" w:type="dxa"/>
            <w:vAlign w:val="bottom"/>
            <w:tcBorders>
              <w:top w:val="single" w:sz="8" w:color="0000EE"/>
              <w:bottom w:val="single" w:sz="8" w:color="0000EE"/>
            </w:tcBorders>
          </w:tcPr>
          <w:p>
            <w:pPr>
              <w:spacing w:after="0"/>
              <w:rPr>
                <w:sz w:val="13"/>
                <w:szCs w:val="13"/>
                <w:color w:val="auto"/>
              </w:rPr>
            </w:pPr>
          </w:p>
        </w:tc>
        <w:tc>
          <w:tcPr>
            <w:tcW w:w="200" w:type="dxa"/>
            <w:vAlign w:val="bottom"/>
            <w:tcBorders>
              <w:top w:val="single" w:sz="8" w:color="0000EE"/>
              <w:bottom w:val="single" w:sz="8" w:color="0000EE"/>
            </w:tcBorders>
          </w:tcPr>
          <w:p>
            <w:pPr>
              <w:spacing w:after="0"/>
              <w:rPr>
                <w:sz w:val="13"/>
                <w:szCs w:val="13"/>
                <w:color w:val="auto"/>
              </w:rPr>
            </w:pPr>
          </w:p>
        </w:tc>
        <w:tc>
          <w:tcPr>
            <w:tcW w:w="140" w:type="dxa"/>
            <w:vAlign w:val="bottom"/>
            <w:tcBorders>
              <w:top w:val="single" w:sz="8" w:color="0000EE"/>
              <w:bottom w:val="single" w:sz="8" w:color="0000EE"/>
            </w:tcBorders>
          </w:tcPr>
          <w:p>
            <w:pPr>
              <w:spacing w:after="0"/>
              <w:rPr>
                <w:sz w:val="13"/>
                <w:szCs w:val="13"/>
                <w:color w:val="auto"/>
              </w:rPr>
            </w:pPr>
          </w:p>
        </w:tc>
        <w:tc>
          <w:tcPr>
            <w:tcW w:w="20" w:type="dxa"/>
            <w:vAlign w:val="bottom"/>
            <w:tcBorders>
              <w:top w:val="single" w:sz="8" w:color="0000EE"/>
              <w:bottom w:val="single" w:sz="8" w:color="0000EE"/>
            </w:tcBorders>
          </w:tcPr>
          <w:p>
            <w:pPr>
              <w:spacing w:after="0"/>
              <w:rPr>
                <w:sz w:val="13"/>
                <w:szCs w:val="13"/>
                <w:color w:val="auto"/>
              </w:rPr>
            </w:pPr>
          </w:p>
        </w:tc>
        <w:tc>
          <w:tcPr>
            <w:tcW w:w="80" w:type="dxa"/>
            <w:vAlign w:val="bottom"/>
            <w:tcBorders>
              <w:top w:val="single" w:sz="8" w:color="0000EE"/>
              <w:bottom w:val="single" w:sz="8" w:color="0000EE"/>
            </w:tcBorders>
            <w:gridSpan w:val="3"/>
          </w:tcPr>
          <w:p>
            <w:pPr>
              <w:spacing w:after="0"/>
              <w:rPr>
                <w:sz w:val="13"/>
                <w:szCs w:val="13"/>
                <w:color w:val="auto"/>
              </w:rPr>
            </w:pPr>
          </w:p>
        </w:tc>
        <w:tc>
          <w:tcPr>
            <w:tcW w:w="20" w:type="dxa"/>
            <w:vAlign w:val="bottom"/>
            <w:tcBorders>
              <w:top w:val="single" w:sz="8" w:color="0000EE"/>
              <w:bottom w:val="single" w:sz="8" w:color="0000EE"/>
            </w:tcBorders>
          </w:tcPr>
          <w:p>
            <w:pPr>
              <w:spacing w:after="0"/>
              <w:rPr>
                <w:sz w:val="13"/>
                <w:szCs w:val="13"/>
                <w:color w:val="auto"/>
              </w:rPr>
            </w:pPr>
          </w:p>
        </w:tc>
        <w:tc>
          <w:tcPr>
            <w:tcW w:w="60" w:type="dxa"/>
            <w:vAlign w:val="bottom"/>
            <w:tcBorders>
              <w:top w:val="single" w:sz="8" w:color="0000EE"/>
              <w:bottom w:val="single" w:sz="8" w:color="0000EE"/>
            </w:tcBorders>
            <w:gridSpan w:val="3"/>
          </w:tcPr>
          <w:p>
            <w:pPr>
              <w:spacing w:after="0"/>
              <w:rPr>
                <w:sz w:val="13"/>
                <w:szCs w:val="13"/>
                <w:color w:val="auto"/>
              </w:rPr>
            </w:pPr>
          </w:p>
        </w:tc>
        <w:tc>
          <w:tcPr>
            <w:tcW w:w="40" w:type="dxa"/>
            <w:vAlign w:val="bottom"/>
            <w:tcBorders>
              <w:top w:val="single" w:sz="8" w:color="0000EE"/>
              <w:bottom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color w:val="auto"/>
              </w:rPr>
              <w:t>10.7</w:t>
            </w:r>
          </w:p>
        </w:tc>
        <w:tc>
          <w:tcPr>
            <w:tcW w:w="9460" w:type="dxa"/>
            <w:vAlign w:val="bottom"/>
            <w:gridSpan w:val="33"/>
          </w:tcPr>
          <w:p>
            <w:pPr>
              <w:spacing w:after="0"/>
              <w:rPr>
                <w:rFonts w:ascii="Arial" w:cs="Arial" w:eastAsia="Arial" w:hAnsi="Arial"/>
                <w:sz w:val="18"/>
                <w:szCs w:val="18"/>
                <w:color w:val="auto"/>
                <w:w w:val="92"/>
              </w:rPr>
            </w:pPr>
            <w:hyperlink r:id="rId313">
              <w:r>
                <w:rPr>
                  <w:rFonts w:ascii="Arial" w:cs="Arial" w:eastAsia="Arial" w:hAnsi="Arial"/>
                  <w:sz w:val="18"/>
                  <w:szCs w:val="18"/>
                  <w:color w:val="auto"/>
                  <w:w w:val="92"/>
                </w:rPr>
                <w:t>Form of Restricted Stock Unit Agreement for Associates (included as Exhibit 10.7 to the Company’s Annual Report on Form 10-</w:t>
              </w:r>
            </w:hyperlink>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54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auto"/>
                <w:w w:val="91"/>
              </w:rPr>
            </w:pPr>
            <w:hyperlink r:id="rId313">
              <w:r>
                <w:rPr>
                  <w:rFonts w:ascii="Arial" w:cs="Arial" w:eastAsia="Arial" w:hAnsi="Arial"/>
                  <w:sz w:val="18"/>
                  <w:szCs w:val="18"/>
                  <w:color w:val="auto"/>
                  <w:w w:val="91"/>
                </w:rPr>
                <w:t>K filed March 20, 2017, and incorporated herein by reference).</w:t>
              </w:r>
            </w:hyperlink>
          </w:p>
        </w:tc>
        <w:tc>
          <w:tcPr>
            <w:tcW w:w="4820" w:type="dxa"/>
            <w:vAlign w:val="bottom"/>
            <w:tcBorders>
              <w:top w:val="single" w:sz="8" w:color="0000EE"/>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Arial" w:cs="Arial" w:eastAsia="Arial" w:hAnsi="Arial"/>
                <w:sz w:val="18"/>
                <w:szCs w:val="18"/>
                <w:color w:val="auto"/>
              </w:rPr>
              <w:t>10.8</w:t>
            </w:r>
          </w:p>
        </w:tc>
        <w:tc>
          <w:tcPr>
            <w:tcW w:w="9460" w:type="dxa"/>
            <w:vAlign w:val="bottom"/>
            <w:gridSpan w:val="33"/>
          </w:tcPr>
          <w:p>
            <w:pPr>
              <w:spacing w:after="0"/>
              <w:rPr>
                <w:rFonts w:ascii="Arial" w:cs="Arial" w:eastAsia="Arial" w:hAnsi="Arial"/>
                <w:sz w:val="18"/>
                <w:szCs w:val="18"/>
                <w:color w:val="auto"/>
                <w:w w:val="95"/>
              </w:rPr>
            </w:pPr>
            <w:hyperlink r:id="rId314">
              <w:r>
                <w:rPr>
                  <w:rFonts w:ascii="Arial" w:cs="Arial" w:eastAsia="Arial" w:hAnsi="Arial"/>
                  <w:sz w:val="18"/>
                  <w:szCs w:val="18"/>
                  <w:color w:val="auto"/>
                  <w:w w:val="95"/>
                </w:rPr>
                <w:t>Form of Restricted Stock Unit Agreement for Associates (pursuant to the Company’s Long-Term Incentive Plan) (included as</w:t>
              </w:r>
            </w:hyperlink>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EE"/>
            </w:tcBorders>
            <w:gridSpan w:val="16"/>
          </w:tcPr>
          <w:p>
            <w:pPr>
              <w:spacing w:after="0" w:line="156" w:lineRule="exact"/>
              <w:rPr>
                <w:rFonts w:ascii="Arial" w:cs="Arial" w:eastAsia="Arial" w:hAnsi="Arial"/>
                <w:sz w:val="18"/>
                <w:szCs w:val="18"/>
                <w:color w:val="auto"/>
                <w:w w:val="94"/>
              </w:rPr>
            </w:pPr>
            <w:hyperlink r:id="rId314">
              <w:r>
                <w:rPr>
                  <w:rFonts w:ascii="Arial" w:cs="Arial" w:eastAsia="Arial" w:hAnsi="Arial"/>
                  <w:sz w:val="18"/>
                  <w:szCs w:val="18"/>
                  <w:color w:val="auto"/>
                  <w:w w:val="94"/>
                </w:rPr>
                <w:t>Exhibit 10.8 to the Company’s Annual Report on Form 10-K filed March 20, 2017, and incorporated herein by reference).</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80" w:type="dxa"/>
            <w:vAlign w:val="bottom"/>
            <w:gridSpan w:val="9"/>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20"/>
              <w:spacing w:after="0"/>
              <w:rPr>
                <w:sz w:val="20"/>
                <w:szCs w:val="20"/>
                <w:color w:val="auto"/>
              </w:rPr>
            </w:pPr>
            <w:r>
              <w:rPr>
                <w:rFonts w:ascii="Arial" w:cs="Arial" w:eastAsia="Arial" w:hAnsi="Arial"/>
                <w:sz w:val="18"/>
                <w:szCs w:val="18"/>
                <w:color w:val="auto"/>
              </w:rPr>
              <w:t>10.9</w:t>
            </w:r>
          </w:p>
        </w:tc>
        <w:tc>
          <w:tcPr>
            <w:tcW w:w="9460" w:type="dxa"/>
            <w:vAlign w:val="bottom"/>
            <w:gridSpan w:val="33"/>
          </w:tcPr>
          <w:p>
            <w:pPr>
              <w:spacing w:after="0"/>
              <w:rPr>
                <w:rFonts w:ascii="Arial" w:cs="Arial" w:eastAsia="Arial" w:hAnsi="Arial"/>
                <w:sz w:val="18"/>
                <w:szCs w:val="18"/>
                <w:color w:val="auto"/>
                <w:w w:val="97"/>
              </w:rPr>
            </w:pPr>
            <w:hyperlink r:id="rId315">
              <w:r>
                <w:rPr>
                  <w:rFonts w:ascii="Arial" w:cs="Arial" w:eastAsia="Arial" w:hAnsi="Arial"/>
                  <w:sz w:val="18"/>
                  <w:szCs w:val="18"/>
                  <w:color w:val="auto"/>
                  <w:w w:val="97"/>
                </w:rPr>
                <w:t>Form of Deferred Stock Award Agreement for Non-Employee Directors (included as Exhibit 10.9 to the Company’s Annual</w:t>
              </w:r>
            </w:hyperlink>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EE"/>
            </w:tcBorders>
            <w:gridSpan w:val="15"/>
          </w:tcPr>
          <w:p>
            <w:pPr>
              <w:spacing w:after="0" w:line="156" w:lineRule="exact"/>
              <w:rPr>
                <w:rFonts w:ascii="Arial" w:cs="Arial" w:eastAsia="Arial" w:hAnsi="Arial"/>
                <w:sz w:val="18"/>
                <w:szCs w:val="18"/>
                <w:color w:val="auto"/>
              </w:rPr>
            </w:pPr>
            <w:hyperlink r:id="rId315">
              <w:r>
                <w:rPr>
                  <w:rFonts w:ascii="Arial" w:cs="Arial" w:eastAsia="Arial" w:hAnsi="Arial"/>
                  <w:sz w:val="18"/>
                  <w:szCs w:val="18"/>
                  <w:color w:val="auto"/>
                </w:rPr>
                <w:t>Report on Form 10-K filed March 20, 2017, and incorporated herein by reference).</w:t>
              </w:r>
            </w:hyperlink>
          </w:p>
        </w:tc>
        <w:tc>
          <w:tcPr>
            <w:tcW w:w="1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80" w:type="dxa"/>
            <w:vAlign w:val="bottom"/>
            <w:gridSpan w:val="9"/>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60" w:type="dxa"/>
            <w:vAlign w:val="bottom"/>
          </w:tcPr>
          <w:p>
            <w:pPr>
              <w:ind w:left="20"/>
              <w:spacing w:after="0"/>
              <w:rPr>
                <w:sz w:val="20"/>
                <w:szCs w:val="20"/>
                <w:color w:val="auto"/>
              </w:rPr>
            </w:pPr>
            <w:r>
              <w:rPr>
                <w:rFonts w:ascii="Arial" w:cs="Arial" w:eastAsia="Arial" w:hAnsi="Arial"/>
                <w:sz w:val="18"/>
                <w:szCs w:val="18"/>
                <w:color w:val="auto"/>
              </w:rPr>
              <w:t>10.10</w:t>
            </w:r>
          </w:p>
        </w:tc>
        <w:tc>
          <w:tcPr>
            <w:tcW w:w="9460" w:type="dxa"/>
            <w:vAlign w:val="bottom"/>
            <w:gridSpan w:val="33"/>
          </w:tcPr>
          <w:p>
            <w:pPr>
              <w:spacing w:after="0"/>
              <w:rPr>
                <w:rFonts w:ascii="Arial" w:cs="Arial" w:eastAsia="Arial" w:hAnsi="Arial"/>
                <w:sz w:val="18"/>
                <w:szCs w:val="18"/>
                <w:color w:val="auto"/>
                <w:w w:val="93"/>
              </w:rPr>
            </w:pPr>
            <w:hyperlink r:id="rId316">
              <w:r>
                <w:rPr>
                  <w:rFonts w:ascii="Arial" w:cs="Arial" w:eastAsia="Arial" w:hAnsi="Arial"/>
                  <w:sz w:val="18"/>
                  <w:szCs w:val="18"/>
                  <w:color w:val="auto"/>
                  <w:w w:val="93"/>
                </w:rPr>
                <w:t>Fifth Amended and Restated Non-Employee Director Compensation Plan (included as Exhibit 10.1 to the Company’s Quarterly</w:t>
              </w:r>
            </w:hyperlink>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624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auto"/>
                <w:w w:val="90"/>
              </w:rPr>
            </w:pPr>
            <w:hyperlink r:id="rId316">
              <w:r>
                <w:rPr>
                  <w:rFonts w:ascii="Arial" w:cs="Arial" w:eastAsia="Arial" w:hAnsi="Arial"/>
                  <w:sz w:val="18"/>
                  <w:szCs w:val="18"/>
                  <w:color w:val="auto"/>
                  <w:w w:val="90"/>
                </w:rPr>
                <w:t>Report on Form 10-Q filed November 20, 2020, and incorporated herein by reference).</w:t>
              </w:r>
            </w:hyperlink>
          </w:p>
        </w:tc>
        <w:tc>
          <w:tcPr>
            <w:tcW w:w="2980" w:type="dxa"/>
            <w:vAlign w:val="bottom"/>
            <w:tcBorders>
              <w:top w:val="single" w:sz="8" w:color="0000EE"/>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5380" w:type="dxa"/>
            <w:vAlign w:val="bottom"/>
            <w:tcBorders>
              <w:bottom w:val="single" w:sz="8" w:color="0000EE"/>
            </w:tcBorders>
            <w:gridSpan w:val="9"/>
          </w:tcPr>
          <w:p>
            <w:pPr>
              <w:spacing w:after="0"/>
              <w:rPr>
                <w:rFonts w:ascii="Arial" w:cs="Arial" w:eastAsia="Arial" w:hAnsi="Arial"/>
                <w:sz w:val="18"/>
                <w:szCs w:val="18"/>
                <w:color w:val="auto"/>
                <w:w w:val="90"/>
              </w:rPr>
            </w:pPr>
            <w:hyperlink w:anchor="page72">
              <w:r>
                <w:rPr>
                  <w:rFonts w:ascii="Arial" w:cs="Arial" w:eastAsia="Arial" w:hAnsi="Arial"/>
                  <w:sz w:val="18"/>
                  <w:szCs w:val="18"/>
                  <w:color w:val="auto"/>
                  <w:w w:val="90"/>
                </w:rPr>
                <w:t>Sixth Amended and Restated Non-Employee Director Compensation Plan.</w:t>
              </w:r>
            </w:hyperlink>
          </w:p>
        </w:tc>
        <w:tc>
          <w:tcPr>
            <w:tcW w:w="4080" w:type="dxa"/>
            <w:vAlign w:val="bottom"/>
            <w:gridSpan w:val="24"/>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10.12</w:t>
            </w:r>
          </w:p>
        </w:tc>
        <w:tc>
          <w:tcPr>
            <w:tcW w:w="9460" w:type="dxa"/>
            <w:vAlign w:val="bottom"/>
            <w:gridSpan w:val="33"/>
          </w:tcPr>
          <w:p>
            <w:pPr>
              <w:spacing w:after="0"/>
              <w:rPr>
                <w:rFonts w:ascii="Arial" w:cs="Arial" w:eastAsia="Arial" w:hAnsi="Arial"/>
                <w:sz w:val="18"/>
                <w:szCs w:val="18"/>
                <w:color w:val="auto"/>
                <w:w w:val="95"/>
              </w:rPr>
            </w:pPr>
            <w:hyperlink r:id="rId317">
              <w:r>
                <w:rPr>
                  <w:rFonts w:ascii="Arial" w:cs="Arial" w:eastAsia="Arial" w:hAnsi="Arial"/>
                  <w:sz w:val="18"/>
                  <w:szCs w:val="18"/>
                  <w:color w:val="auto"/>
                  <w:w w:val="95"/>
                </w:rPr>
                <w:t>Credit Agreement dated October 28, 2021, by and among Citizens Bank, N.A., as Administrative Agent and Collateral Agent,</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9460" w:type="dxa"/>
            <w:vAlign w:val="bottom"/>
            <w:gridSpan w:val="33"/>
          </w:tcPr>
          <w:p>
            <w:pPr>
              <w:spacing w:after="0" w:line="189" w:lineRule="exact"/>
              <w:rPr>
                <w:rFonts w:ascii="Arial" w:cs="Arial" w:eastAsia="Arial" w:hAnsi="Arial"/>
                <w:sz w:val="18"/>
                <w:szCs w:val="18"/>
                <w:color w:val="auto"/>
                <w:highlight w:val="white"/>
                <w:w w:val="90"/>
              </w:rPr>
            </w:pPr>
            <w:hyperlink r:id="rId317">
              <w:r>
                <w:rPr>
                  <w:rFonts w:ascii="Arial" w:cs="Arial" w:eastAsia="Arial" w:hAnsi="Arial"/>
                  <w:sz w:val="18"/>
                  <w:szCs w:val="18"/>
                  <w:color w:val="auto"/>
                  <w:highlight w:val="white"/>
                  <w:w w:val="90"/>
                </w:rPr>
                <w:t>Other Lenders identified therein, the Company, as lead borrower, and the Borrowers and Guarantors identified therein (included as</w:t>
              </w:r>
            </w:hyperlink>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140" w:type="dxa"/>
            <w:vAlign w:val="bottom"/>
            <w:gridSpan w:val="18"/>
          </w:tcPr>
          <w:p>
            <w:pPr>
              <w:spacing w:after="0" w:line="156" w:lineRule="exact"/>
              <w:rPr>
                <w:rFonts w:ascii="Arial" w:cs="Arial" w:eastAsia="Arial" w:hAnsi="Arial"/>
                <w:sz w:val="18"/>
                <w:szCs w:val="18"/>
                <w:color w:val="auto"/>
                <w:highlight w:val="white"/>
                <w:w w:val="91"/>
              </w:rPr>
            </w:pPr>
            <w:hyperlink r:id="rId317">
              <w:r>
                <w:rPr>
                  <w:rFonts w:ascii="Arial" w:cs="Arial" w:eastAsia="Arial" w:hAnsi="Arial"/>
                  <w:sz w:val="18"/>
                  <w:szCs w:val="18"/>
                  <w:color w:val="auto"/>
                  <w:highlight w:val="white"/>
                  <w:w w:val="91"/>
                </w:rPr>
                <w:t>Exhibit 10.1 to the Company's Current Report on Form 8-K filed on November 2, 2021, and incorporated herein by reference).</w:t>
              </w:r>
            </w:hyperlink>
          </w:p>
        </w:tc>
        <w:tc>
          <w:tcPr>
            <w:tcW w:w="80" w:type="dxa"/>
            <w:vAlign w:val="bottom"/>
            <w:tcBorders>
              <w:top w:val="single" w:sz="8" w:color="0000EE"/>
            </w:tcBorders>
            <w:gridSpan w:val="3"/>
          </w:tcPr>
          <w:p>
            <w:pPr>
              <w:spacing w:after="0"/>
              <w:rPr>
                <w:sz w:val="13"/>
                <w:szCs w:val="13"/>
                <w:color w:val="auto"/>
              </w:rPr>
            </w:pPr>
          </w:p>
        </w:tc>
        <w:tc>
          <w:tcPr>
            <w:tcW w:w="80" w:type="dxa"/>
            <w:vAlign w:val="bottom"/>
            <w:tcBorders>
              <w:top w:val="single" w:sz="8" w:color="0000EE"/>
            </w:tcBorders>
            <w:gridSpan w:val="4"/>
          </w:tcPr>
          <w:p>
            <w:pPr>
              <w:spacing w:after="0"/>
              <w:rPr>
                <w:sz w:val="13"/>
                <w:szCs w:val="13"/>
                <w:color w:val="auto"/>
              </w:rPr>
            </w:pPr>
          </w:p>
        </w:tc>
        <w:tc>
          <w:tcPr>
            <w:tcW w:w="100" w:type="dxa"/>
            <w:vAlign w:val="bottom"/>
            <w:tcBorders>
              <w:top w:val="single" w:sz="8" w:color="0000EE"/>
            </w:tcBorders>
            <w:gridSpan w:val="5"/>
          </w:tcPr>
          <w:p>
            <w:pPr>
              <w:spacing w:after="0"/>
              <w:rPr>
                <w:sz w:val="13"/>
                <w:szCs w:val="13"/>
                <w:color w:val="auto"/>
              </w:rPr>
            </w:pPr>
          </w:p>
        </w:tc>
        <w:tc>
          <w:tcPr>
            <w:tcW w:w="60" w:type="dxa"/>
            <w:vAlign w:val="bottom"/>
            <w:tcBorders>
              <w:top w:val="single" w:sz="8" w:color="0000EE"/>
            </w:tcBorders>
            <w:gridSpan w:val="3"/>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40" w:type="dxa"/>
            <w:vAlign w:val="bottom"/>
            <w:gridSpan w:val="9"/>
            <w:shd w:val="clear" w:color="auto" w:fill="0000EE"/>
          </w:tcPr>
          <w:p>
            <w:pPr>
              <w:spacing w:after="0" w:line="20" w:lineRule="exact"/>
              <w:rPr>
                <w:sz w:val="1"/>
                <w:szCs w:val="1"/>
                <w:color w:val="auto"/>
              </w:rPr>
            </w:pPr>
          </w:p>
        </w:tc>
        <w:tc>
          <w:tcPr>
            <w:tcW w:w="3260" w:type="dxa"/>
            <w:vAlign w:val="bottom"/>
            <w:tcBorders>
              <w:right w:val="single" w:sz="8" w:color="0000EE"/>
            </w:tcBorders>
            <w:gridSpan w:val="11"/>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20"/>
              <w:spacing w:after="0"/>
              <w:rPr>
                <w:sz w:val="20"/>
                <w:szCs w:val="20"/>
                <w:color w:val="auto"/>
              </w:rPr>
            </w:pPr>
            <w:r>
              <w:rPr>
                <w:rFonts w:ascii="Arial" w:cs="Arial" w:eastAsia="Arial" w:hAnsi="Arial"/>
                <w:sz w:val="18"/>
                <w:szCs w:val="18"/>
                <w:color w:val="auto"/>
              </w:rPr>
              <w:t>10.13</w:t>
            </w:r>
          </w:p>
        </w:tc>
        <w:tc>
          <w:tcPr>
            <w:tcW w:w="9460" w:type="dxa"/>
            <w:vAlign w:val="bottom"/>
            <w:gridSpan w:val="33"/>
          </w:tcPr>
          <w:p>
            <w:pPr>
              <w:spacing w:after="0"/>
              <w:rPr>
                <w:rFonts w:ascii="Arial" w:cs="Arial" w:eastAsia="Arial" w:hAnsi="Arial"/>
                <w:sz w:val="18"/>
                <w:szCs w:val="18"/>
                <w:color w:val="auto"/>
                <w:w w:val="92"/>
              </w:rPr>
            </w:pPr>
            <w:hyperlink r:id="rId318">
              <w:r>
                <w:rPr>
                  <w:rFonts w:ascii="Arial" w:cs="Arial" w:eastAsia="Arial" w:hAnsi="Arial"/>
                  <w:sz w:val="18"/>
                  <w:szCs w:val="18"/>
                  <w:color w:val="auto"/>
                  <w:w w:val="92"/>
                </w:rPr>
                <w:t>Seventh Amended and Restated Loan and Security Agreement dated as of May 24, 2018, by and among Bank of America, N.A.,</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EE"/>
              <w:bottom w:val="single" w:sz="8" w:color="0000EE"/>
            </w:tcBorders>
            <w:gridSpan w:val="24"/>
          </w:tcPr>
          <w:p>
            <w:pPr>
              <w:spacing w:after="0" w:line="156" w:lineRule="exact"/>
              <w:rPr>
                <w:rFonts w:ascii="Arial" w:cs="Arial" w:eastAsia="Arial" w:hAnsi="Arial"/>
                <w:sz w:val="18"/>
                <w:szCs w:val="18"/>
                <w:color w:val="auto"/>
                <w:w w:val="90"/>
              </w:rPr>
            </w:pPr>
            <w:hyperlink r:id="rId318">
              <w:r>
                <w:rPr>
                  <w:rFonts w:ascii="Arial" w:cs="Arial" w:eastAsia="Arial" w:hAnsi="Arial"/>
                  <w:sz w:val="18"/>
                  <w:szCs w:val="18"/>
                  <w:color w:val="auto"/>
                  <w:w w:val="90"/>
                </w:rPr>
                <w:t>as Administrative Agent and Collateral Agent, the Lenders identified therein, the Company, as Lead Borrower, the Company and</w:t>
              </w:r>
            </w:hyperlink>
          </w:p>
        </w:tc>
        <w:tc>
          <w:tcPr>
            <w:tcW w:w="100" w:type="dxa"/>
            <w:vAlign w:val="bottom"/>
            <w:tcBorders>
              <w:bottom w:val="single" w:sz="8" w:color="0000EE"/>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29"/>
          </w:tcPr>
          <w:p>
            <w:pPr>
              <w:spacing w:after="0" w:line="156" w:lineRule="exact"/>
              <w:rPr>
                <w:rFonts w:ascii="Arial" w:cs="Arial" w:eastAsia="Arial" w:hAnsi="Arial"/>
                <w:sz w:val="18"/>
                <w:szCs w:val="18"/>
                <w:color w:val="auto"/>
                <w:w w:val="94"/>
              </w:rPr>
            </w:pPr>
            <w:hyperlink r:id="rId318">
              <w:r>
                <w:rPr>
                  <w:rFonts w:ascii="Arial" w:cs="Arial" w:eastAsia="Arial" w:hAnsi="Arial"/>
                  <w:sz w:val="18"/>
                  <w:szCs w:val="18"/>
                  <w:color w:val="auto"/>
                  <w:w w:val="94"/>
                </w:rPr>
                <w:t>CMRG Apparel, LLC, as Borrowers, and the Guarantors identified therein (included as Exhibit 10.1 to the Company’s Current</w:t>
              </w:r>
            </w:hyperlink>
          </w:p>
        </w:tc>
        <w:tc>
          <w:tcPr>
            <w:tcW w:w="60" w:type="dxa"/>
            <w:vAlign w:val="bottom"/>
            <w:gridSpan w:val="3"/>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EE"/>
            </w:tcBorders>
            <w:gridSpan w:val="20"/>
          </w:tcPr>
          <w:p>
            <w:pPr>
              <w:spacing w:after="0" w:line="142" w:lineRule="exact"/>
              <w:rPr>
                <w:rFonts w:ascii="Arial" w:cs="Arial" w:eastAsia="Arial" w:hAnsi="Arial"/>
                <w:sz w:val="16"/>
                <w:szCs w:val="16"/>
                <w:color w:val="auto"/>
              </w:rPr>
            </w:pPr>
            <w:hyperlink r:id="rId318">
              <w:r>
                <w:rPr>
                  <w:rFonts w:ascii="Arial" w:cs="Arial" w:eastAsia="Arial" w:hAnsi="Arial"/>
                  <w:sz w:val="16"/>
                  <w:szCs w:val="16"/>
                  <w:color w:val="auto"/>
                </w:rPr>
                <w:t>Report on Form 8-K filed on May 30, 2018, and incorporated herein by reference).</w:t>
              </w:r>
            </w:hyperlink>
          </w:p>
        </w:tc>
        <w:tc>
          <w:tcPr>
            <w:tcW w:w="240" w:type="dxa"/>
            <w:vAlign w:val="bottom"/>
            <w:gridSpan w:val="12"/>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0"/>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top w:val="single" w:sz="8" w:color="0000EE"/>
            </w:tcBorders>
            <w:gridSpan w:val="7"/>
          </w:tcPr>
          <w:p>
            <w:pPr>
              <w:jc w:val="right"/>
              <w:ind w:right="80"/>
              <w:spacing w:after="0"/>
              <w:rPr>
                <w:sz w:val="20"/>
                <w:szCs w:val="20"/>
                <w:color w:val="auto"/>
              </w:rPr>
            </w:pPr>
            <w:r>
              <w:rPr>
                <w:rFonts w:ascii="Arial" w:cs="Arial" w:eastAsia="Arial" w:hAnsi="Arial"/>
                <w:sz w:val="18"/>
                <w:szCs w:val="18"/>
                <w:color w:val="auto"/>
              </w:rPr>
              <w:t>65</w:t>
            </w:r>
          </w:p>
        </w:tc>
        <w:tc>
          <w:tcPr>
            <w:tcW w:w="7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6496050</wp:posOffset>
            </wp:positionH>
            <wp:positionV relativeFrom="paragraph">
              <wp:posOffset>-1388110</wp:posOffset>
            </wp:positionV>
            <wp:extent cx="2857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10.14</w:t>
            </w:r>
          </w:p>
        </w:tc>
        <w:tc>
          <w:tcPr>
            <w:tcW w:w="9420" w:type="dxa"/>
            <w:vAlign w:val="bottom"/>
            <w:gridSpan w:val="30"/>
          </w:tcPr>
          <w:p>
            <w:pPr>
              <w:spacing w:after="0"/>
              <w:rPr>
                <w:rFonts w:ascii="Arial" w:cs="Arial" w:eastAsia="Arial" w:hAnsi="Arial"/>
                <w:sz w:val="18"/>
                <w:szCs w:val="18"/>
                <w:color w:val="auto"/>
                <w:w w:val="93"/>
              </w:rPr>
            </w:pPr>
            <w:hyperlink r:id="rId322">
              <w:r>
                <w:rPr>
                  <w:rFonts w:ascii="Arial" w:cs="Arial" w:eastAsia="Arial" w:hAnsi="Arial"/>
                  <w:sz w:val="18"/>
                  <w:szCs w:val="18"/>
                  <w:color w:val="auto"/>
                  <w:w w:val="93"/>
                </w:rPr>
                <w:t>First Amendment to Seventh Amended and Restated Credit Facility dated as of May 31, 2019, by and among Bank of America,</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EE"/>
            </w:tcBorders>
            <w:gridSpan w:val="24"/>
          </w:tcPr>
          <w:p>
            <w:pPr>
              <w:spacing w:after="0" w:line="156" w:lineRule="exact"/>
              <w:rPr>
                <w:rFonts w:ascii="Arial" w:cs="Arial" w:eastAsia="Arial" w:hAnsi="Arial"/>
                <w:sz w:val="18"/>
                <w:szCs w:val="18"/>
                <w:color w:val="auto"/>
                <w:w w:val="97"/>
              </w:rPr>
            </w:pPr>
            <w:hyperlink r:id="rId322">
              <w:r>
                <w:rPr>
                  <w:rFonts w:ascii="Arial" w:cs="Arial" w:eastAsia="Arial" w:hAnsi="Arial"/>
                  <w:sz w:val="18"/>
                  <w:szCs w:val="18"/>
                  <w:color w:val="auto"/>
                  <w:w w:val="97"/>
                </w:rPr>
                <w:t>N.A., as Administrative Agent and Collateral Agent, the Lenders identified therein, the Company, as Lead Borrower,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auto"/>
                <w:w w:val="91"/>
              </w:rPr>
            </w:pPr>
            <w:hyperlink r:id="rId322">
              <w:r>
                <w:rPr>
                  <w:rFonts w:ascii="Arial" w:cs="Arial" w:eastAsia="Arial" w:hAnsi="Arial"/>
                  <w:sz w:val="18"/>
                  <w:szCs w:val="18"/>
                  <w:color w:val="auto"/>
                  <w:w w:val="91"/>
                </w:rPr>
                <w:t>Company and CMRG Apparel, LLC, as Borrowers, and the Guarantors identified therein (included as Exhibit 10.1 to the</w:t>
              </w:r>
            </w:hyperlink>
          </w:p>
        </w:tc>
        <w:tc>
          <w:tcPr>
            <w:tcW w:w="40" w:type="dxa"/>
            <w:vAlign w:val="bottom"/>
            <w:tcBorders>
              <w:bottom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gridSpan w:val="13"/>
          </w:tcPr>
          <w:p>
            <w:pPr>
              <w:spacing w:after="0" w:line="156" w:lineRule="exact"/>
              <w:rPr>
                <w:rFonts w:ascii="Arial" w:cs="Arial" w:eastAsia="Arial" w:hAnsi="Arial"/>
                <w:sz w:val="18"/>
                <w:szCs w:val="18"/>
                <w:color w:val="auto"/>
              </w:rPr>
            </w:pPr>
            <w:hyperlink r:id="rId322">
              <w:r>
                <w:rPr>
                  <w:rFonts w:ascii="Arial" w:cs="Arial" w:eastAsia="Arial" w:hAnsi="Arial"/>
                  <w:sz w:val="18"/>
                  <w:szCs w:val="18"/>
                  <w:color w:val="auto"/>
                </w:rPr>
                <w:t>Company’s Current Report on Form 8-K filed June 6, 2019, and incorporated herein by reference).</w:t>
              </w:r>
            </w:hyperlink>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10.15</w:t>
            </w:r>
          </w:p>
        </w:tc>
        <w:tc>
          <w:tcPr>
            <w:tcW w:w="9420" w:type="dxa"/>
            <w:vAlign w:val="bottom"/>
            <w:gridSpan w:val="30"/>
          </w:tcPr>
          <w:p>
            <w:pPr>
              <w:spacing w:after="0"/>
              <w:rPr>
                <w:rFonts w:ascii="Arial" w:cs="Arial" w:eastAsia="Arial" w:hAnsi="Arial"/>
                <w:sz w:val="18"/>
                <w:szCs w:val="18"/>
                <w:color w:val="auto"/>
                <w:w w:val="93"/>
              </w:rPr>
            </w:pPr>
            <w:hyperlink r:id="rId323">
              <w:r>
                <w:rPr>
                  <w:rFonts w:ascii="Arial" w:cs="Arial" w:eastAsia="Arial" w:hAnsi="Arial"/>
                  <w:sz w:val="18"/>
                  <w:szCs w:val="18"/>
                  <w:color w:val="auto"/>
                  <w:w w:val="93"/>
                </w:rPr>
                <w:t>Waiver and Second Amendment to Seventh Amended and Restated Credit Agreement dated as of September 5, 2019, by and</w:t>
              </w:r>
            </w:hyperlink>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7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120" w:type="dxa"/>
            <w:vAlign w:val="bottom"/>
            <w:tcBorders>
              <w:bottom w:val="single" w:sz="8" w:color="0000EE"/>
            </w:tcBorders>
            <w:gridSpan w:val="18"/>
          </w:tcPr>
          <w:p>
            <w:pPr>
              <w:spacing w:after="0" w:line="156" w:lineRule="exact"/>
              <w:rPr>
                <w:rFonts w:ascii="Arial" w:cs="Arial" w:eastAsia="Arial" w:hAnsi="Arial"/>
                <w:sz w:val="18"/>
                <w:szCs w:val="18"/>
                <w:color w:val="auto"/>
                <w:w w:val="91"/>
              </w:rPr>
            </w:pPr>
            <w:hyperlink r:id="rId323">
              <w:r>
                <w:rPr>
                  <w:rFonts w:ascii="Arial" w:cs="Arial" w:eastAsia="Arial" w:hAnsi="Arial"/>
                  <w:sz w:val="18"/>
                  <w:szCs w:val="18"/>
                  <w:color w:val="auto"/>
                  <w:w w:val="91"/>
                </w:rPr>
                <w:t>among Bank of America, N.A., as Administrative Agent and Collateral Agent, the Lenders identified therein, the Company, as</w:t>
              </w:r>
            </w:hyperlink>
          </w:p>
        </w:tc>
        <w:tc>
          <w:tcPr>
            <w:tcW w:w="28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bottom w:val="single" w:sz="8" w:color="0000EE"/>
            </w:tcBorders>
            <w:gridSpan w:val="29"/>
          </w:tcPr>
          <w:p>
            <w:pPr>
              <w:spacing w:after="0" w:line="156" w:lineRule="exact"/>
              <w:rPr>
                <w:rFonts w:ascii="Arial" w:cs="Arial" w:eastAsia="Arial" w:hAnsi="Arial"/>
                <w:sz w:val="18"/>
                <w:szCs w:val="18"/>
                <w:color w:val="auto"/>
                <w:w w:val="92"/>
              </w:rPr>
            </w:pPr>
            <w:hyperlink r:id="rId323">
              <w:r>
                <w:rPr>
                  <w:rFonts w:ascii="Arial" w:cs="Arial" w:eastAsia="Arial" w:hAnsi="Arial"/>
                  <w:sz w:val="18"/>
                  <w:szCs w:val="18"/>
                  <w:color w:val="auto"/>
                  <w:w w:val="92"/>
                </w:rPr>
                <w:t>Lead Borrower, the Company and CMRG Apparel, LLC, as Borrowers, and the Guarantors identified therein (included as Exhibit</w:t>
              </w:r>
            </w:hyperlink>
          </w:p>
        </w:tc>
        <w:tc>
          <w:tcPr>
            <w:tcW w:w="6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340" w:type="dxa"/>
            <w:vAlign w:val="bottom"/>
            <w:tcBorders>
              <w:bottom w:val="single" w:sz="8" w:color="0000EE"/>
            </w:tcBorders>
            <w:gridSpan w:val="10"/>
          </w:tcPr>
          <w:p>
            <w:pPr>
              <w:spacing w:after="0" w:line="156" w:lineRule="exact"/>
              <w:rPr>
                <w:rFonts w:ascii="Arial" w:cs="Arial" w:eastAsia="Arial" w:hAnsi="Arial"/>
                <w:sz w:val="18"/>
                <w:szCs w:val="18"/>
                <w:color w:val="auto"/>
                <w:w w:val="90"/>
              </w:rPr>
            </w:pPr>
            <w:hyperlink r:id="rId323">
              <w:r>
                <w:rPr>
                  <w:rFonts w:ascii="Arial" w:cs="Arial" w:eastAsia="Arial" w:hAnsi="Arial"/>
                  <w:sz w:val="18"/>
                  <w:szCs w:val="18"/>
                  <w:color w:val="auto"/>
                  <w:w w:val="90"/>
                </w:rPr>
                <w:t>10.1 to the Company’s Current Report on Form 8-K filed September 6, 2019, and incorporated herein by reference).</w:t>
              </w:r>
            </w:hyperlink>
          </w:p>
        </w:tc>
        <w:tc>
          <w:tcPr>
            <w:tcW w:w="1060" w:type="dxa"/>
            <w:vAlign w:val="bottom"/>
            <w:gridSpan w:val="19"/>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10.16</w:t>
            </w:r>
          </w:p>
        </w:tc>
        <w:tc>
          <w:tcPr>
            <w:tcW w:w="9420" w:type="dxa"/>
            <w:vAlign w:val="bottom"/>
            <w:gridSpan w:val="30"/>
          </w:tcPr>
          <w:p>
            <w:pPr>
              <w:spacing w:after="0"/>
              <w:rPr>
                <w:rFonts w:ascii="Arial" w:cs="Arial" w:eastAsia="Arial" w:hAnsi="Arial"/>
                <w:sz w:val="18"/>
                <w:szCs w:val="18"/>
                <w:color w:val="auto"/>
                <w:w w:val="96"/>
              </w:rPr>
            </w:pPr>
            <w:hyperlink r:id="rId324">
              <w:r>
                <w:rPr>
                  <w:rFonts w:ascii="Arial" w:cs="Arial" w:eastAsia="Arial" w:hAnsi="Arial"/>
                  <w:sz w:val="18"/>
                  <w:szCs w:val="18"/>
                  <w:color w:val="auto"/>
                  <w:w w:val="96"/>
                </w:rPr>
                <w:t>Third Amendment to Seventh Amended and Restated Credit Agreement dated as of April 15, 2020, by and among Bank of</w:t>
              </w:r>
            </w:hyperlink>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7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400" w:type="dxa"/>
            <w:vAlign w:val="bottom"/>
            <w:tcBorders>
              <w:bottom w:val="single" w:sz="8" w:color="0000EE"/>
            </w:tcBorders>
            <w:gridSpan w:val="29"/>
          </w:tcPr>
          <w:p>
            <w:pPr>
              <w:spacing w:after="0" w:line="156" w:lineRule="exact"/>
              <w:rPr>
                <w:rFonts w:ascii="Arial" w:cs="Arial" w:eastAsia="Arial" w:hAnsi="Arial"/>
                <w:sz w:val="18"/>
                <w:szCs w:val="18"/>
                <w:color w:val="auto"/>
                <w:w w:val="91"/>
              </w:rPr>
            </w:pPr>
            <w:hyperlink r:id="rId324">
              <w:r>
                <w:rPr>
                  <w:rFonts w:ascii="Arial" w:cs="Arial" w:eastAsia="Arial" w:hAnsi="Arial"/>
                  <w:sz w:val="18"/>
                  <w:szCs w:val="18"/>
                  <w:color w:val="auto"/>
                  <w:w w:val="91"/>
                </w:rPr>
                <w:t>America, N.A., as Administrative Agent and Collateral Agent, the Lenders identified therein, the Company, as Lead Borrower, the</w:t>
              </w:r>
            </w:hyperlink>
          </w:p>
        </w:tc>
        <w:tc>
          <w:tcPr>
            <w:tcW w:w="20" w:type="dxa"/>
            <w:vAlign w:val="bottom"/>
            <w:tcBorders>
              <w:bottom w:val="single" w:sz="8" w:color="0000EE"/>
            </w:tcBorders>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gridSpan w:val="29"/>
          </w:tcPr>
          <w:p>
            <w:pPr>
              <w:spacing w:after="0" w:line="156" w:lineRule="exact"/>
              <w:rPr>
                <w:rFonts w:ascii="Arial" w:cs="Arial" w:eastAsia="Arial" w:hAnsi="Arial"/>
                <w:sz w:val="18"/>
                <w:szCs w:val="18"/>
                <w:color w:val="auto"/>
                <w:w w:val="98"/>
              </w:rPr>
            </w:pPr>
            <w:hyperlink r:id="rId324">
              <w:r>
                <w:rPr>
                  <w:rFonts w:ascii="Arial" w:cs="Arial" w:eastAsia="Arial" w:hAnsi="Arial"/>
                  <w:sz w:val="18"/>
                  <w:szCs w:val="18"/>
                  <w:color w:val="auto"/>
                  <w:w w:val="98"/>
                </w:rPr>
                <w:t>Company and CMRG Apparel, LLC, as Borrowers, and the Guarantors identified therein (included as Exhibit 10.1 to the</w:t>
              </w:r>
            </w:hyperlink>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EE"/>
            </w:tcBorders>
            <w:gridSpan w:val="13"/>
          </w:tcPr>
          <w:p>
            <w:pPr>
              <w:spacing w:after="0" w:line="156" w:lineRule="exact"/>
              <w:rPr>
                <w:rFonts w:ascii="Arial" w:cs="Arial" w:eastAsia="Arial" w:hAnsi="Arial"/>
                <w:sz w:val="18"/>
                <w:szCs w:val="18"/>
                <w:color w:val="auto"/>
              </w:rPr>
            </w:pPr>
            <w:hyperlink r:id="rId324">
              <w:r>
                <w:rPr>
                  <w:rFonts w:ascii="Arial" w:cs="Arial" w:eastAsia="Arial" w:hAnsi="Arial"/>
                  <w:sz w:val="18"/>
                  <w:szCs w:val="18"/>
                  <w:color w:val="auto"/>
                </w:rPr>
                <w:t>Company’s Current Report on Form 8-K filed April 16, 2020, and incorporated herein by reference).</w:t>
              </w:r>
            </w:hyperlink>
          </w:p>
        </w:tc>
        <w:tc>
          <w:tcPr>
            <w:tcW w:w="2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7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10.17</w:t>
            </w:r>
          </w:p>
        </w:tc>
        <w:tc>
          <w:tcPr>
            <w:tcW w:w="9420" w:type="dxa"/>
            <w:vAlign w:val="bottom"/>
            <w:gridSpan w:val="30"/>
          </w:tcPr>
          <w:p>
            <w:pPr>
              <w:spacing w:after="0"/>
              <w:rPr>
                <w:rFonts w:ascii="Arial" w:cs="Arial" w:eastAsia="Arial" w:hAnsi="Arial"/>
                <w:sz w:val="18"/>
                <w:szCs w:val="18"/>
                <w:color w:val="auto"/>
                <w:w w:val="95"/>
              </w:rPr>
            </w:pPr>
            <w:hyperlink r:id="rId325">
              <w:r>
                <w:rPr>
                  <w:rFonts w:ascii="Arial" w:cs="Arial" w:eastAsia="Arial" w:hAnsi="Arial"/>
                  <w:sz w:val="18"/>
                  <w:szCs w:val="18"/>
                  <w:color w:val="auto"/>
                  <w:w w:val="95"/>
                </w:rPr>
                <w:t>Employment Agreement between the Company and Harvey S. Kanter, dated February 19, 2019, which includes the Form of</w:t>
              </w:r>
            </w:hyperlink>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1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400" w:type="dxa"/>
            <w:vAlign w:val="bottom"/>
            <w:gridSpan w:val="29"/>
          </w:tcPr>
          <w:p>
            <w:pPr>
              <w:spacing w:after="0" w:line="156" w:lineRule="exact"/>
              <w:rPr>
                <w:rFonts w:ascii="Arial" w:cs="Arial" w:eastAsia="Arial" w:hAnsi="Arial"/>
                <w:sz w:val="18"/>
                <w:szCs w:val="18"/>
                <w:color w:val="auto"/>
                <w:w w:val="93"/>
              </w:rPr>
            </w:pPr>
            <w:hyperlink r:id="rId325">
              <w:r>
                <w:rPr>
                  <w:rFonts w:ascii="Arial" w:cs="Arial" w:eastAsia="Arial" w:hAnsi="Arial"/>
                  <w:sz w:val="18"/>
                  <w:szCs w:val="18"/>
                  <w:color w:val="auto"/>
                  <w:w w:val="93"/>
                </w:rPr>
                <w:t>Performance Share Award Agreement and Form of Discretionary Restricted Stock Unit Award Agreement (included as Exhibit</w:t>
              </w:r>
            </w:hyperlink>
          </w:p>
        </w:tc>
        <w:tc>
          <w:tcPr>
            <w:tcW w:w="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EE"/>
            </w:tcBorders>
            <w:gridSpan w:val="21"/>
          </w:tcPr>
          <w:p>
            <w:pPr>
              <w:spacing w:after="0" w:line="142" w:lineRule="exact"/>
              <w:rPr>
                <w:rFonts w:ascii="Arial" w:cs="Arial" w:eastAsia="Arial" w:hAnsi="Arial"/>
                <w:sz w:val="16"/>
                <w:szCs w:val="16"/>
                <w:color w:val="auto"/>
              </w:rPr>
            </w:pPr>
            <w:hyperlink r:id="rId325">
              <w:r>
                <w:rPr>
                  <w:rFonts w:ascii="Arial" w:cs="Arial" w:eastAsia="Arial" w:hAnsi="Arial"/>
                  <w:sz w:val="16"/>
                  <w:szCs w:val="16"/>
                  <w:color w:val="auto"/>
                </w:rPr>
                <w:t>10.1 to the Company’s Current Report on Form 8-K filed February 20, 2019,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1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10.18</w:t>
            </w:r>
          </w:p>
        </w:tc>
        <w:tc>
          <w:tcPr>
            <w:tcW w:w="9420" w:type="dxa"/>
            <w:vAlign w:val="bottom"/>
            <w:gridSpan w:val="30"/>
          </w:tcPr>
          <w:p>
            <w:pPr>
              <w:spacing w:after="0"/>
              <w:rPr>
                <w:rFonts w:ascii="Arial" w:cs="Arial" w:eastAsia="Arial" w:hAnsi="Arial"/>
                <w:sz w:val="18"/>
                <w:szCs w:val="18"/>
                <w:color w:val="auto"/>
                <w:w w:val="91"/>
              </w:rPr>
            </w:pPr>
            <w:hyperlink r:id="rId326">
              <w:r>
                <w:rPr>
                  <w:rFonts w:ascii="Arial" w:cs="Arial" w:eastAsia="Arial" w:hAnsi="Arial"/>
                  <w:sz w:val="18"/>
                  <w:szCs w:val="18"/>
                  <w:color w:val="auto"/>
                  <w:w w:val="91"/>
                </w:rPr>
                <w:t>Second Amended and Restated Employment Agreement between the Company and Peter H. Stratton, Jr. dated as of November</w:t>
              </w:r>
            </w:hyperlink>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EE"/>
            </w:tcBorders>
            <w:gridSpan w:val="22"/>
          </w:tcPr>
          <w:p>
            <w:pPr>
              <w:spacing w:after="0" w:line="156" w:lineRule="exact"/>
              <w:rPr>
                <w:rFonts w:ascii="Arial" w:cs="Arial" w:eastAsia="Arial" w:hAnsi="Arial"/>
                <w:sz w:val="18"/>
                <w:szCs w:val="18"/>
                <w:color w:val="auto"/>
                <w:w w:val="92"/>
              </w:rPr>
            </w:pPr>
            <w:hyperlink r:id="rId326">
              <w:r>
                <w:rPr>
                  <w:rFonts w:ascii="Arial" w:cs="Arial" w:eastAsia="Arial" w:hAnsi="Arial"/>
                  <w:sz w:val="18"/>
                  <w:szCs w:val="18"/>
                  <w:color w:val="auto"/>
                  <w:w w:val="92"/>
                </w:rPr>
                <w:t>27, 2017 (included at Exhibit 10.32 to the Company’s Annual Report on Form 10-K filed on March 23, 2018, and incorporated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EE"/>
            </w:tcBorders>
            <w:gridSpan w:val="20"/>
          </w:tcPr>
          <w:p>
            <w:pPr>
              <w:spacing w:after="0" w:line="142" w:lineRule="exact"/>
              <w:rPr>
                <w:rFonts w:ascii="Arial" w:cs="Arial" w:eastAsia="Arial" w:hAnsi="Arial"/>
                <w:sz w:val="16"/>
                <w:szCs w:val="16"/>
                <w:color w:val="auto"/>
              </w:rPr>
            </w:pPr>
            <w:hyperlink r:id="rId326">
              <w:r>
                <w:rPr>
                  <w:rFonts w:ascii="Arial" w:cs="Arial" w:eastAsia="Arial" w:hAnsi="Arial"/>
                  <w:sz w:val="16"/>
                  <w:szCs w:val="16"/>
                  <w:color w:val="auto"/>
                </w:rPr>
                <w:t>herein by reference).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10.19</w:t>
            </w:r>
          </w:p>
        </w:tc>
        <w:tc>
          <w:tcPr>
            <w:tcW w:w="9420" w:type="dxa"/>
            <w:vAlign w:val="bottom"/>
            <w:gridSpan w:val="30"/>
          </w:tcPr>
          <w:p>
            <w:pPr>
              <w:spacing w:after="0"/>
              <w:rPr>
                <w:rFonts w:ascii="Arial" w:cs="Arial" w:eastAsia="Arial" w:hAnsi="Arial"/>
                <w:sz w:val="18"/>
                <w:szCs w:val="18"/>
                <w:color w:val="auto"/>
                <w:w w:val="91"/>
              </w:rPr>
            </w:pPr>
            <w:hyperlink r:id="rId327">
              <w:r>
                <w:rPr>
                  <w:rFonts w:ascii="Arial" w:cs="Arial" w:eastAsia="Arial" w:hAnsi="Arial"/>
                  <w:sz w:val="18"/>
                  <w:szCs w:val="18"/>
                  <w:color w:val="auto"/>
                  <w:w w:val="91"/>
                </w:rPr>
                <w:t>Employment Agreement between the Company and Robert S. Molloy dated as of January 7, 2010 (included as Exhibit 10.2 to the</w:t>
              </w:r>
            </w:hyperlink>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9260" w:type="dxa"/>
            <w:vAlign w:val="bottom"/>
            <w:tcBorders>
              <w:top w:val="single" w:sz="8" w:color="0000EE"/>
              <w:bottom w:val="single" w:sz="8" w:color="0000EE"/>
            </w:tcBorders>
            <w:gridSpan w:val="25"/>
          </w:tcPr>
          <w:p>
            <w:pPr>
              <w:spacing w:after="0" w:line="156" w:lineRule="exact"/>
              <w:rPr>
                <w:rFonts w:ascii="Arial" w:cs="Arial" w:eastAsia="Arial" w:hAnsi="Arial"/>
                <w:sz w:val="18"/>
                <w:szCs w:val="18"/>
                <w:color w:val="auto"/>
                <w:w w:val="91"/>
              </w:rPr>
            </w:pPr>
            <w:hyperlink r:id="rId327">
              <w:r>
                <w:rPr>
                  <w:rFonts w:ascii="Arial" w:cs="Arial" w:eastAsia="Arial" w:hAnsi="Arial"/>
                  <w:sz w:val="18"/>
                  <w:szCs w:val="18"/>
                  <w:color w:val="auto"/>
                  <w:w w:val="91"/>
                </w:rPr>
                <w:t>Company’s Current Report on Form 8-K filed on January 11, 2010 (File No. 001-34219), and incorporated herein by reference).</w:t>
              </w:r>
            </w:hyperlink>
          </w:p>
        </w:tc>
        <w:tc>
          <w:tcPr>
            <w:tcW w:w="12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10.20</w:t>
            </w:r>
          </w:p>
        </w:tc>
        <w:tc>
          <w:tcPr>
            <w:tcW w:w="9420" w:type="dxa"/>
            <w:vAlign w:val="bottom"/>
            <w:gridSpan w:val="30"/>
          </w:tcPr>
          <w:p>
            <w:pPr>
              <w:spacing w:after="0"/>
              <w:rPr>
                <w:rFonts w:ascii="Arial" w:cs="Arial" w:eastAsia="Arial" w:hAnsi="Arial"/>
                <w:sz w:val="18"/>
                <w:szCs w:val="18"/>
                <w:color w:val="auto"/>
                <w:w w:val="92"/>
              </w:rPr>
            </w:pPr>
            <w:hyperlink r:id="rId328">
              <w:r>
                <w:rPr>
                  <w:rFonts w:ascii="Arial" w:cs="Arial" w:eastAsia="Arial" w:hAnsi="Arial"/>
                  <w:sz w:val="18"/>
                  <w:szCs w:val="18"/>
                  <w:color w:val="auto"/>
                  <w:w w:val="92"/>
                </w:rPr>
                <w:t>Employment Agreement between the Company and Francis C. Chane dated as of January 8, 2010 (included as Exhibit 10.34 to</w:t>
              </w:r>
            </w:hyperlink>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EE"/>
            </w:tcBorders>
            <w:gridSpan w:val="23"/>
          </w:tcPr>
          <w:p>
            <w:pPr>
              <w:spacing w:after="0" w:line="156" w:lineRule="exact"/>
              <w:rPr>
                <w:rFonts w:ascii="Arial" w:cs="Arial" w:eastAsia="Arial" w:hAnsi="Arial"/>
                <w:sz w:val="18"/>
                <w:szCs w:val="18"/>
                <w:color w:val="auto"/>
                <w:w w:val="97"/>
              </w:rPr>
            </w:pPr>
            <w:hyperlink r:id="rId328">
              <w:r>
                <w:rPr>
                  <w:rFonts w:ascii="Arial" w:cs="Arial" w:eastAsia="Arial" w:hAnsi="Arial"/>
                  <w:sz w:val="18"/>
                  <w:szCs w:val="18"/>
                  <w:color w:val="auto"/>
                  <w:w w:val="97"/>
                </w:rPr>
                <w:t>the Company’s Annual Report on Form 10-K filed on March 19, 2010 (File No. 001-34219), and incorporated herein by</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EE"/>
            </w:tcBorders>
            <w:gridSpan w:val="11"/>
          </w:tcPr>
          <w:p>
            <w:pPr>
              <w:spacing w:after="0" w:line="156" w:lineRule="exact"/>
              <w:rPr>
                <w:rFonts w:ascii="Arial" w:cs="Arial" w:eastAsia="Arial" w:hAnsi="Arial"/>
                <w:sz w:val="18"/>
                <w:szCs w:val="18"/>
                <w:color w:val="auto"/>
              </w:rPr>
            </w:pPr>
            <w:hyperlink r:id="rId328">
              <w:r>
                <w:rPr>
                  <w:rFonts w:ascii="Arial" w:cs="Arial" w:eastAsia="Arial" w:hAnsi="Arial"/>
                  <w:sz w:val="18"/>
                  <w:szCs w:val="18"/>
                  <w:color w:val="auto"/>
                </w:rPr>
                <w:t>reference).</w:t>
              </w:r>
            </w:hyperlink>
          </w:p>
        </w:tc>
        <w:tc>
          <w:tcPr>
            <w:tcW w:w="3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10.21</w:t>
            </w:r>
          </w:p>
        </w:tc>
        <w:tc>
          <w:tcPr>
            <w:tcW w:w="9420" w:type="dxa"/>
            <w:vAlign w:val="bottom"/>
            <w:gridSpan w:val="30"/>
          </w:tcPr>
          <w:p>
            <w:pPr>
              <w:spacing w:after="0"/>
              <w:rPr>
                <w:rFonts w:ascii="Arial" w:cs="Arial" w:eastAsia="Arial" w:hAnsi="Arial"/>
                <w:sz w:val="18"/>
                <w:szCs w:val="18"/>
                <w:color w:val="auto"/>
                <w:w w:val="93"/>
              </w:rPr>
            </w:pPr>
            <w:hyperlink r:id="rId329">
              <w:r>
                <w:rPr>
                  <w:rFonts w:ascii="Arial" w:cs="Arial" w:eastAsia="Arial" w:hAnsi="Arial"/>
                  <w:sz w:val="18"/>
                  <w:szCs w:val="18"/>
                  <w:color w:val="auto"/>
                  <w:w w:val="93"/>
                </w:rPr>
                <w:t>Employment Agreement between the Company and John F. Cooney dated as of May 17, 2015 (included as Exhibit 10.2 to the</w:t>
              </w:r>
            </w:hyperlink>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EE"/>
            </w:tcBorders>
            <w:gridSpan w:val="17"/>
          </w:tcPr>
          <w:p>
            <w:pPr>
              <w:spacing w:after="0" w:line="156" w:lineRule="exact"/>
              <w:rPr>
                <w:rFonts w:ascii="Arial" w:cs="Arial" w:eastAsia="Arial" w:hAnsi="Arial"/>
                <w:sz w:val="18"/>
                <w:szCs w:val="18"/>
                <w:color w:val="auto"/>
              </w:rPr>
            </w:pPr>
            <w:hyperlink r:id="rId329">
              <w:r>
                <w:rPr>
                  <w:rFonts w:ascii="Arial" w:cs="Arial" w:eastAsia="Arial" w:hAnsi="Arial"/>
                  <w:sz w:val="18"/>
                  <w:szCs w:val="18"/>
                  <w:color w:val="auto"/>
                </w:rPr>
                <w:t>Company’s Quarterly Report on Form 10-Q filed on August 27, 2015, and incorporated herein by reference).</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10.22</w:t>
            </w:r>
          </w:p>
        </w:tc>
        <w:tc>
          <w:tcPr>
            <w:tcW w:w="9420" w:type="dxa"/>
            <w:vAlign w:val="bottom"/>
            <w:gridSpan w:val="30"/>
          </w:tcPr>
          <w:p>
            <w:pPr>
              <w:spacing w:after="0"/>
              <w:rPr>
                <w:rFonts w:ascii="Arial" w:cs="Arial" w:eastAsia="Arial" w:hAnsi="Arial"/>
                <w:sz w:val="18"/>
                <w:szCs w:val="18"/>
                <w:color w:val="auto"/>
                <w:w w:val="91"/>
              </w:rPr>
            </w:pPr>
            <w:hyperlink r:id="rId330">
              <w:r>
                <w:rPr>
                  <w:rFonts w:ascii="Arial" w:cs="Arial" w:eastAsia="Arial" w:hAnsi="Arial"/>
                  <w:sz w:val="18"/>
                  <w:szCs w:val="18"/>
                  <w:color w:val="auto"/>
                  <w:w w:val="91"/>
                </w:rPr>
                <w:t>Employment Agreement between the Company and Anthony J. Gaeta dated as of November 27, 2017 (included as Exhibit 10.41</w:t>
              </w:r>
            </w:hyperlink>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EE"/>
            </w:tcBorders>
            <w:gridSpan w:val="26"/>
          </w:tcPr>
          <w:p>
            <w:pPr>
              <w:spacing w:after="0" w:line="156" w:lineRule="exact"/>
              <w:rPr>
                <w:rFonts w:ascii="Arial" w:cs="Arial" w:eastAsia="Arial" w:hAnsi="Arial"/>
                <w:sz w:val="18"/>
                <w:szCs w:val="18"/>
                <w:color w:val="auto"/>
              </w:rPr>
            </w:pPr>
            <w:hyperlink r:id="rId330">
              <w:r>
                <w:rPr>
                  <w:rFonts w:ascii="Arial" w:cs="Arial" w:eastAsia="Arial" w:hAnsi="Arial"/>
                  <w:sz w:val="18"/>
                  <w:szCs w:val="18"/>
                  <w:color w:val="auto"/>
                </w:rPr>
                <w:t>to the Company’s Annual Report on Form 10-K filed on March 23, 2018, and incorporated herein by reference).</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10.23</w:t>
            </w:r>
          </w:p>
        </w:tc>
        <w:tc>
          <w:tcPr>
            <w:tcW w:w="9420" w:type="dxa"/>
            <w:vAlign w:val="bottom"/>
            <w:gridSpan w:val="30"/>
          </w:tcPr>
          <w:p>
            <w:pPr>
              <w:spacing w:after="0"/>
              <w:rPr>
                <w:rFonts w:ascii="Arial" w:cs="Arial" w:eastAsia="Arial" w:hAnsi="Arial"/>
                <w:sz w:val="18"/>
                <w:szCs w:val="18"/>
                <w:color w:val="auto"/>
                <w:w w:val="93"/>
              </w:rPr>
            </w:pPr>
            <w:hyperlink r:id="rId331">
              <w:r>
                <w:rPr>
                  <w:rFonts w:ascii="Arial" w:cs="Arial" w:eastAsia="Arial" w:hAnsi="Arial"/>
                  <w:sz w:val="18"/>
                  <w:szCs w:val="18"/>
                  <w:color w:val="auto"/>
                  <w:w w:val="93"/>
                </w:rPr>
                <w:t>Employment Agreement between the Company and Allison Surette dated as of May 17, 2018 (included as Exhibit 10.29 to the</w:t>
              </w:r>
            </w:hyperlink>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62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auto"/>
                <w:w w:val="91"/>
              </w:rPr>
            </w:pPr>
            <w:hyperlink r:id="rId331">
              <w:r>
                <w:rPr>
                  <w:rFonts w:ascii="Arial" w:cs="Arial" w:eastAsia="Arial" w:hAnsi="Arial"/>
                  <w:sz w:val="18"/>
                  <w:szCs w:val="18"/>
                  <w:color w:val="auto"/>
                  <w:w w:val="91"/>
                </w:rPr>
                <w:t>Company’s Annual Report on Form 10-K filed on March 19, 2020, and incorporated herein by reference).</w:t>
              </w:r>
            </w:hyperlink>
          </w:p>
        </w:tc>
        <w:tc>
          <w:tcPr>
            <w:tcW w:w="1520" w:type="dxa"/>
            <w:vAlign w:val="bottom"/>
            <w:tcBorders>
              <w:top w:val="single" w:sz="8" w:color="0000EE"/>
            </w:tcBorders>
            <w:gridSpan w:val="14"/>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10.24</w:t>
            </w:r>
          </w:p>
        </w:tc>
        <w:tc>
          <w:tcPr>
            <w:tcW w:w="9420" w:type="dxa"/>
            <w:vAlign w:val="bottom"/>
            <w:gridSpan w:val="30"/>
          </w:tcPr>
          <w:p>
            <w:pPr>
              <w:spacing w:after="0"/>
              <w:rPr>
                <w:rFonts w:ascii="Arial" w:cs="Arial" w:eastAsia="Arial" w:hAnsi="Arial"/>
                <w:sz w:val="18"/>
                <w:szCs w:val="18"/>
                <w:color w:val="auto"/>
                <w:w w:val="93"/>
              </w:rPr>
            </w:pPr>
            <w:hyperlink r:id="rId332">
              <w:r>
                <w:rPr>
                  <w:rFonts w:ascii="Arial" w:cs="Arial" w:eastAsia="Arial" w:hAnsi="Arial"/>
                  <w:sz w:val="18"/>
                  <w:szCs w:val="18"/>
                  <w:color w:val="auto"/>
                  <w:w w:val="93"/>
                </w:rPr>
                <w:t>Employment Agreement between the Company and Ujjwal Dhoot dated as of November 19, 2019 (included as Exhibit 10.30 to</w:t>
              </w:r>
            </w:hyperlink>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88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auto"/>
                <w:w w:val="90"/>
              </w:rPr>
            </w:pPr>
            <w:hyperlink r:id="rId332">
              <w:r>
                <w:rPr>
                  <w:rFonts w:ascii="Arial" w:cs="Arial" w:eastAsia="Arial" w:hAnsi="Arial"/>
                  <w:sz w:val="18"/>
                  <w:szCs w:val="18"/>
                  <w:color w:val="auto"/>
                  <w:w w:val="90"/>
                </w:rPr>
                <w:t>the Company’s Annual Report on Form 10-K filed on March 19, 2020, and incorporated herein by reference).</w:t>
              </w:r>
            </w:hyperlink>
          </w:p>
        </w:tc>
        <w:tc>
          <w:tcPr>
            <w:tcW w:w="1380" w:type="dxa"/>
            <w:vAlign w:val="bottom"/>
            <w:tcBorders>
              <w:top w:val="single" w:sz="8" w:color="0000EE"/>
            </w:tcBorders>
            <w:gridSpan w:val="18"/>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10.25</w:t>
            </w:r>
          </w:p>
        </w:tc>
        <w:tc>
          <w:tcPr>
            <w:tcW w:w="9420" w:type="dxa"/>
            <w:vAlign w:val="bottom"/>
            <w:gridSpan w:val="30"/>
          </w:tcPr>
          <w:p>
            <w:pPr>
              <w:spacing w:after="0"/>
              <w:rPr>
                <w:rFonts w:ascii="Arial" w:cs="Arial" w:eastAsia="Arial" w:hAnsi="Arial"/>
                <w:sz w:val="18"/>
                <w:szCs w:val="18"/>
                <w:color w:val="auto"/>
                <w:w w:val="91"/>
              </w:rPr>
            </w:pPr>
            <w:hyperlink r:id="rId333">
              <w:r>
                <w:rPr>
                  <w:rFonts w:ascii="Arial" w:cs="Arial" w:eastAsia="Arial" w:hAnsi="Arial"/>
                  <w:sz w:val="18"/>
                  <w:szCs w:val="18"/>
                  <w:color w:val="auto"/>
                  <w:w w:val="91"/>
                </w:rPr>
                <w:t>Amended Employment Agreement between the Company and Ujjwal Dhoot dated as of August 2, 2020 (included as Exhibit 10.2</w:t>
              </w:r>
            </w:hyperlink>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300" w:type="dxa"/>
            <w:vAlign w:val="bottom"/>
            <w:tcBorders>
              <w:top w:val="single" w:sz="8" w:color="0000EE"/>
              <w:bottom w:val="single" w:sz="8" w:color="0000EE"/>
            </w:tcBorders>
            <w:gridSpan w:val="9"/>
          </w:tcPr>
          <w:p>
            <w:pPr>
              <w:spacing w:after="0" w:line="142" w:lineRule="exact"/>
              <w:rPr>
                <w:rFonts w:ascii="Arial" w:cs="Arial" w:eastAsia="Arial" w:hAnsi="Arial"/>
                <w:sz w:val="16"/>
                <w:szCs w:val="16"/>
                <w:color w:val="auto"/>
              </w:rPr>
            </w:pPr>
            <w:hyperlink r:id="rId333">
              <w:r>
                <w:rPr>
                  <w:rFonts w:ascii="Arial" w:cs="Arial" w:eastAsia="Arial" w:hAnsi="Arial"/>
                  <w:sz w:val="16"/>
                  <w:szCs w:val="16"/>
                  <w:color w:val="auto"/>
                </w:rPr>
                <w:t>to the Company’s Quarterly Report on Form 10-Q filed on August 27, 2020, and incorporated herein by reference).</w:t>
              </w:r>
            </w:hyperlink>
          </w:p>
        </w:tc>
        <w:tc>
          <w:tcPr>
            <w:tcW w:w="1060" w:type="dxa"/>
            <w:vAlign w:val="bottom"/>
            <w:tcBorders>
              <w:top w:val="single" w:sz="8" w:color="0000EE"/>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10.26</w:t>
            </w:r>
          </w:p>
        </w:tc>
        <w:tc>
          <w:tcPr>
            <w:tcW w:w="9420" w:type="dxa"/>
            <w:vAlign w:val="bottom"/>
            <w:gridSpan w:val="30"/>
          </w:tcPr>
          <w:p>
            <w:pPr>
              <w:spacing w:after="0"/>
              <w:rPr>
                <w:rFonts w:ascii="Arial" w:cs="Arial" w:eastAsia="Arial" w:hAnsi="Arial"/>
                <w:sz w:val="18"/>
                <w:szCs w:val="18"/>
                <w:color w:val="auto"/>
                <w:w w:val="93"/>
              </w:rPr>
            </w:pPr>
            <w:hyperlink r:id="rId334">
              <w:r>
                <w:rPr>
                  <w:rFonts w:ascii="Arial" w:cs="Arial" w:eastAsia="Arial" w:hAnsi="Arial"/>
                  <w:sz w:val="18"/>
                  <w:szCs w:val="18"/>
                  <w:color w:val="auto"/>
                  <w:w w:val="93"/>
                </w:rPr>
                <w:t>Employment Agreement between the Company and Stacey Jones effective February 19, 2021 (included as Exhibit 10.1 to the</w:t>
              </w:r>
            </w:hyperlink>
          </w:p>
        </w:tc>
        <w:tc>
          <w:tcPr>
            <w:tcW w:w="2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tcBorders>
              <w:top w:val="single" w:sz="8" w:color="0000EE"/>
              <w:bottom w:val="single" w:sz="8" w:color="0000EE"/>
            </w:tcBorders>
            <w:gridSpan w:val="5"/>
          </w:tcPr>
          <w:p>
            <w:pPr>
              <w:spacing w:after="0" w:line="142" w:lineRule="exact"/>
              <w:rPr>
                <w:rFonts w:ascii="Arial" w:cs="Arial" w:eastAsia="Arial" w:hAnsi="Arial"/>
                <w:sz w:val="16"/>
                <w:szCs w:val="16"/>
                <w:color w:val="auto"/>
              </w:rPr>
            </w:pPr>
            <w:hyperlink r:id="rId334">
              <w:r>
                <w:rPr>
                  <w:rFonts w:ascii="Arial" w:cs="Arial" w:eastAsia="Arial" w:hAnsi="Arial"/>
                  <w:sz w:val="16"/>
                  <w:szCs w:val="16"/>
                  <w:color w:val="auto"/>
                </w:rPr>
                <w:t>Company's Quarterly Report on Form 10-Q filed on May 27, 2021, and incorporated herein by reference).</w:t>
              </w:r>
            </w:hyperlink>
          </w:p>
        </w:tc>
        <w:tc>
          <w:tcPr>
            <w:tcW w:w="1440" w:type="dxa"/>
            <w:vAlign w:val="bottom"/>
            <w:tcBorders>
              <w:top w:val="single" w:sz="8" w:color="0000EE"/>
            </w:tcBorders>
            <w:gridSpan w:val="11"/>
          </w:tcPr>
          <w:p>
            <w:pPr>
              <w:spacing w:after="0"/>
              <w:rPr>
                <w:sz w:val="13"/>
                <w:szCs w:val="13"/>
                <w:color w:val="auto"/>
              </w:rPr>
            </w:pPr>
          </w:p>
        </w:tc>
        <w:tc>
          <w:tcPr>
            <w:tcW w:w="34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160" w:type="dxa"/>
            <w:vAlign w:val="bottom"/>
          </w:tcPr>
          <w:p>
            <w:pPr>
              <w:spacing w:after="0"/>
              <w:rPr>
                <w:sz w:val="24"/>
                <w:szCs w:val="24"/>
                <w:color w:val="auto"/>
              </w:rPr>
            </w:pPr>
          </w:p>
        </w:tc>
        <w:tc>
          <w:tcPr>
            <w:tcW w:w="7020" w:type="dxa"/>
            <w:vAlign w:val="bottom"/>
            <w:gridSpan w:val="4"/>
          </w:tcPr>
          <w:p>
            <w:pPr>
              <w:ind w:left="438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5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10.27</w:t>
            </w:r>
          </w:p>
        </w:tc>
        <w:tc>
          <w:tcPr>
            <w:tcW w:w="9400" w:type="dxa"/>
            <w:vAlign w:val="bottom"/>
            <w:gridSpan w:val="29"/>
          </w:tcPr>
          <w:p>
            <w:pPr>
              <w:spacing w:after="0"/>
              <w:rPr>
                <w:rFonts w:ascii="Arial" w:cs="Arial" w:eastAsia="Arial" w:hAnsi="Arial"/>
                <w:sz w:val="18"/>
                <w:szCs w:val="18"/>
                <w:color w:val="auto"/>
                <w:w w:val="93"/>
              </w:rPr>
            </w:pPr>
            <w:hyperlink r:id="rId337">
              <w:r>
                <w:rPr>
                  <w:rFonts w:ascii="Arial" w:cs="Arial" w:eastAsia="Arial" w:hAnsi="Arial"/>
                  <w:sz w:val="18"/>
                  <w:szCs w:val="18"/>
                  <w:color w:val="auto"/>
                  <w:w w:val="93"/>
                </w:rPr>
                <w:t>Fourth Amended and Restated Annual Incentive Plan (included as Exhibit 10.1 to the Company’s Current Report on Form 8-K</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34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auto"/>
                <w:w w:val="90"/>
              </w:rPr>
            </w:pPr>
            <w:hyperlink r:id="rId337">
              <w:r>
                <w:rPr>
                  <w:rFonts w:ascii="Arial" w:cs="Arial" w:eastAsia="Arial" w:hAnsi="Arial"/>
                  <w:sz w:val="18"/>
                  <w:szCs w:val="18"/>
                  <w:color w:val="auto"/>
                  <w:w w:val="90"/>
                </w:rPr>
                <w:t>filed on May 6, 2019, and incorporated herein by reference).</w:t>
              </w:r>
            </w:hyperlink>
          </w:p>
        </w:tc>
        <w:tc>
          <w:tcPr>
            <w:tcW w:w="4840" w:type="dxa"/>
            <w:vAlign w:val="bottom"/>
            <w:tcBorders>
              <w:top w:val="single" w:sz="8" w:color="0000EE"/>
            </w:tcBorders>
            <w:gridSpan w:val="13"/>
          </w:tcPr>
          <w:p>
            <w:pPr>
              <w:spacing w:after="0"/>
              <w:rPr>
                <w:sz w:val="13"/>
                <w:szCs w:val="13"/>
                <w:color w:val="auto"/>
              </w:rPr>
            </w:pPr>
          </w:p>
        </w:tc>
        <w:tc>
          <w:tcPr>
            <w:tcW w:w="4294967277"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10.28</w:t>
            </w:r>
          </w:p>
        </w:tc>
        <w:tc>
          <w:tcPr>
            <w:tcW w:w="9400" w:type="dxa"/>
            <w:vAlign w:val="bottom"/>
            <w:gridSpan w:val="29"/>
          </w:tcPr>
          <w:p>
            <w:pPr>
              <w:spacing w:after="0"/>
              <w:rPr>
                <w:rFonts w:ascii="Arial" w:cs="Arial" w:eastAsia="Arial" w:hAnsi="Arial"/>
                <w:sz w:val="18"/>
                <w:szCs w:val="18"/>
                <w:color w:val="auto"/>
                <w:w w:val="91"/>
              </w:rPr>
            </w:pPr>
            <w:hyperlink r:id="rId338">
              <w:r>
                <w:rPr>
                  <w:rFonts w:ascii="Arial" w:cs="Arial" w:eastAsia="Arial" w:hAnsi="Arial"/>
                  <w:sz w:val="18"/>
                  <w:szCs w:val="18"/>
                  <w:color w:val="auto"/>
                  <w:w w:val="91"/>
                </w:rPr>
                <w:t>Second Amended and Restated Long-Term Incentive Plan (included as Exhibit 10.1 to the Company’s Current Report on Form 8-</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9340" w:type="dxa"/>
            <w:vAlign w:val="bottom"/>
            <w:tcBorders>
              <w:top w:val="single" w:sz="8" w:color="0000EE"/>
            </w:tcBorders>
            <w:gridSpan w:val="26"/>
          </w:tcPr>
          <w:p>
            <w:pPr>
              <w:spacing w:after="0" w:line="156" w:lineRule="exact"/>
              <w:rPr>
                <w:rFonts w:ascii="Arial" w:cs="Arial" w:eastAsia="Arial" w:hAnsi="Arial"/>
                <w:sz w:val="18"/>
                <w:szCs w:val="18"/>
                <w:color w:val="auto"/>
              </w:rPr>
            </w:pPr>
            <w:hyperlink r:id="rId338">
              <w:r>
                <w:rPr>
                  <w:rFonts w:ascii="Arial" w:cs="Arial" w:eastAsia="Arial" w:hAnsi="Arial"/>
                  <w:sz w:val="18"/>
                  <w:szCs w:val="18"/>
                  <w:color w:val="auto"/>
                </w:rPr>
                <w:t>K filed on June 22, 2018,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10.29</w:t>
            </w:r>
          </w:p>
        </w:tc>
        <w:tc>
          <w:tcPr>
            <w:tcW w:w="9400" w:type="dxa"/>
            <w:vAlign w:val="bottom"/>
            <w:gridSpan w:val="29"/>
          </w:tcPr>
          <w:p>
            <w:pPr>
              <w:spacing w:after="0"/>
              <w:rPr>
                <w:rFonts w:ascii="Arial" w:cs="Arial" w:eastAsia="Arial" w:hAnsi="Arial"/>
                <w:sz w:val="18"/>
                <w:szCs w:val="18"/>
                <w:color w:val="auto"/>
                <w:w w:val="93"/>
              </w:rPr>
            </w:pPr>
            <w:hyperlink r:id="rId339">
              <w:r>
                <w:rPr>
                  <w:rFonts w:ascii="Arial" w:cs="Arial" w:eastAsia="Arial" w:hAnsi="Arial"/>
                  <w:sz w:val="18"/>
                  <w:szCs w:val="18"/>
                  <w:color w:val="auto"/>
                  <w:w w:val="93"/>
                </w:rPr>
                <w:t>First Amendment to the Second Amended and Restated Long-Term Incentive Plan (included as Exhibit 10.1 to the Company’s</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EE"/>
            </w:tcBorders>
            <w:gridSpan w:val="19"/>
          </w:tcPr>
          <w:p>
            <w:pPr>
              <w:spacing w:after="0" w:line="156" w:lineRule="exact"/>
              <w:rPr>
                <w:rFonts w:ascii="Arial" w:cs="Arial" w:eastAsia="Arial" w:hAnsi="Arial"/>
                <w:sz w:val="18"/>
                <w:szCs w:val="18"/>
                <w:color w:val="auto"/>
              </w:rPr>
            </w:pPr>
            <w:hyperlink r:id="rId339">
              <w:r>
                <w:rPr>
                  <w:rFonts w:ascii="Arial" w:cs="Arial" w:eastAsia="Arial" w:hAnsi="Arial"/>
                  <w:sz w:val="18"/>
                  <w:szCs w:val="18"/>
                  <w:color w:val="auto"/>
                </w:rPr>
                <w:t>Form 10-Q filed on November 30, 2018, and incorporated herein by reference).</w:t>
              </w:r>
            </w:hyperlink>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10.30</w:t>
            </w:r>
          </w:p>
        </w:tc>
        <w:tc>
          <w:tcPr>
            <w:tcW w:w="9400" w:type="dxa"/>
            <w:vAlign w:val="bottom"/>
            <w:gridSpan w:val="29"/>
          </w:tcPr>
          <w:p>
            <w:pPr>
              <w:spacing w:after="0"/>
              <w:rPr>
                <w:rFonts w:ascii="Arial" w:cs="Arial" w:eastAsia="Arial" w:hAnsi="Arial"/>
                <w:sz w:val="18"/>
                <w:szCs w:val="18"/>
                <w:color w:val="auto"/>
                <w:w w:val="91"/>
              </w:rPr>
            </w:pPr>
            <w:hyperlink r:id="rId340">
              <w:r>
                <w:rPr>
                  <w:rFonts w:ascii="Arial" w:cs="Arial" w:eastAsia="Arial" w:hAnsi="Arial"/>
                  <w:sz w:val="18"/>
                  <w:szCs w:val="18"/>
                  <w:color w:val="auto"/>
                  <w:w w:val="91"/>
                </w:rPr>
                <w:t>Third Amended and Restated Long-Term Incentive Plan (included as Exhibit 10.1 to the Company’s Current Report on Form 8-K</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EE"/>
            </w:tcBorders>
            <w:gridSpan w:val="28"/>
          </w:tcPr>
          <w:p>
            <w:pPr>
              <w:spacing w:after="0" w:line="156" w:lineRule="exact"/>
              <w:rPr>
                <w:rFonts w:ascii="Arial" w:cs="Arial" w:eastAsia="Arial" w:hAnsi="Arial"/>
                <w:sz w:val="18"/>
                <w:szCs w:val="18"/>
                <w:color w:val="auto"/>
              </w:rPr>
            </w:pPr>
            <w:hyperlink r:id="rId340">
              <w:r>
                <w:rPr>
                  <w:rFonts w:ascii="Arial" w:cs="Arial" w:eastAsia="Arial" w:hAnsi="Arial"/>
                  <w:sz w:val="18"/>
                  <w:szCs w:val="18"/>
                  <w:color w:val="auto"/>
                </w:rPr>
                <w:t>filed on June 12, 2020, 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10.31</w:t>
            </w:r>
          </w:p>
        </w:tc>
        <w:tc>
          <w:tcPr>
            <w:tcW w:w="9400" w:type="dxa"/>
            <w:vAlign w:val="bottom"/>
            <w:gridSpan w:val="29"/>
          </w:tcPr>
          <w:p>
            <w:pPr>
              <w:spacing w:after="0"/>
              <w:rPr>
                <w:rFonts w:ascii="Arial" w:cs="Arial" w:eastAsia="Arial" w:hAnsi="Arial"/>
                <w:sz w:val="18"/>
                <w:szCs w:val="18"/>
                <w:color w:val="auto"/>
                <w:w w:val="92"/>
              </w:rPr>
            </w:pPr>
            <w:hyperlink r:id="rId341">
              <w:r>
                <w:rPr>
                  <w:rFonts w:ascii="Arial" w:cs="Arial" w:eastAsia="Arial" w:hAnsi="Arial"/>
                  <w:sz w:val="18"/>
                  <w:szCs w:val="18"/>
                  <w:color w:val="auto"/>
                  <w:w w:val="92"/>
                </w:rPr>
                <w:t>Letter Agreement, dated January 29, 2014, by and between the Company and Red Mountain Capital Partners LLC (included as</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EE"/>
            </w:tcBorders>
            <w:gridSpan w:val="22"/>
          </w:tcPr>
          <w:p>
            <w:pPr>
              <w:spacing w:after="0" w:line="156" w:lineRule="exact"/>
              <w:rPr>
                <w:rFonts w:ascii="Arial" w:cs="Arial" w:eastAsia="Arial" w:hAnsi="Arial"/>
                <w:sz w:val="18"/>
                <w:szCs w:val="18"/>
                <w:color w:val="auto"/>
                <w:w w:val="96"/>
              </w:rPr>
            </w:pPr>
            <w:hyperlink r:id="rId341">
              <w:r>
                <w:rPr>
                  <w:rFonts w:ascii="Arial" w:cs="Arial" w:eastAsia="Arial" w:hAnsi="Arial"/>
                  <w:sz w:val="18"/>
                  <w:szCs w:val="18"/>
                  <w:color w:val="auto"/>
                  <w:w w:val="96"/>
                </w:rPr>
                <w:t>Exhibit 10.1 to the Company’s Quarterly Report on Form 10-Q filed on November 17, 2017, and incorporated herein by</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EE"/>
            </w:tcBorders>
            <w:gridSpan w:val="13"/>
          </w:tcPr>
          <w:p>
            <w:pPr>
              <w:spacing w:after="0" w:line="156" w:lineRule="exact"/>
              <w:rPr>
                <w:rFonts w:ascii="Arial" w:cs="Arial" w:eastAsia="Arial" w:hAnsi="Arial"/>
                <w:sz w:val="18"/>
                <w:szCs w:val="18"/>
                <w:color w:val="auto"/>
              </w:rPr>
            </w:pPr>
            <w:hyperlink r:id="rId341">
              <w:r>
                <w:rPr>
                  <w:rFonts w:ascii="Arial" w:cs="Arial" w:eastAsia="Arial" w:hAnsi="Arial"/>
                  <w:sz w:val="18"/>
                  <w:szCs w:val="18"/>
                  <w:color w:val="auto"/>
                </w:rPr>
                <w:t>reference).</w:t>
              </w:r>
            </w:hyperlink>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0"/>
                <w:szCs w:val="20"/>
                <w:color w:val="auto"/>
              </w:rPr>
            </w:pPr>
            <w:r>
              <w:rPr>
                <w:rFonts w:ascii="Arial" w:cs="Arial" w:eastAsia="Arial" w:hAnsi="Arial"/>
                <w:sz w:val="18"/>
                <w:szCs w:val="18"/>
                <w:color w:val="auto"/>
              </w:rPr>
              <w:t>10.32</w:t>
            </w:r>
          </w:p>
        </w:tc>
        <w:tc>
          <w:tcPr>
            <w:tcW w:w="9400" w:type="dxa"/>
            <w:vAlign w:val="bottom"/>
            <w:gridSpan w:val="29"/>
          </w:tcPr>
          <w:p>
            <w:pPr>
              <w:spacing w:after="0"/>
              <w:rPr>
                <w:rFonts w:ascii="Arial" w:cs="Arial" w:eastAsia="Arial" w:hAnsi="Arial"/>
                <w:sz w:val="18"/>
                <w:szCs w:val="18"/>
                <w:color w:val="auto"/>
                <w:w w:val="96"/>
              </w:rPr>
            </w:pPr>
            <w:hyperlink r:id="rId342">
              <w:r>
                <w:rPr>
                  <w:rFonts w:ascii="Arial" w:cs="Arial" w:eastAsia="Arial" w:hAnsi="Arial"/>
                  <w:sz w:val="18"/>
                  <w:szCs w:val="18"/>
                  <w:color w:val="auto"/>
                  <w:w w:val="96"/>
                </w:rPr>
                <w:t>Letter Agreement, dated April 4, 2018, by and between the Company and Red Mountain Capital Partners LLC (included as</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90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auto"/>
                <w:w w:val="89"/>
              </w:rPr>
            </w:pPr>
            <w:hyperlink r:id="rId342">
              <w:r>
                <w:rPr>
                  <w:rFonts w:ascii="Arial" w:cs="Arial" w:eastAsia="Arial" w:hAnsi="Arial"/>
                  <w:sz w:val="18"/>
                  <w:szCs w:val="18"/>
                  <w:color w:val="auto"/>
                  <w:w w:val="89"/>
                </w:rPr>
                <w:t>Exhibit 10.38 to the Company’s Annual Report on Form 10-K filed on March 19, 2020, and incorporated herein by reference)</w:t>
              </w:r>
            </w:hyperlink>
          </w:p>
        </w:tc>
        <w:tc>
          <w:tcPr>
            <w:tcW w:w="80" w:type="dxa"/>
            <w:vAlign w:val="bottom"/>
            <w:tcBorders>
              <w:bottom w:val="single" w:sz="8" w:color="0000EE"/>
            </w:tcBorders>
          </w:tcPr>
          <w:p>
            <w:pPr>
              <w:spacing w:after="0"/>
              <w:rPr>
                <w:sz w:val="13"/>
                <w:szCs w:val="13"/>
                <w:color w:val="auto"/>
              </w:rPr>
            </w:pPr>
          </w:p>
        </w:tc>
        <w:tc>
          <w:tcPr>
            <w:tcW w:w="10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10.33</w:t>
            </w:r>
          </w:p>
        </w:tc>
        <w:tc>
          <w:tcPr>
            <w:tcW w:w="9400" w:type="dxa"/>
            <w:vAlign w:val="bottom"/>
            <w:gridSpan w:val="29"/>
          </w:tcPr>
          <w:p>
            <w:pPr>
              <w:spacing w:after="0"/>
              <w:rPr>
                <w:rFonts w:ascii="Arial" w:cs="Arial" w:eastAsia="Arial" w:hAnsi="Arial"/>
                <w:sz w:val="18"/>
                <w:szCs w:val="18"/>
                <w:color w:val="auto"/>
                <w:w w:val="95"/>
              </w:rPr>
            </w:pPr>
            <w:hyperlink r:id="rId343">
              <w:r>
                <w:rPr>
                  <w:rFonts w:ascii="Arial" w:cs="Arial" w:eastAsia="Arial" w:hAnsi="Arial"/>
                  <w:sz w:val="18"/>
                  <w:szCs w:val="18"/>
                  <w:color w:val="auto"/>
                  <w:w w:val="95"/>
                </w:rPr>
                <w:t>Form of Securities Purchase Agreement (included as Exhibit 10.1 to the Company’s Current Report on Form 8-K/A, filed on</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6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auto"/>
                <w:w w:val="89"/>
              </w:rPr>
            </w:pPr>
            <w:hyperlink r:id="rId343">
              <w:r>
                <w:rPr>
                  <w:rFonts w:ascii="Arial" w:cs="Arial" w:eastAsia="Arial" w:hAnsi="Arial"/>
                  <w:sz w:val="18"/>
                  <w:szCs w:val="18"/>
                  <w:color w:val="auto"/>
                  <w:w w:val="89"/>
                </w:rPr>
                <w:t>February 5, 2021, and incorporated herein by reference).</w:t>
              </w:r>
            </w:hyperlink>
          </w:p>
        </w:tc>
        <w:tc>
          <w:tcPr>
            <w:tcW w:w="4940" w:type="dxa"/>
            <w:vAlign w:val="bottom"/>
            <w:tcBorders>
              <w:top w:val="single" w:sz="8" w:color="0000EE"/>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10.34</w:t>
            </w:r>
          </w:p>
        </w:tc>
        <w:tc>
          <w:tcPr>
            <w:tcW w:w="9400" w:type="dxa"/>
            <w:vAlign w:val="bottom"/>
            <w:gridSpan w:val="29"/>
          </w:tcPr>
          <w:p>
            <w:pPr>
              <w:spacing w:after="0"/>
              <w:rPr>
                <w:rFonts w:ascii="Arial" w:cs="Arial" w:eastAsia="Arial" w:hAnsi="Arial"/>
                <w:sz w:val="18"/>
                <w:szCs w:val="18"/>
                <w:color w:val="auto"/>
                <w:w w:val="94"/>
              </w:rPr>
            </w:pPr>
            <w:hyperlink r:id="rId344">
              <w:r>
                <w:rPr>
                  <w:rFonts w:ascii="Arial" w:cs="Arial" w:eastAsia="Arial" w:hAnsi="Arial"/>
                  <w:sz w:val="18"/>
                  <w:szCs w:val="18"/>
                  <w:color w:val="auto"/>
                  <w:w w:val="94"/>
                </w:rPr>
                <w:t>Placement Agency Agreement, dated February 5, 2021, between the Company and D.A. Davidson &amp; Co. (included as Exhibit</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EE"/>
            </w:tcBorders>
            <w:gridSpan w:val="18"/>
          </w:tcPr>
          <w:p>
            <w:pPr>
              <w:spacing w:after="0" w:line="156" w:lineRule="exact"/>
              <w:rPr>
                <w:rFonts w:ascii="Arial" w:cs="Arial" w:eastAsia="Arial" w:hAnsi="Arial"/>
                <w:sz w:val="18"/>
                <w:szCs w:val="18"/>
                <w:color w:val="auto"/>
                <w:w w:val="95"/>
              </w:rPr>
            </w:pPr>
            <w:hyperlink r:id="rId344">
              <w:r>
                <w:rPr>
                  <w:rFonts w:ascii="Arial" w:cs="Arial" w:eastAsia="Arial" w:hAnsi="Arial"/>
                  <w:sz w:val="18"/>
                  <w:szCs w:val="18"/>
                  <w:color w:val="auto"/>
                  <w:w w:val="95"/>
                </w:rPr>
                <w:t>10.2 to the Company’s Current Report on Form 8-K/A, filed on February 5, 2021, and incorporated herein by reference).</w:t>
              </w:r>
            </w:hyperlink>
          </w:p>
        </w:tc>
        <w:tc>
          <w:tcPr>
            <w:tcW w:w="8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10.35</w:t>
            </w:r>
          </w:p>
        </w:tc>
        <w:tc>
          <w:tcPr>
            <w:tcW w:w="9400" w:type="dxa"/>
            <w:vAlign w:val="bottom"/>
            <w:gridSpan w:val="29"/>
          </w:tcPr>
          <w:p>
            <w:pPr>
              <w:spacing w:after="0"/>
              <w:rPr>
                <w:rFonts w:ascii="Arial" w:cs="Arial" w:eastAsia="Arial" w:hAnsi="Arial"/>
                <w:sz w:val="18"/>
                <w:szCs w:val="18"/>
                <w:color w:val="auto"/>
                <w:w w:val="97"/>
              </w:rPr>
            </w:pPr>
            <w:hyperlink r:id="rId345">
              <w:r>
                <w:rPr>
                  <w:rFonts w:ascii="Arial" w:cs="Arial" w:eastAsia="Arial" w:hAnsi="Arial"/>
                  <w:sz w:val="18"/>
                  <w:szCs w:val="18"/>
                  <w:color w:val="auto"/>
                  <w:w w:val="97"/>
                </w:rPr>
                <w:t>Contribution Agreement dated January 30, 2006 by and among the Company, Spirit SPE Canton, LLC and Spirit Finance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20" w:type="dxa"/>
            <w:vAlign w:val="bottom"/>
            <w:tcBorders>
              <w:right w:val="single" w:sz="8" w:color="0000EE"/>
            </w:tcBorders>
            <w:gridSpan w:val="6"/>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380" w:type="dxa"/>
            <w:vAlign w:val="bottom"/>
            <w:gridSpan w:val="28"/>
          </w:tcPr>
          <w:p>
            <w:pPr>
              <w:spacing w:after="0" w:line="156" w:lineRule="exact"/>
              <w:rPr>
                <w:rFonts w:ascii="Arial" w:cs="Arial" w:eastAsia="Arial" w:hAnsi="Arial"/>
                <w:sz w:val="18"/>
                <w:szCs w:val="18"/>
                <w:color w:val="auto"/>
                <w:w w:val="94"/>
              </w:rPr>
            </w:pPr>
            <w:hyperlink r:id="rId345">
              <w:r>
                <w:rPr>
                  <w:rFonts w:ascii="Arial" w:cs="Arial" w:eastAsia="Arial" w:hAnsi="Arial"/>
                  <w:sz w:val="18"/>
                  <w:szCs w:val="18"/>
                  <w:color w:val="auto"/>
                  <w:w w:val="94"/>
                </w:rPr>
                <w:t>Acquisitions, LLC (included as Exhibit 10.1 to the Company’s Current Report on Form 8-K filed on February 3, 2006 (File No.</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66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auto"/>
                <w:w w:val="89"/>
              </w:rPr>
            </w:pPr>
            <w:hyperlink r:id="rId345">
              <w:r>
                <w:rPr>
                  <w:rFonts w:ascii="Arial" w:cs="Arial" w:eastAsia="Arial" w:hAnsi="Arial"/>
                  <w:sz w:val="18"/>
                  <w:szCs w:val="18"/>
                  <w:color w:val="auto"/>
                  <w:w w:val="89"/>
                </w:rPr>
                <w:t>001-34219), and incorporated herein by reference).</w:t>
              </w:r>
            </w:hyperlink>
          </w:p>
        </w:tc>
        <w:tc>
          <w:tcPr>
            <w:tcW w:w="5580" w:type="dxa"/>
            <w:vAlign w:val="bottom"/>
            <w:tcBorders>
              <w:top w:val="single" w:sz="8" w:color="0000EE"/>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10.36</w:t>
            </w:r>
          </w:p>
        </w:tc>
        <w:tc>
          <w:tcPr>
            <w:tcW w:w="9400" w:type="dxa"/>
            <w:vAlign w:val="bottom"/>
            <w:gridSpan w:val="29"/>
          </w:tcPr>
          <w:p>
            <w:pPr>
              <w:spacing w:after="0"/>
              <w:rPr>
                <w:rFonts w:ascii="Arial" w:cs="Arial" w:eastAsia="Arial" w:hAnsi="Arial"/>
                <w:sz w:val="18"/>
                <w:szCs w:val="18"/>
                <w:color w:val="auto"/>
                <w:w w:val="90"/>
              </w:rPr>
            </w:pPr>
            <w:hyperlink r:id="rId346">
              <w:r>
                <w:rPr>
                  <w:rFonts w:ascii="Arial" w:cs="Arial" w:eastAsia="Arial" w:hAnsi="Arial"/>
                  <w:sz w:val="18"/>
                  <w:szCs w:val="18"/>
                  <w:color w:val="auto"/>
                  <w:w w:val="90"/>
                </w:rPr>
                <w:t>Membership Interest Purchase Agreement dated January 30, 2006 by and between the Company and Spirit Finance Acquisitions,</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EE"/>
            </w:tcBorders>
            <w:gridSpan w:val="26"/>
          </w:tcPr>
          <w:p>
            <w:pPr>
              <w:spacing w:after="0" w:line="156" w:lineRule="exact"/>
              <w:rPr>
                <w:rFonts w:ascii="Arial" w:cs="Arial" w:eastAsia="Arial" w:hAnsi="Arial"/>
                <w:sz w:val="18"/>
                <w:szCs w:val="18"/>
                <w:color w:val="auto"/>
                <w:w w:val="94"/>
              </w:rPr>
            </w:pPr>
            <w:hyperlink r:id="rId346">
              <w:r>
                <w:rPr>
                  <w:rFonts w:ascii="Arial" w:cs="Arial" w:eastAsia="Arial" w:hAnsi="Arial"/>
                  <w:sz w:val="18"/>
                  <w:szCs w:val="18"/>
                  <w:color w:val="auto"/>
                  <w:w w:val="94"/>
                </w:rPr>
                <w:t>LLC (included as Exhibit 10.2 to the Company’s Current Report on Form 8-K filed on February 3, 2006 (File No. 001-34219),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EE"/>
            </w:tcBorders>
            <w:gridSpan w:val="20"/>
          </w:tcPr>
          <w:p>
            <w:pPr>
              <w:spacing w:after="0" w:line="156" w:lineRule="exact"/>
              <w:rPr>
                <w:rFonts w:ascii="Arial" w:cs="Arial" w:eastAsia="Arial" w:hAnsi="Arial"/>
                <w:sz w:val="18"/>
                <w:szCs w:val="18"/>
                <w:color w:val="auto"/>
              </w:rPr>
            </w:pPr>
            <w:hyperlink r:id="rId346">
              <w:r>
                <w:rPr>
                  <w:rFonts w:ascii="Arial" w:cs="Arial" w:eastAsia="Arial" w:hAnsi="Arial"/>
                  <w:sz w:val="18"/>
                  <w:szCs w:val="18"/>
                  <w:color w:val="auto"/>
                </w:rPr>
                <w:t>and incorporated herein by reference).</w:t>
              </w:r>
            </w:hyperlink>
          </w:p>
        </w:tc>
        <w:tc>
          <w:tcPr>
            <w:tcW w:w="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10.37</w:t>
            </w:r>
          </w:p>
        </w:tc>
        <w:tc>
          <w:tcPr>
            <w:tcW w:w="9400" w:type="dxa"/>
            <w:vAlign w:val="bottom"/>
            <w:gridSpan w:val="29"/>
          </w:tcPr>
          <w:p>
            <w:pPr>
              <w:spacing w:after="0"/>
              <w:rPr>
                <w:rFonts w:ascii="Arial" w:cs="Arial" w:eastAsia="Arial" w:hAnsi="Arial"/>
                <w:sz w:val="18"/>
                <w:szCs w:val="18"/>
                <w:color w:val="auto"/>
                <w:w w:val="91"/>
              </w:rPr>
            </w:pPr>
            <w:hyperlink r:id="rId347">
              <w:r>
                <w:rPr>
                  <w:rFonts w:ascii="Arial" w:cs="Arial" w:eastAsia="Arial" w:hAnsi="Arial"/>
                  <w:sz w:val="18"/>
                  <w:szCs w:val="18"/>
                  <w:color w:val="auto"/>
                  <w:w w:val="91"/>
                </w:rPr>
                <w:t>Lease Agreement dated February 1, 2006 by and between the Company and Spirit SPE Canton, LLC (included as Exhibit 10.3 to</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EE"/>
            </w:tcBorders>
            <w:gridSpan w:val="27"/>
          </w:tcPr>
          <w:p>
            <w:pPr>
              <w:spacing w:after="0" w:line="156" w:lineRule="exact"/>
              <w:rPr>
                <w:rFonts w:ascii="Arial" w:cs="Arial" w:eastAsia="Arial" w:hAnsi="Arial"/>
                <w:sz w:val="18"/>
                <w:szCs w:val="18"/>
                <w:color w:val="auto"/>
                <w:w w:val="98"/>
              </w:rPr>
            </w:pPr>
            <w:hyperlink r:id="rId347">
              <w:r>
                <w:rPr>
                  <w:rFonts w:ascii="Arial" w:cs="Arial" w:eastAsia="Arial" w:hAnsi="Arial"/>
                  <w:sz w:val="18"/>
                  <w:szCs w:val="18"/>
                  <w:color w:val="auto"/>
                  <w:w w:val="98"/>
                </w:rPr>
                <w:t>the Company’s Current Report on Form 8-K filed on February 3, 2006 (File No. 001-34219), and incorporated herein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EE"/>
            </w:tcBorders>
            <w:gridSpan w:val="14"/>
          </w:tcPr>
          <w:p>
            <w:pPr>
              <w:spacing w:after="0" w:line="156" w:lineRule="exact"/>
              <w:rPr>
                <w:rFonts w:ascii="Arial" w:cs="Arial" w:eastAsia="Arial" w:hAnsi="Arial"/>
                <w:sz w:val="18"/>
                <w:szCs w:val="18"/>
                <w:color w:val="auto"/>
              </w:rPr>
            </w:pPr>
            <w:hyperlink r:id="rId347">
              <w:r>
                <w:rPr>
                  <w:rFonts w:ascii="Arial" w:cs="Arial" w:eastAsia="Arial" w:hAnsi="Arial"/>
                  <w:sz w:val="18"/>
                  <w:szCs w:val="18"/>
                  <w:color w:val="auto"/>
                </w:rPr>
                <w:t>reference).</w:t>
              </w:r>
            </w:hyperlink>
          </w:p>
        </w:tc>
        <w:tc>
          <w:tcPr>
            <w:tcW w:w="400" w:type="dxa"/>
            <w:vAlign w:val="bottom"/>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40" w:type="dxa"/>
            <w:vAlign w:val="bottom"/>
            <w:vMerge w:val="continue"/>
          </w:tcPr>
          <w:p>
            <w:pPr>
              <w:spacing w:after="0"/>
              <w:rPr>
                <w:sz w:val="24"/>
                <w:szCs w:val="24"/>
                <w:color w:val="auto"/>
              </w:rPr>
            </w:pPr>
          </w:p>
        </w:tc>
        <w:tc>
          <w:tcPr>
            <w:tcW w:w="9400" w:type="dxa"/>
            <w:vAlign w:val="bottom"/>
            <w:gridSpan w:val="29"/>
            <w:vMerge w:val="restart"/>
          </w:tcPr>
          <w:p>
            <w:pPr>
              <w:spacing w:after="0"/>
              <w:rPr>
                <w:rFonts w:ascii="Arial" w:cs="Arial" w:eastAsia="Arial" w:hAnsi="Arial"/>
                <w:sz w:val="18"/>
                <w:szCs w:val="18"/>
                <w:color w:val="auto"/>
              </w:rPr>
            </w:pPr>
            <w:hyperlink w:anchor="page81">
              <w:r>
                <w:rPr>
                  <w:rFonts w:ascii="Arial" w:cs="Arial" w:eastAsia="Arial" w:hAnsi="Arial"/>
                  <w:sz w:val="18"/>
                  <w:szCs w:val="18"/>
                  <w:color w:val="auto"/>
                </w:rPr>
                <w:t>Subsidiaries of the Registrant.</w:t>
              </w:r>
            </w:hyperlink>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9400" w:type="dxa"/>
            <w:vAlign w:val="bottom"/>
            <w:gridSpan w:val="2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vMerge w:val="continue"/>
          </w:tcPr>
          <w:p>
            <w:pPr>
              <w:spacing w:after="0"/>
              <w:rPr>
                <w:sz w:val="24"/>
                <w:szCs w:val="24"/>
                <w:color w:val="auto"/>
              </w:rPr>
            </w:pPr>
          </w:p>
        </w:tc>
        <w:tc>
          <w:tcPr>
            <w:tcW w:w="9400" w:type="dxa"/>
            <w:vAlign w:val="bottom"/>
            <w:gridSpan w:val="29"/>
            <w:vMerge w:val="restart"/>
          </w:tcPr>
          <w:p>
            <w:pPr>
              <w:spacing w:after="0"/>
              <w:rPr>
                <w:rFonts w:ascii="Arial" w:cs="Arial" w:eastAsia="Arial" w:hAnsi="Arial"/>
                <w:sz w:val="18"/>
                <w:szCs w:val="18"/>
                <w:color w:val="auto"/>
              </w:rPr>
            </w:pPr>
            <w:hyperlink w:anchor="page82">
              <w:r>
                <w:rPr>
                  <w:rFonts w:ascii="Arial" w:cs="Arial" w:eastAsia="Arial" w:hAnsi="Arial"/>
                  <w:sz w:val="18"/>
                  <w:szCs w:val="18"/>
                  <w:color w:val="auto"/>
                </w:rPr>
                <w:t>Consent of Independent Registered Public Accounting Firm.</w:t>
              </w:r>
            </w:hyperlink>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9400" w:type="dxa"/>
            <w:vAlign w:val="bottom"/>
            <w:gridSpan w:val="2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vMerge w:val="continue"/>
          </w:tcPr>
          <w:p>
            <w:pPr>
              <w:spacing w:after="0"/>
              <w:rPr>
                <w:sz w:val="24"/>
                <w:szCs w:val="24"/>
                <w:color w:val="auto"/>
              </w:rPr>
            </w:pPr>
          </w:p>
        </w:tc>
        <w:tc>
          <w:tcPr>
            <w:tcW w:w="9400" w:type="dxa"/>
            <w:vAlign w:val="bottom"/>
            <w:gridSpan w:val="29"/>
            <w:vMerge w:val="restart"/>
          </w:tcPr>
          <w:p>
            <w:pPr>
              <w:spacing w:after="0"/>
              <w:rPr>
                <w:rFonts w:ascii="Arial" w:cs="Arial" w:eastAsia="Arial" w:hAnsi="Arial"/>
                <w:sz w:val="18"/>
                <w:szCs w:val="18"/>
                <w:color w:val="auto"/>
                <w:w w:val="93"/>
              </w:rPr>
            </w:pPr>
            <w:hyperlink w:anchor="page83">
              <w:r>
                <w:rPr>
                  <w:rFonts w:ascii="Arial" w:cs="Arial" w:eastAsia="Arial" w:hAnsi="Arial"/>
                  <w:sz w:val="18"/>
                  <w:szCs w:val="18"/>
                  <w:color w:val="auto"/>
                  <w:w w:val="93"/>
                </w:rPr>
                <w:t>Certification of Chief Executive Officer of the Company pursuant to Rule 13a-14(a) under the Securities Exchange Act of 1934.</w:t>
              </w:r>
            </w:hyperlink>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9400" w:type="dxa"/>
            <w:vAlign w:val="bottom"/>
            <w:gridSpan w:val="2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94967277"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40" w:type="dxa"/>
            <w:vAlign w:val="bottom"/>
            <w:vMerge w:val="continue"/>
          </w:tcPr>
          <w:p>
            <w:pPr>
              <w:spacing w:after="0"/>
              <w:rPr>
                <w:sz w:val="24"/>
                <w:szCs w:val="24"/>
                <w:color w:val="auto"/>
              </w:rPr>
            </w:pPr>
          </w:p>
        </w:tc>
        <w:tc>
          <w:tcPr>
            <w:tcW w:w="9400" w:type="dxa"/>
            <w:vAlign w:val="bottom"/>
            <w:gridSpan w:val="29"/>
            <w:vMerge w:val="restart"/>
          </w:tcPr>
          <w:p>
            <w:pPr>
              <w:spacing w:after="0"/>
              <w:rPr>
                <w:rFonts w:ascii="Arial" w:cs="Arial" w:eastAsia="Arial" w:hAnsi="Arial"/>
                <w:sz w:val="18"/>
                <w:szCs w:val="18"/>
                <w:color w:val="auto"/>
                <w:w w:val="93"/>
              </w:rPr>
            </w:pPr>
            <w:hyperlink w:anchor="page84">
              <w:r>
                <w:rPr>
                  <w:rFonts w:ascii="Arial" w:cs="Arial" w:eastAsia="Arial" w:hAnsi="Arial"/>
                  <w:sz w:val="18"/>
                  <w:szCs w:val="18"/>
                  <w:color w:val="auto"/>
                  <w:w w:val="93"/>
                </w:rPr>
                <w:t>Certification of Chief Financial Officer of the Company pursuant to Rule 13a-14(a) under the Securities Exchange Act of 1934.</w:t>
              </w:r>
            </w:hyperlink>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9400" w:type="dxa"/>
            <w:vAlign w:val="bottom"/>
            <w:gridSpan w:val="2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780" w:type="dxa"/>
            <w:vAlign w:val="bottom"/>
            <w:gridSpan w:val="19"/>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9400" w:type="dxa"/>
            <w:vAlign w:val="bottom"/>
            <w:gridSpan w:val="29"/>
          </w:tcPr>
          <w:p>
            <w:pPr>
              <w:spacing w:after="0"/>
              <w:rPr>
                <w:rFonts w:ascii="Arial" w:cs="Arial" w:eastAsia="Arial" w:hAnsi="Arial"/>
                <w:sz w:val="18"/>
                <w:szCs w:val="18"/>
                <w:color w:val="auto"/>
                <w:w w:val="91"/>
              </w:rPr>
            </w:pPr>
            <w:hyperlink w:anchor="page85">
              <w:r>
                <w:rPr>
                  <w:rFonts w:ascii="Arial" w:cs="Arial" w:eastAsia="Arial" w:hAnsi="Arial"/>
                  <w:sz w:val="18"/>
                  <w:szCs w:val="18"/>
                  <w:color w:val="auto"/>
                  <w:w w:val="91"/>
                </w:rPr>
                <w:t>Certification of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40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auto"/>
                <w:w w:val="93"/>
              </w:rPr>
            </w:pPr>
            <w:hyperlink w:anchor="page85">
              <w:r>
                <w:rPr>
                  <w:rFonts w:ascii="Arial" w:cs="Arial" w:eastAsia="Arial" w:hAnsi="Arial"/>
                  <w:sz w:val="18"/>
                  <w:szCs w:val="18"/>
                  <w:color w:val="auto"/>
                  <w:w w:val="93"/>
                </w:rPr>
                <w:t>Oxley Act of 2002.</w:t>
              </w:r>
            </w:hyperlink>
          </w:p>
        </w:tc>
        <w:tc>
          <w:tcPr>
            <w:tcW w:w="7880" w:type="dxa"/>
            <w:vAlign w:val="bottom"/>
            <w:tcBorders>
              <w:top w:val="single" w:sz="8" w:color="0000EE"/>
            </w:tcBorders>
            <w:gridSpan w:val="21"/>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400" w:type="dxa"/>
            <w:vAlign w:val="bottom"/>
            <w:gridSpan w:val="29"/>
          </w:tcPr>
          <w:p>
            <w:pPr>
              <w:spacing w:after="0"/>
              <w:rPr>
                <w:rFonts w:ascii="Arial" w:cs="Arial" w:eastAsia="Arial" w:hAnsi="Arial"/>
                <w:sz w:val="18"/>
                <w:szCs w:val="18"/>
                <w:color w:val="auto"/>
                <w:w w:val="92"/>
              </w:rPr>
            </w:pPr>
            <w:hyperlink w:anchor="page86">
              <w:r>
                <w:rPr>
                  <w:rFonts w:ascii="Arial" w:cs="Arial" w:eastAsia="Arial" w:hAnsi="Arial"/>
                  <w:sz w:val="18"/>
                  <w:szCs w:val="18"/>
                  <w:color w:val="auto"/>
                  <w:w w:val="92"/>
                </w:rPr>
                <w:t>Certification of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9180" w:type="dxa"/>
            <w:vAlign w:val="bottom"/>
            <w:tcBorders>
              <w:top w:val="single" w:sz="8" w:color="0000EE"/>
            </w:tcBorders>
            <w:gridSpan w:val="23"/>
          </w:tcPr>
          <w:p>
            <w:pPr>
              <w:spacing w:after="0" w:line="156" w:lineRule="exact"/>
              <w:rPr>
                <w:rFonts w:ascii="Arial" w:cs="Arial" w:eastAsia="Arial" w:hAnsi="Arial"/>
                <w:sz w:val="18"/>
                <w:szCs w:val="18"/>
                <w:color w:val="auto"/>
              </w:rPr>
            </w:pPr>
            <w:hyperlink w:anchor="page86">
              <w:r>
                <w:rPr>
                  <w:rFonts w:ascii="Arial" w:cs="Arial" w:eastAsia="Arial" w:hAnsi="Arial"/>
                  <w:sz w:val="18"/>
                  <w:szCs w:val="18"/>
                  <w:color w:val="auto"/>
                </w:rPr>
                <w:t>Oxley Act of 2002.</w:t>
              </w:r>
            </w:hyperlink>
          </w:p>
        </w:tc>
        <w:tc>
          <w:tcPr>
            <w:tcW w:w="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top w:val="single" w:sz="8" w:color="0000EE"/>
            </w:tcBorders>
            <w:gridSpan w:val="2"/>
          </w:tcPr>
          <w:p>
            <w:pPr>
              <w:spacing w:after="0"/>
              <w:rPr>
                <w:sz w:val="24"/>
                <w:szCs w:val="24"/>
                <w:color w:val="auto"/>
              </w:rPr>
            </w:pPr>
          </w:p>
        </w:tc>
        <w:tc>
          <w:tcPr>
            <w:tcW w:w="3200" w:type="dxa"/>
            <w:vAlign w:val="bottom"/>
            <w:gridSpan w:val="8"/>
          </w:tcPr>
          <w:p>
            <w:pPr>
              <w:jc w:val="right"/>
              <w:ind w:right="20"/>
              <w:spacing w:after="0"/>
              <w:rPr>
                <w:sz w:val="20"/>
                <w:szCs w:val="20"/>
                <w:color w:val="auto"/>
              </w:rPr>
            </w:pPr>
            <w:r>
              <w:rPr>
                <w:rFonts w:ascii="Arial" w:cs="Arial" w:eastAsia="Arial" w:hAnsi="Arial"/>
                <w:sz w:val="18"/>
                <w:szCs w:val="18"/>
                <w:color w:val="auto"/>
              </w:rPr>
              <w:t>67</w:t>
            </w:r>
          </w:p>
        </w:tc>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520" w:space="380"/>
            <w:col w:w="80"/>
          </w:cols>
          <w:pgMar w:left="340" w:top="230" w:right="579" w:bottom="1440" w:gutter="0" w:footer="0" w:header="0"/>
        </w:sectPr>
      </w:pPr>
    </w:p>
    <w:bookmarkStart w:id="67" w:name="page68"/>
    <w:bookmarkEnd w:id="67"/>
    <w:p>
      <w:pPr>
        <w:ind w:left="1160" w:hanging="1139"/>
        <w:spacing w:after="0" w:line="249"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materials from the Company’s Annual Report on Form 10-K for the year ended January 29, 2022, formatted in Inline XBRL (eXtensible Business Reporting Language): (i) Consolidated Balance Sheets, (ii) Consolidated Statements of Operations, (iii) Consolidated Statements of Changes in Stockholders’ Equity (Deficit), (iv) Consolidated Statements of Comprehensive Income, (v) Consolidated Statements of Cash Flows, and (vi) Notes to Consolidated Financial Statements.</w:t>
      </w:r>
    </w:p>
    <w:p>
      <w:pPr>
        <w:spacing w:after="0" w:line="127" w:lineRule="exact"/>
        <w:rPr>
          <w:sz w:val="20"/>
          <w:szCs w:val="20"/>
          <w:color w:val="auto"/>
        </w:rPr>
      </w:pPr>
    </w:p>
    <w:p>
      <w:pPr>
        <w:ind w:left="1160" w:right="80" w:hanging="1139"/>
        <w:spacing w:after="0" w:line="235"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92" w:lineRule="exact"/>
        <w:rPr>
          <w:sz w:val="20"/>
          <w:szCs w:val="20"/>
          <w:color w:val="auto"/>
        </w:rPr>
      </w:pPr>
    </w:p>
    <w:p>
      <w:pPr>
        <w:ind w:left="360" w:hanging="298"/>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ind w:left="240" w:hanging="232"/>
        <w:spacing w:after="0" w:line="203" w:lineRule="auto"/>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w:t>
      </w:r>
    </w:p>
    <w:p>
      <w:pPr>
        <w:spacing w:after="0"/>
        <w:rPr>
          <w:rFonts w:ascii="Arial" w:cs="Arial" w:eastAsia="Arial" w:hAnsi="Arial"/>
          <w:sz w:val="18"/>
          <w:szCs w:val="18"/>
          <w:color w:val="auto"/>
        </w:rPr>
      </w:pPr>
      <w:r>
        <w:rPr>
          <w:rFonts w:ascii="Arial" w:cs="Arial" w:eastAsia="Arial" w:hAnsi="Arial"/>
          <w:sz w:val="18"/>
          <w:szCs w:val="18"/>
          <w:color w:val="auto"/>
        </w:rPr>
        <w:t>† Denotes management contract or compensatory plan or arrangement.</w:t>
      </w:r>
    </w:p>
    <w:p>
      <w:pPr>
        <w:spacing w:after="0" w:line="209"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200" w:space="720"/>
            <w:col w:w="80"/>
          </w:cols>
          <w:pgMar w:left="320" w:top="247" w:right="57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17, 2022</w:t>
      </w:r>
    </w:p>
    <w:p>
      <w:pPr>
        <w:ind w:left="6660"/>
        <w:spacing w:after="0"/>
        <w:tabs>
          <w:tab w:leader="none" w:pos="8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w:t>
      </w:r>
      <w:r>
        <w:rPr>
          <w:rFonts w:ascii="Arial" w:cs="Arial" w:eastAsia="Arial" w:hAnsi="Arial"/>
          <w:sz w:val="13"/>
          <w:szCs w:val="13"/>
          <w:color w:val="auto"/>
        </w:rPr>
        <w:t>ARVEY</w:t>
      </w:r>
      <w:r>
        <w:rPr>
          <w:rFonts w:ascii="Arial" w:cs="Arial" w:eastAsia="Arial" w:hAnsi="Arial"/>
          <w:sz w:val="18"/>
          <w:szCs w:val="18"/>
          <w:color w:val="auto"/>
        </w:rPr>
        <w:t xml:space="preserve"> S. K</w:t>
      </w:r>
      <w:r>
        <w:rPr>
          <w:rFonts w:ascii="Arial" w:cs="Arial" w:eastAsia="Arial" w:hAnsi="Arial"/>
          <w:sz w:val="13"/>
          <w:szCs w:val="13"/>
          <w:color w:val="auto"/>
        </w:rPr>
        <w:t>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-3175</wp:posOffset>
            </wp:positionV>
            <wp:extent cx="26142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Harvey S. Kanter</w:t>
      </w:r>
    </w:p>
    <w:p>
      <w:pPr>
        <w:jc w:val="center"/>
        <w:ind w:left="71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0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243" w:right="339" w:bottom="1440" w:gutter="0" w:footer="0" w:header="0"/>
        </w:sectPr>
      </w:pPr>
    </w:p>
    <w:p>
      <w:pPr>
        <w:spacing w:after="0" w:line="14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Signatures</w:t>
      </w:r>
    </w:p>
    <w:p>
      <w:pPr>
        <w:spacing w:after="0" w:line="104"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H</w:t>
      </w:r>
      <w:r>
        <w:rPr>
          <w:rFonts w:ascii="Arial" w:cs="Arial" w:eastAsia="Arial" w:hAnsi="Arial"/>
          <w:sz w:val="13"/>
          <w:szCs w:val="13"/>
          <w:color w:val="auto"/>
        </w:rPr>
        <w:t>ARVEY</w:t>
      </w:r>
      <w:r>
        <w:rPr>
          <w:rFonts w:ascii="Arial" w:cs="Arial" w:eastAsia="Arial" w:hAnsi="Arial"/>
          <w:sz w:val="18"/>
          <w:szCs w:val="18"/>
          <w:color w:val="auto"/>
        </w:rPr>
        <w:t xml:space="preserve"> S. K</w:t>
      </w:r>
      <w:r>
        <w:rPr>
          <w:rFonts w:ascii="Arial" w:cs="Arial" w:eastAsia="Arial" w:hAnsi="Arial"/>
          <w:sz w:val="13"/>
          <w:szCs w:val="13"/>
          <w:color w:val="auto"/>
        </w:rPr>
        <w:t>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25374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Harvey S. Kanter</w:t>
      </w:r>
    </w:p>
    <w:p>
      <w:pPr>
        <w:spacing w:after="0" w:line="104"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P</w:t>
      </w:r>
      <w:r>
        <w:rPr>
          <w:rFonts w:ascii="Arial" w:cs="Arial" w:eastAsia="Arial" w:hAnsi="Arial"/>
          <w:sz w:val="12"/>
          <w:szCs w:val="12"/>
          <w:color w:val="auto"/>
        </w:rPr>
        <w:t>ETER</w:t>
      </w:r>
      <w:r>
        <w:rPr>
          <w:rFonts w:ascii="Arial" w:cs="Arial" w:eastAsia="Arial" w:hAnsi="Arial"/>
          <w:sz w:val="17"/>
          <w:szCs w:val="17"/>
          <w:color w:val="auto"/>
        </w:rPr>
        <w:t xml:space="preserve"> H. S</w:t>
      </w:r>
      <w:r>
        <w:rPr>
          <w:rFonts w:ascii="Arial" w:cs="Arial" w:eastAsia="Arial" w:hAnsi="Arial"/>
          <w:sz w:val="12"/>
          <w:szCs w:val="12"/>
          <w:color w:val="auto"/>
        </w:rPr>
        <w:t>TRATTON</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5080</wp:posOffset>
            </wp:positionV>
            <wp:extent cx="25374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Peter H. Stratton, Jr.</w:t>
      </w:r>
    </w:p>
    <w:p>
      <w:pPr>
        <w:spacing w:after="0" w:line="104"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F. C</w:t>
      </w:r>
      <w:r>
        <w:rPr>
          <w:rFonts w:ascii="Arial" w:cs="Arial" w:eastAsia="Arial" w:hAnsi="Arial"/>
          <w:sz w:val="13"/>
          <w:szCs w:val="13"/>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25374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John F. Cooney</w:t>
      </w:r>
    </w:p>
    <w:p>
      <w:pPr>
        <w:spacing w:after="0" w:line="104"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L</w:t>
      </w:r>
      <w:r>
        <w:rPr>
          <w:rFonts w:ascii="Arial" w:cs="Arial" w:eastAsia="Arial" w:hAnsi="Arial"/>
          <w:sz w:val="13"/>
          <w:szCs w:val="13"/>
          <w:color w:val="auto"/>
        </w:rPr>
        <w:t>IONEL</w:t>
      </w:r>
      <w:r>
        <w:rPr>
          <w:rFonts w:ascii="Arial" w:cs="Arial" w:eastAsia="Arial" w:hAnsi="Arial"/>
          <w:sz w:val="18"/>
          <w:szCs w:val="18"/>
          <w:color w:val="auto"/>
        </w:rPr>
        <w:t xml:space="preserve"> F. C</w:t>
      </w:r>
      <w:r>
        <w:rPr>
          <w:rFonts w:ascii="Arial" w:cs="Arial" w:eastAsia="Arial" w:hAnsi="Arial"/>
          <w:sz w:val="13"/>
          <w:szCs w:val="13"/>
          <w:color w:val="auto"/>
        </w:rPr>
        <w:t>ONACHER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25374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Lionel F. Conacher</w:t>
      </w:r>
    </w:p>
    <w:p>
      <w:pPr>
        <w:spacing w:after="0" w:line="25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ARMEN</w:t>
      </w:r>
      <w:r>
        <w:rPr>
          <w:rFonts w:ascii="Arial" w:cs="Arial" w:eastAsia="Arial" w:hAnsi="Arial"/>
          <w:sz w:val="18"/>
          <w:szCs w:val="18"/>
          <w:color w:val="auto"/>
        </w:rPr>
        <w:t xml:space="preserve"> B</w:t>
      </w:r>
      <w:r>
        <w:rPr>
          <w:rFonts w:ascii="Arial" w:cs="Arial" w:eastAsia="Arial" w:hAnsi="Arial"/>
          <w:sz w:val="13"/>
          <w:szCs w:val="13"/>
          <w:color w:val="auto"/>
        </w:rPr>
        <w:t>AUZA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546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ind w:left="1560"/>
        <w:spacing w:after="0"/>
        <w:rPr>
          <w:sz w:val="20"/>
          <w:szCs w:val="20"/>
          <w:color w:val="auto"/>
        </w:rPr>
      </w:pPr>
      <w:r>
        <w:rPr>
          <w:rFonts w:ascii="Arial" w:cs="Arial" w:eastAsia="Arial" w:hAnsi="Arial"/>
          <w:sz w:val="14"/>
          <w:szCs w:val="14"/>
          <w:b w:val="1"/>
          <w:bCs w:val="1"/>
          <w:color w:val="auto"/>
        </w:rPr>
        <w:t>Carmen Bauza</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ind w:left="2360"/>
              <w:spacing w:after="0"/>
              <w:rPr>
                <w:sz w:val="20"/>
                <w:szCs w:val="20"/>
                <w:color w:val="auto"/>
              </w:rPr>
            </w:pPr>
            <w:r>
              <w:rPr>
                <w:rFonts w:ascii="Arial" w:cs="Arial" w:eastAsia="Arial" w:hAnsi="Arial"/>
                <w:sz w:val="14"/>
                <w:szCs w:val="14"/>
                <w:b w:val="1"/>
                <w:bCs w:val="1"/>
                <w:color w:val="auto"/>
              </w:rPr>
              <w:t>Title</w:t>
            </w:r>
          </w:p>
        </w:tc>
        <w:tc>
          <w:tcPr>
            <w:tcW w:w="1240" w:type="dxa"/>
            <w:vAlign w:val="bottom"/>
          </w:tcPr>
          <w:p>
            <w:pPr>
              <w:ind w:left="900"/>
              <w:spacing w:after="0"/>
              <w:rPr>
                <w:sz w:val="20"/>
                <w:szCs w:val="20"/>
                <w:color w:val="auto"/>
              </w:rPr>
            </w:pPr>
            <w:r>
              <w:rPr>
                <w:rFonts w:ascii="Arial" w:cs="Arial" w:eastAsia="Arial" w:hAnsi="Arial"/>
                <w:sz w:val="14"/>
                <w:szCs w:val="14"/>
                <w:b w:val="1"/>
                <w:bCs w:val="1"/>
                <w:color w:val="auto"/>
              </w:rPr>
              <w:t>Date</w:t>
            </w:r>
          </w:p>
        </w:tc>
      </w:tr>
      <w:tr>
        <w:trPr>
          <w:trHeight w:val="309"/>
        </w:trPr>
        <w:tc>
          <w:tcPr>
            <w:tcW w:w="5060" w:type="dxa"/>
            <w:vAlign w:val="bottom"/>
          </w:tcPr>
          <w:p>
            <w:pPr>
              <w:spacing w:after="0"/>
              <w:rPr>
                <w:sz w:val="20"/>
                <w:szCs w:val="20"/>
                <w:color w:val="auto"/>
              </w:rPr>
            </w:pPr>
            <w:r>
              <w:rPr>
                <w:rFonts w:ascii="Arial" w:cs="Arial" w:eastAsia="Arial" w:hAnsi="Arial"/>
                <w:sz w:val="18"/>
                <w:szCs w:val="18"/>
                <w:color w:val="auto"/>
                <w:w w:val="95"/>
              </w:rPr>
              <w:t>President and Chief Executive Officer (Principal Executive Officer)</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17, 2022</w:t>
            </w:r>
          </w:p>
        </w:tc>
      </w:tr>
      <w:tr>
        <w:trPr>
          <w:trHeight w:val="446"/>
        </w:trPr>
        <w:tc>
          <w:tcPr>
            <w:tcW w:w="5060" w:type="dxa"/>
            <w:vAlign w:val="bottom"/>
          </w:tcPr>
          <w:p>
            <w:pPr>
              <w:spacing w:after="0"/>
              <w:rPr>
                <w:sz w:val="20"/>
                <w:szCs w:val="20"/>
                <w:color w:val="auto"/>
              </w:rPr>
            </w:pPr>
            <w:r>
              <w:rPr>
                <w:rFonts w:ascii="Arial" w:cs="Arial" w:eastAsia="Arial" w:hAnsi="Arial"/>
                <w:sz w:val="18"/>
                <w:szCs w:val="18"/>
                <w:color w:val="auto"/>
                <w:w w:val="99"/>
              </w:rPr>
              <w:t>Executive Vice President, Chief Financial Officer and Treasurer</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17, 2022</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240" w:type="dxa"/>
            <w:vAlign w:val="bottom"/>
          </w:tcPr>
          <w:p>
            <w:pPr>
              <w:spacing w:after="0"/>
              <w:rPr>
                <w:sz w:val="20"/>
                <w:szCs w:val="20"/>
                <w:color w:val="auto"/>
              </w:rPr>
            </w:pPr>
          </w:p>
        </w:tc>
      </w:tr>
      <w:tr>
        <w:trPr>
          <w:trHeight w:val="269"/>
        </w:trPr>
        <w:tc>
          <w:tcPr>
            <w:tcW w:w="5060" w:type="dxa"/>
            <w:vAlign w:val="bottom"/>
          </w:tcPr>
          <w:p>
            <w:pPr>
              <w:spacing w:after="0"/>
              <w:rPr>
                <w:sz w:val="20"/>
                <w:szCs w:val="20"/>
                <w:color w:val="auto"/>
              </w:rPr>
            </w:pPr>
            <w:r>
              <w:rPr>
                <w:rFonts w:ascii="Arial" w:cs="Arial" w:eastAsia="Arial" w:hAnsi="Arial"/>
                <w:sz w:val="18"/>
                <w:szCs w:val="18"/>
                <w:color w:val="auto"/>
                <w:w w:val="93"/>
              </w:rPr>
              <w:t>Vice President and Managing Director of Finance, Chief Accounting</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17, 2022</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Officer and Corporate Controller (Principal Accounting Officer)</w:t>
            </w:r>
          </w:p>
        </w:tc>
        <w:tc>
          <w:tcPr>
            <w:tcW w:w="1240" w:type="dxa"/>
            <w:vAlign w:val="bottom"/>
          </w:tcPr>
          <w:p>
            <w:pPr>
              <w:spacing w:after="0"/>
              <w:rPr>
                <w:sz w:val="20"/>
                <w:szCs w:val="20"/>
                <w:color w:val="auto"/>
              </w:rPr>
            </w:pPr>
          </w:p>
        </w:tc>
      </w:tr>
      <w:tr>
        <w:trPr>
          <w:trHeight w:val="323"/>
        </w:trPr>
        <w:tc>
          <w:tcPr>
            <w:tcW w:w="506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17, 2022</w:t>
            </w:r>
          </w:p>
        </w:tc>
      </w:tr>
      <w:tr>
        <w:trPr>
          <w:trHeight w:val="662"/>
        </w:trPr>
        <w:tc>
          <w:tcPr>
            <w:tcW w:w="5060" w:type="dxa"/>
            <w:vAlign w:val="bottom"/>
          </w:tcPr>
          <w:p>
            <w:pPr>
              <w:spacing w:after="0"/>
              <w:rPr>
                <w:sz w:val="20"/>
                <w:szCs w:val="20"/>
                <w:color w:val="auto"/>
              </w:rPr>
            </w:pPr>
            <w:r>
              <w:rPr>
                <w:rFonts w:ascii="Arial" w:cs="Arial" w:eastAsia="Arial" w:hAnsi="Arial"/>
                <w:sz w:val="18"/>
                <w:szCs w:val="18"/>
                <w:color w:val="auto"/>
              </w:rPr>
              <w:t>Director</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17, 2022</w:t>
            </w:r>
          </w:p>
        </w:tc>
      </w:tr>
    </w:tbl>
    <w:p>
      <w:pPr>
        <w:spacing w:after="0" w:line="224" w:lineRule="exact"/>
        <w:rPr>
          <w:sz w:val="20"/>
          <w:szCs w:val="20"/>
          <w:color w:val="auto"/>
        </w:rPr>
      </w:pPr>
    </w:p>
    <w:p>
      <w:pPr>
        <w:sectPr>
          <w:pgSz w:w="11900" w:h="16838" w:orient="portrait"/>
          <w:cols w:equalWidth="0" w:num="2">
            <w:col w:w="3480" w:space="720"/>
            <w:col w:w="7040"/>
          </w:cols>
          <w:pgMar w:left="320" w:top="24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w:t>
            </w:r>
            <w:r>
              <w:rPr>
                <w:rFonts w:ascii="Arial" w:cs="Arial" w:eastAsia="Arial" w:hAnsi="Arial"/>
                <w:sz w:val="13"/>
                <w:szCs w:val="13"/>
                <w:color w:val="auto"/>
                <w:w w:val="96"/>
              </w:rPr>
              <w:t>ACK</w:t>
            </w:r>
            <w:r>
              <w:rPr>
                <w:rFonts w:ascii="Arial" w:cs="Arial" w:eastAsia="Arial" w:hAnsi="Arial"/>
                <w:sz w:val="18"/>
                <w:szCs w:val="18"/>
                <w:color w:val="auto"/>
                <w:w w:val="96"/>
              </w:rPr>
              <w:t xml:space="preserve"> B</w:t>
            </w:r>
            <w:r>
              <w:rPr>
                <w:rFonts w:ascii="Arial" w:cs="Arial" w:eastAsia="Arial" w:hAnsi="Arial"/>
                <w:sz w:val="13"/>
                <w:szCs w:val="13"/>
                <w:color w:val="auto"/>
                <w:w w:val="96"/>
              </w:rPr>
              <w:t>OYLE</w:t>
            </w:r>
          </w:p>
        </w:tc>
        <w:tc>
          <w:tcPr>
            <w:tcW w:w="11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6060" w:type="dxa"/>
            <w:vAlign w:val="bottom"/>
          </w:tcPr>
          <w:p>
            <w:pPr>
              <w:ind w:left="4180"/>
              <w:spacing w:after="0"/>
              <w:rPr>
                <w:sz w:val="20"/>
                <w:szCs w:val="20"/>
                <w:color w:val="auto"/>
              </w:rPr>
            </w:pPr>
            <w:r>
              <w:rPr>
                <w:rFonts w:ascii="Arial" w:cs="Arial" w:eastAsia="Arial" w:hAnsi="Arial"/>
                <w:sz w:val="18"/>
                <w:szCs w:val="18"/>
                <w:color w:val="auto"/>
              </w:rPr>
              <w:t>March 17, 2022</w:t>
            </w:r>
          </w:p>
        </w:tc>
      </w:tr>
      <w:tr>
        <w:trPr>
          <w:trHeight w:val="198"/>
        </w:trPr>
        <w:tc>
          <w:tcPr>
            <w:tcW w:w="2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2"/>
              </w:rPr>
              <w:t>Jack Boyle</w:t>
            </w:r>
          </w:p>
        </w:tc>
        <w:tc>
          <w:tcPr>
            <w:tcW w:w="1160" w:type="dxa"/>
            <w:vAlign w:val="bottom"/>
          </w:tcPr>
          <w:p>
            <w:pPr>
              <w:spacing w:after="0"/>
              <w:rPr>
                <w:sz w:val="17"/>
                <w:szCs w:val="17"/>
                <w:color w:val="auto"/>
              </w:rPr>
            </w:pPr>
          </w:p>
        </w:tc>
        <w:tc>
          <w:tcPr>
            <w:tcW w:w="6060" w:type="dxa"/>
            <w:vAlign w:val="bottom"/>
          </w:tcPr>
          <w:p>
            <w:pPr>
              <w:spacing w:after="0"/>
              <w:rPr>
                <w:sz w:val="17"/>
                <w:szCs w:val="17"/>
                <w:color w:val="auto"/>
              </w:rPr>
            </w:pPr>
          </w:p>
        </w:tc>
      </w:tr>
      <w:tr>
        <w:trPr>
          <w:trHeight w:val="282"/>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w:t>
            </w:r>
            <w:r>
              <w:rPr>
                <w:rFonts w:ascii="Arial" w:cs="Arial" w:eastAsia="Arial" w:hAnsi="Arial"/>
                <w:sz w:val="13"/>
                <w:szCs w:val="13"/>
                <w:color w:val="auto"/>
                <w:w w:val="99"/>
              </w:rPr>
              <w:t>ILLEM</w:t>
            </w:r>
            <w:r>
              <w:rPr>
                <w:rFonts w:ascii="Arial" w:cs="Arial" w:eastAsia="Arial" w:hAnsi="Arial"/>
                <w:sz w:val="18"/>
                <w:szCs w:val="18"/>
                <w:color w:val="auto"/>
                <w:w w:val="99"/>
              </w:rPr>
              <w:t xml:space="preserve"> M</w:t>
            </w:r>
            <w:r>
              <w:rPr>
                <w:rFonts w:ascii="Arial" w:cs="Arial" w:eastAsia="Arial" w:hAnsi="Arial"/>
                <w:sz w:val="13"/>
                <w:szCs w:val="13"/>
                <w:color w:val="auto"/>
                <w:w w:val="99"/>
              </w:rPr>
              <w:t>ESDAG</w:t>
            </w:r>
          </w:p>
        </w:tc>
        <w:tc>
          <w:tcPr>
            <w:tcW w:w="11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6060" w:type="dxa"/>
            <w:vAlign w:val="bottom"/>
          </w:tcPr>
          <w:p>
            <w:pPr>
              <w:ind w:left="4180"/>
              <w:spacing w:after="0"/>
              <w:rPr>
                <w:sz w:val="20"/>
                <w:szCs w:val="20"/>
                <w:color w:val="auto"/>
              </w:rPr>
            </w:pPr>
            <w:r>
              <w:rPr>
                <w:rFonts w:ascii="Arial" w:cs="Arial" w:eastAsia="Arial" w:hAnsi="Arial"/>
                <w:sz w:val="18"/>
                <w:szCs w:val="18"/>
                <w:color w:val="auto"/>
              </w:rPr>
              <w:t>March 17, 2022</w:t>
            </w:r>
          </w:p>
        </w:tc>
      </w:tr>
      <w:tr>
        <w:trPr>
          <w:trHeight w:val="198"/>
        </w:trPr>
        <w:tc>
          <w:tcPr>
            <w:tcW w:w="2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4"/>
              </w:rPr>
              <w:t>Willem Mesdag</w:t>
            </w:r>
          </w:p>
        </w:tc>
        <w:tc>
          <w:tcPr>
            <w:tcW w:w="1160" w:type="dxa"/>
            <w:vAlign w:val="bottom"/>
          </w:tcPr>
          <w:p>
            <w:pPr>
              <w:spacing w:after="0"/>
              <w:rPr>
                <w:sz w:val="17"/>
                <w:szCs w:val="17"/>
                <w:color w:val="auto"/>
              </w:rPr>
            </w:pPr>
          </w:p>
        </w:tc>
        <w:tc>
          <w:tcPr>
            <w:tcW w:w="6060" w:type="dxa"/>
            <w:vAlign w:val="bottom"/>
          </w:tcPr>
          <w:p>
            <w:pPr>
              <w:spacing w:after="0"/>
              <w:rPr>
                <w:sz w:val="17"/>
                <w:szCs w:val="17"/>
                <w:color w:val="auto"/>
              </w:rPr>
            </w:pPr>
          </w:p>
        </w:tc>
      </w:tr>
      <w:tr>
        <w:trPr>
          <w:trHeight w:val="282"/>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I</w:t>
            </w:r>
            <w:r>
              <w:rPr>
                <w:rFonts w:ascii="Arial" w:cs="Arial" w:eastAsia="Arial" w:hAnsi="Arial"/>
                <w:sz w:val="13"/>
                <w:szCs w:val="13"/>
                <w:color w:val="auto"/>
                <w:w w:val="95"/>
              </w:rPr>
              <w:t>VY</w:t>
            </w:r>
            <w:r>
              <w:rPr>
                <w:rFonts w:ascii="Arial" w:cs="Arial" w:eastAsia="Arial" w:hAnsi="Arial"/>
                <w:sz w:val="18"/>
                <w:szCs w:val="18"/>
                <w:color w:val="auto"/>
                <w:w w:val="95"/>
              </w:rPr>
              <w:t xml:space="preserve"> R</w:t>
            </w:r>
            <w:r>
              <w:rPr>
                <w:rFonts w:ascii="Arial" w:cs="Arial" w:eastAsia="Arial" w:hAnsi="Arial"/>
                <w:sz w:val="13"/>
                <w:szCs w:val="13"/>
                <w:color w:val="auto"/>
                <w:w w:val="95"/>
              </w:rPr>
              <w:t>OSS</w:t>
            </w:r>
          </w:p>
        </w:tc>
        <w:tc>
          <w:tcPr>
            <w:tcW w:w="11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6060" w:type="dxa"/>
            <w:vAlign w:val="bottom"/>
          </w:tcPr>
          <w:p>
            <w:pPr>
              <w:ind w:left="4180"/>
              <w:spacing w:after="0"/>
              <w:rPr>
                <w:sz w:val="20"/>
                <w:szCs w:val="20"/>
                <w:color w:val="auto"/>
              </w:rPr>
            </w:pPr>
            <w:r>
              <w:rPr>
                <w:rFonts w:ascii="Arial" w:cs="Arial" w:eastAsia="Arial" w:hAnsi="Arial"/>
                <w:sz w:val="18"/>
                <w:szCs w:val="18"/>
                <w:color w:val="auto"/>
              </w:rPr>
              <w:t>March 17, 2022</w:t>
            </w:r>
          </w:p>
        </w:tc>
      </w:tr>
      <w:tr>
        <w:trPr>
          <w:trHeight w:val="198"/>
        </w:trPr>
        <w:tc>
          <w:tcPr>
            <w:tcW w:w="2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0"/>
              </w:rPr>
              <w:t>Ivy Ross</w:t>
            </w:r>
          </w:p>
        </w:tc>
        <w:tc>
          <w:tcPr>
            <w:tcW w:w="1160" w:type="dxa"/>
            <w:vAlign w:val="bottom"/>
          </w:tcPr>
          <w:p>
            <w:pPr>
              <w:spacing w:after="0"/>
              <w:rPr>
                <w:sz w:val="17"/>
                <w:szCs w:val="17"/>
                <w:color w:val="auto"/>
              </w:rPr>
            </w:pPr>
          </w:p>
        </w:tc>
        <w:tc>
          <w:tcPr>
            <w:tcW w:w="6060" w:type="dxa"/>
            <w:vAlign w:val="bottom"/>
          </w:tcPr>
          <w:p>
            <w:pPr>
              <w:spacing w:after="0"/>
              <w:rPr>
                <w:sz w:val="17"/>
                <w:szCs w:val="17"/>
                <w:color w:val="auto"/>
              </w:rPr>
            </w:pPr>
          </w:p>
        </w:tc>
      </w:tr>
      <w:tr>
        <w:trPr>
          <w:trHeight w:val="282"/>
        </w:trPr>
        <w:tc>
          <w:tcPr>
            <w:tcW w:w="20" w:type="dxa"/>
            <w:vAlign w:val="bottom"/>
          </w:tcPr>
          <w:p>
            <w:pPr>
              <w:spacing w:after="0"/>
              <w:rPr>
                <w:sz w:val="24"/>
                <w:szCs w:val="24"/>
                <w:color w:val="auto"/>
              </w:rPr>
            </w:pPr>
          </w:p>
        </w:tc>
        <w:tc>
          <w:tcPr>
            <w:tcW w:w="40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 E</w:t>
            </w:r>
            <w:r>
              <w:rPr>
                <w:rFonts w:ascii="Arial" w:cs="Arial" w:eastAsia="Arial" w:hAnsi="Arial"/>
                <w:sz w:val="13"/>
                <w:szCs w:val="13"/>
                <w:color w:val="auto"/>
              </w:rPr>
              <w:t>LAINE</w:t>
            </w:r>
            <w:r>
              <w:rPr>
                <w:rFonts w:ascii="Arial" w:cs="Arial" w:eastAsia="Arial" w:hAnsi="Arial"/>
                <w:sz w:val="18"/>
                <w:szCs w:val="18"/>
                <w:color w:val="auto"/>
              </w:rPr>
              <w:t xml:space="preserve"> R</w:t>
            </w:r>
            <w:r>
              <w:rPr>
                <w:rFonts w:ascii="Arial" w:cs="Arial" w:eastAsia="Arial" w:hAnsi="Arial"/>
                <w:sz w:val="13"/>
                <w:szCs w:val="13"/>
                <w:color w:val="auto"/>
              </w:rPr>
              <w:t>UBIN</w:t>
            </w:r>
          </w:p>
        </w:tc>
        <w:tc>
          <w:tcPr>
            <w:tcW w:w="11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6060" w:type="dxa"/>
            <w:vAlign w:val="bottom"/>
          </w:tcPr>
          <w:p>
            <w:pPr>
              <w:ind w:left="4180"/>
              <w:spacing w:after="0"/>
              <w:rPr>
                <w:sz w:val="20"/>
                <w:szCs w:val="20"/>
                <w:color w:val="auto"/>
              </w:rPr>
            </w:pPr>
            <w:r>
              <w:rPr>
                <w:rFonts w:ascii="Arial" w:cs="Arial" w:eastAsia="Arial" w:hAnsi="Arial"/>
                <w:sz w:val="18"/>
                <w:szCs w:val="18"/>
                <w:color w:val="auto"/>
              </w:rPr>
              <w:t>March 17, 2022</w:t>
            </w:r>
          </w:p>
        </w:tc>
      </w:tr>
      <w:tr>
        <w:trPr>
          <w:trHeight w:val="198"/>
        </w:trPr>
        <w:tc>
          <w:tcPr>
            <w:tcW w:w="2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4"/>
              </w:rPr>
              <w:t>Elaine Rubin</w:t>
            </w:r>
          </w:p>
        </w:tc>
        <w:tc>
          <w:tcPr>
            <w:tcW w:w="1160" w:type="dxa"/>
            <w:vAlign w:val="bottom"/>
          </w:tcPr>
          <w:p>
            <w:pPr>
              <w:spacing w:after="0"/>
              <w:rPr>
                <w:sz w:val="17"/>
                <w:szCs w:val="17"/>
                <w:color w:val="auto"/>
              </w:rPr>
            </w:pPr>
          </w:p>
        </w:tc>
        <w:tc>
          <w:tcPr>
            <w:tcW w:w="6060" w:type="dxa"/>
            <w:vAlign w:val="bottom"/>
          </w:tcPr>
          <w:p>
            <w:pPr>
              <w:spacing w:after="0"/>
              <w:rPr>
                <w:sz w:val="17"/>
                <w:szCs w:val="17"/>
                <w:color w:val="auto"/>
              </w:rPr>
            </w:pPr>
          </w:p>
        </w:tc>
      </w:tr>
      <w:tr>
        <w:trPr>
          <w:trHeight w:val="660"/>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69</w:t>
            </w:r>
          </w:p>
        </w:tc>
      </w:tr>
      <w:tr>
        <w:trPr>
          <w:trHeight w:val="101"/>
        </w:trPr>
        <w:tc>
          <w:tcPr>
            <w:tcW w:w="2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4.1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3" w:lineRule="exact"/>
        <w:rPr>
          <w:sz w:val="20"/>
          <w:szCs w:val="20"/>
          <w:color w:val="auto"/>
        </w:rPr>
      </w:pPr>
    </w:p>
    <w:p>
      <w:pPr>
        <w:ind w:right="500" w:firstLine="749"/>
        <w:spacing w:after="0" w:line="261" w:lineRule="auto"/>
        <w:rPr>
          <w:sz w:val="20"/>
          <w:szCs w:val="20"/>
          <w:color w:val="auto"/>
        </w:rPr>
      </w:pPr>
      <w:r>
        <w:rPr>
          <w:rFonts w:ascii="Arial" w:cs="Arial" w:eastAsia="Arial" w:hAnsi="Arial"/>
          <w:sz w:val="18"/>
          <w:szCs w:val="18"/>
          <w:color w:val="auto"/>
        </w:rPr>
        <w:t>Destination XL Group, Inc. (the “Company,” “us,” “we,” or “our”) currently have one class of securities registered under Section 12 of the Securities Exchange Act of 1934, as amended, our common stock.</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Description of Common Stock</w:t>
      </w:r>
    </w:p>
    <w:p>
      <w:pPr>
        <w:spacing w:after="0" w:line="81"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The following description of our common stock is not complete. You should refer to the applicable provisions of our Restated Certificate of Incorporation (“Charter”) and our Fourth Amended and Restated By-Laws (“By-Laws”), each of which are incorporated by reference as an exhibit to the Annual Report on Form 10-K of which this Exhibit 4.1 is a part. We encourage you read our Charter, our By-Laws and the applicable provisions of the Delaware General Corporation Law for additional information.</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currently authorized to issue up to 125,000,000 shares of common stock, par value $0.01 per share.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7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Subject to the prior rights of any series of preferred stock, which may from time to time be outstanding, the holders of our common stock are entitled to receive such dividends, if any, as may be declared from time to time by our board of directors out of legally available funds.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77"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Each holder of our common stock is entitled to one vote per share on all matters submitted to a vote of stockholders. Generally, a matter submitted for stockholder action shall be approved if the votes cast “for” the matter exceed the votes cast “against” such matter, unless a greater or different vote is required by statute, any applicable law or regulation, or our Charter or By-Laws. Other than in a contested election where directors are elected by a plurality vote, a director nominee shall be elected to the board by the majority of the votes properly cast at a meeting of stockholders at which a quorum is present.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77"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Alienability of Common Stock</w:t>
      </w:r>
    </w:p>
    <w:p>
      <w:pPr>
        <w:spacing w:after="0" w:line="77" w:lineRule="exact"/>
        <w:rPr>
          <w:sz w:val="20"/>
          <w:szCs w:val="20"/>
          <w:color w:val="auto"/>
        </w:rPr>
      </w:pPr>
    </w:p>
    <w:p>
      <w:pPr>
        <w:ind w:right="100" w:firstLine="569"/>
        <w:spacing w:after="0" w:line="239" w:lineRule="auto"/>
        <w:rPr>
          <w:sz w:val="20"/>
          <w:szCs w:val="20"/>
          <w:color w:val="auto"/>
        </w:rPr>
      </w:pPr>
      <w:r>
        <w:rPr>
          <w:rFonts w:ascii="Arial" w:cs="Arial" w:eastAsia="Arial" w:hAnsi="Arial"/>
          <w:sz w:val="18"/>
          <w:szCs w:val="18"/>
          <w:color w:val="auto"/>
        </w:rPr>
        <w:t>Our Charter contains provisions that generally restrict any person or entity from attempting to purchase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By requiring prior permission from the board of directors, this restriction attempts to prevent certain future transfers of our capital stock that could adversely affect our ability to utilize our net operating loss carryforwards to reduce our federal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Provisions of our Charter and By-Laws That May Have Anti-Takeover Effects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Special Meetings of Stockholders</w:t>
      </w:r>
    </w:p>
    <w:p>
      <w:pPr>
        <w:spacing w:after="0" w:line="77"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Our By-Laws provide that, except as otherwise required by law and subject to the rights, if any, of the holders of any series of preferred stock, only our board of directors may call a special meeting of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Advance Notice of Director Nominations and Stockholder Proposals</w:t>
      </w:r>
    </w:p>
    <w:p>
      <w:pPr>
        <w:spacing w:after="0" w:line="77"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Our By-Laws include advance notice and informational requirements and time limitations on any director nomination or any new proposal, which a stockholder wishes to make at an annual meeting of stockholders. Generally, a stockholder’s notice of a director nomination or proposal will be timely if delivered to our corporate secretary at our principal executive offices not later than the close of business on the 90th day nor earlier than the close of business on the 120th day prior to the first anniversary of the preceding year’s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Blank Check Preferred Stock</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have shares of preferred stock available for future issuance without stockholder approval, except to the extent holders of preferred stock have a consent right under the terms of their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the Company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color w:val="auto"/>
        </w:rPr>
        <w:t>Exhibit 10.11</w:t>
      </w:r>
    </w:p>
    <w:p>
      <w:pPr>
        <w:jc w:val="center"/>
        <w:spacing w:after="0" w:line="238" w:lineRule="auto"/>
        <w:rPr>
          <w:sz w:val="20"/>
          <w:szCs w:val="20"/>
          <w:color w:val="auto"/>
        </w:rPr>
      </w:pPr>
      <w:r>
        <w:rPr>
          <w:rFonts w:ascii="Arial" w:cs="Arial" w:eastAsia="Arial" w:hAnsi="Arial"/>
          <w:sz w:val="22"/>
          <w:szCs w:val="22"/>
          <w:u w:val="single" w:color="auto"/>
          <w:color w:val="auto"/>
        </w:rPr>
        <w:t>DESTINATION XL GROUP, INC.</w:t>
      </w:r>
    </w:p>
    <w:p>
      <w:pPr>
        <w:jc w:val="center"/>
        <w:spacing w:after="0" w:line="231" w:lineRule="auto"/>
        <w:rPr>
          <w:sz w:val="20"/>
          <w:szCs w:val="20"/>
          <w:color w:val="auto"/>
        </w:rPr>
      </w:pPr>
      <w:r>
        <w:rPr>
          <w:rFonts w:ascii="Arial" w:cs="Arial" w:eastAsia="Arial" w:hAnsi="Arial"/>
          <w:sz w:val="22"/>
          <w:szCs w:val="22"/>
          <w:u w:val="single" w:color="auto"/>
          <w:color w:val="auto"/>
        </w:rPr>
        <w:t>SIXTH AMENDED AND RESTATED</w:t>
      </w:r>
    </w:p>
    <w:p>
      <w:pPr>
        <w:jc w:val="center"/>
        <w:spacing w:after="0"/>
        <w:rPr>
          <w:sz w:val="20"/>
          <w:szCs w:val="20"/>
          <w:color w:val="auto"/>
        </w:rPr>
      </w:pPr>
      <w:r>
        <w:rPr>
          <w:rFonts w:ascii="Arial" w:cs="Arial" w:eastAsia="Arial" w:hAnsi="Arial"/>
          <w:sz w:val="22"/>
          <w:szCs w:val="22"/>
          <w:u w:val="single" w:color="auto"/>
          <w:color w:val="auto"/>
        </w:rPr>
        <w:t>NON-EMPLOYEE DIRECTOR COMPENSATION PLAN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 Establishment and Purpose.</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Destination XL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hereby amends and restates the Destination XL Group, Inc. Fifth Amended and Restated Non-Employee Director Compensation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for the purpose of supporting the Company’s ongoing efforts to attract and retain exceptional directors to provide strategic guidance to the Company. The Plan provides a convenient method by which Non-Employee Directors may acquire shares of Common Stock of the Company (“</w:t>
      </w:r>
      <w:r>
        <w:rPr>
          <w:rFonts w:ascii="Arial" w:cs="Arial" w:eastAsia="Arial" w:hAnsi="Arial"/>
          <w:sz w:val="19"/>
          <w:szCs w:val="19"/>
          <w:u w:val="single" w:color="auto"/>
          <w:color w:val="auto"/>
        </w:rPr>
        <w:t>Shares</w:t>
      </w:r>
      <w:r>
        <w:rPr>
          <w:rFonts w:ascii="Arial" w:cs="Arial" w:eastAsia="Arial" w:hAnsi="Arial"/>
          <w:sz w:val="19"/>
          <w:szCs w:val="19"/>
          <w:color w:val="auto"/>
        </w:rPr>
        <w:t>”) at fair market value by voluntarily electing to receive Shares in lieu of fees otherwise payable to them in cash for service as a director or member of a committee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The Plan also provides for share ownership guidelines for Non-Employee Directors. Until a Participant has met the ownership guidelines as set forth in the Plan, the Participant is required to receive a specified percentage of the Participant’s compensation hereunder in Shares (as defined below “</w:t>
      </w:r>
      <w:r>
        <w:rPr>
          <w:rFonts w:ascii="Arial" w:cs="Arial" w:eastAsia="Arial" w:hAnsi="Arial"/>
          <w:sz w:val="19"/>
          <w:szCs w:val="19"/>
          <w:u w:val="single" w:color="auto"/>
          <w:color w:val="auto"/>
        </w:rPr>
        <w:t>Required Shares</w:t>
      </w:r>
      <w:r>
        <w:rPr>
          <w:rFonts w:ascii="Arial" w:cs="Arial" w:eastAsia="Arial" w:hAnsi="Arial"/>
          <w:sz w:val="19"/>
          <w:szCs w:val="19"/>
          <w:color w:val="auto"/>
        </w:rPr>
        <w:t>”). Any Shares a Participant acquires pursuant to this Plan in the form of Required Shares shall come from the Incentive Compensation Plan. In addition, each Participant, at his/her discretion, will be able to elect to receive Shares for any remaining portion of compensation hereunder (“</w:t>
      </w:r>
      <w:r>
        <w:rPr>
          <w:rFonts w:ascii="Arial" w:cs="Arial" w:eastAsia="Arial" w:hAnsi="Arial"/>
          <w:sz w:val="19"/>
          <w:szCs w:val="19"/>
          <w:u w:val="single" w:color="auto"/>
          <w:color w:val="auto"/>
        </w:rPr>
        <w:t>Discretionary Shares</w:t>
      </w:r>
      <w:r>
        <w:rPr>
          <w:rFonts w:ascii="Arial" w:cs="Arial" w:eastAsia="Arial" w:hAnsi="Arial"/>
          <w:sz w:val="19"/>
          <w:szCs w:val="19"/>
          <w:color w:val="auto"/>
        </w:rPr>
        <w:t>”). Any Shares a Participant acquires pursuant to this Plan in the form of Discretionary Shares shall come from the Shares reserved for issuance under Section 4 of this Plan, subject to adjustment as the Board may from time to time determine, and not from the Incentive Compensation Plan. The Plan shall be effective as of December 15, 2021 (the “Effective Date”). Elections for fiscal 2022 and thereafter must be submitted to the Company in accordance with Section 3(c) no later than December 31 of the year preceding the fiscal year for which the election is to be effective.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 Definitions.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When used herein, the following capitalized terms shall have the meanings assigned to them, unless the context clearly indicates otherwise. Capitalized terms used herein and not defined shall have the meanings assigned to them in the Incentive Compensation Plan.</w:t>
      </w:r>
    </w:p>
    <w:p>
      <w:pPr>
        <w:spacing w:after="0" w:line="186" w:lineRule="exact"/>
        <w:rPr>
          <w:sz w:val="20"/>
          <w:szCs w:val="20"/>
          <w:color w:val="auto"/>
        </w:rPr>
      </w:pPr>
    </w:p>
    <w:p>
      <w:pPr>
        <w:jc w:val="both"/>
        <w:ind w:left="760" w:hanging="752"/>
        <w:spacing w:after="0" w:line="275" w:lineRule="auto"/>
        <w:tabs>
          <w:tab w:leader="none" w:pos="7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Chair/Lead Director</w:t>
      </w:r>
      <w:r>
        <w:rPr>
          <w:rFonts w:ascii="Arial" w:cs="Arial" w:eastAsia="Arial" w:hAnsi="Arial"/>
          <w:sz w:val="19"/>
          <w:szCs w:val="19"/>
          <w:color w:val="auto"/>
        </w:rPr>
        <w:t>” means an independent director whose responsibilities, if the Board Chair, shall be as set forth for the Chairman of the Board in the Company’s By-laws, and, if the Lead Director, shall include the following and any other responsibilities determined by the Board: (i) presiding at all meetings of the Board at which the Chairman is not present, including executive sessions of the independent directors; (ii) serving as liaison between the Chairman and the independent directors; (iii) reviewing and approving materials to be sent to the Board; (iv) approving the meeting agendas for the Board; (v) approving meeting schedules to assure that there is sufficient time for discussion of all agenda items; (vi) having the authority to call meetings of the independent directors; and (vii) if requested by major shareholders, ensuring that he or she is available for consultation and direct communication.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ind w:left="752" w:hanging="752"/>
        <w:spacing w:after="0"/>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U.S. dollars.</w:t>
      </w:r>
    </w:p>
    <w:p>
      <w:pPr>
        <w:spacing w:after="0" w:line="233" w:lineRule="exact"/>
        <w:rPr>
          <w:rFonts w:ascii="Arial" w:cs="Arial" w:eastAsia="Arial" w:hAnsi="Arial"/>
          <w:sz w:val="22"/>
          <w:szCs w:val="22"/>
          <w:color w:val="auto"/>
        </w:rPr>
      </w:pPr>
    </w:p>
    <w:p>
      <w:pPr>
        <w:ind w:left="752" w:hanging="752"/>
        <w:spacing w:after="0"/>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 par value $.01 per share.</w:t>
      </w:r>
    </w:p>
    <w:p>
      <w:pPr>
        <w:spacing w:after="0" w:line="233" w:lineRule="exact"/>
        <w:rPr>
          <w:rFonts w:ascii="Arial" w:cs="Arial" w:eastAsia="Arial" w:hAnsi="Arial"/>
          <w:sz w:val="22"/>
          <w:szCs w:val="22"/>
          <w:color w:val="auto"/>
        </w:rPr>
      </w:pPr>
    </w:p>
    <w:p>
      <w:pPr>
        <w:ind w:left="752" w:hanging="752"/>
        <w:spacing w:after="0" w:line="250" w:lineRule="auto"/>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w:t>
      </w:r>
      <w:r>
        <w:rPr>
          <w:rFonts w:ascii="Arial" w:cs="Arial" w:eastAsia="Arial" w:hAnsi="Arial"/>
          <w:sz w:val="22"/>
          <w:szCs w:val="22"/>
          <w:color w:val="auto"/>
        </w:rPr>
        <w:t>” means an award under the Plan that is payable in the form of Cash and/or Shares pursuant to the terms and conditions set forth in this Plan.</w:t>
      </w:r>
    </w:p>
    <w:p>
      <w:pPr>
        <w:spacing w:after="0" w:line="201" w:lineRule="exact"/>
        <w:rPr>
          <w:rFonts w:ascii="Arial" w:cs="Arial" w:eastAsia="Arial" w:hAnsi="Arial"/>
          <w:sz w:val="22"/>
          <w:szCs w:val="22"/>
          <w:color w:val="auto"/>
        </w:rPr>
      </w:pPr>
    </w:p>
    <w:p>
      <w:pPr>
        <w:ind w:left="752" w:hanging="752"/>
        <w:spacing w:after="0" w:line="250" w:lineRule="auto"/>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Payment Choice</w:t>
      </w:r>
      <w:r>
        <w:rPr>
          <w:rFonts w:ascii="Arial" w:cs="Arial" w:eastAsia="Arial" w:hAnsi="Arial"/>
          <w:sz w:val="22"/>
          <w:szCs w:val="22"/>
          <w:color w:val="auto"/>
        </w:rPr>
        <w:t>” means the form of payment of Compensation that a Participant selects in accordance with the terms hereof.</w:t>
      </w:r>
    </w:p>
    <w:p>
      <w:pPr>
        <w:spacing w:after="0" w:line="201" w:lineRule="exact"/>
        <w:rPr>
          <w:rFonts w:ascii="Arial" w:cs="Arial" w:eastAsia="Arial" w:hAnsi="Arial"/>
          <w:sz w:val="22"/>
          <w:szCs w:val="22"/>
          <w:color w:val="auto"/>
        </w:rPr>
      </w:pPr>
    </w:p>
    <w:p>
      <w:pPr>
        <w:ind w:left="752" w:hanging="752"/>
        <w:spacing w:after="0" w:line="250" w:lineRule="auto"/>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from time to time, including rules thereunder and successor provisions and rules thereto.</w:t>
      </w:r>
    </w:p>
    <w:p>
      <w:pPr>
        <w:spacing w:after="0" w:line="201" w:lineRule="exact"/>
        <w:rPr>
          <w:rFonts w:ascii="Arial" w:cs="Arial" w:eastAsia="Arial" w:hAnsi="Arial"/>
          <w:sz w:val="22"/>
          <w:szCs w:val="22"/>
          <w:color w:val="auto"/>
        </w:rPr>
      </w:pPr>
    </w:p>
    <w:p>
      <w:pPr>
        <w:jc w:val="both"/>
        <w:ind w:left="752" w:hanging="752"/>
        <w:spacing w:after="0"/>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means the following: each quarterly retainer, Board Chair/Lead Director and committee chairperson fees payable pursuant to Sections 3(a)(i)-(iv) hereof shall be paid on, and the Grant Dates shall be, the first business day of each quarter in each fiscal year.</w:t>
      </w:r>
    </w:p>
    <w:p>
      <w:pPr>
        <w:spacing w:after="0" w:line="213" w:lineRule="exact"/>
        <w:rPr>
          <w:rFonts w:ascii="Arial" w:cs="Arial" w:eastAsia="Arial" w:hAnsi="Arial"/>
          <w:sz w:val="22"/>
          <w:szCs w:val="22"/>
          <w:color w:val="auto"/>
        </w:rPr>
      </w:pPr>
    </w:p>
    <w:p>
      <w:pPr>
        <w:ind w:left="752" w:hanging="752"/>
        <w:spacing w:after="0" w:line="274" w:lineRule="auto"/>
        <w:tabs>
          <w:tab w:leader="none" w:pos="752"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Incentive Compensation Plan</w:t>
      </w:r>
      <w:r>
        <w:rPr>
          <w:rFonts w:ascii="Arial" w:cs="Arial" w:eastAsia="Arial" w:hAnsi="Arial"/>
          <w:sz w:val="21"/>
          <w:szCs w:val="21"/>
          <w:color w:val="auto"/>
        </w:rPr>
        <w:t>” means the Company’s 2016 Incentive Compensation Plan, as amended from time to time, or any shareholder-approved successor plan to the Company’s 2016 Incentive Compensation Plan.</w:t>
      </w:r>
    </w:p>
    <w:p>
      <w:pPr>
        <w:spacing w:after="0" w:line="177" w:lineRule="exact"/>
        <w:rPr>
          <w:rFonts w:ascii="Arial" w:cs="Arial" w:eastAsia="Arial" w:hAnsi="Arial"/>
          <w:sz w:val="21"/>
          <w:szCs w:val="21"/>
          <w:color w:val="auto"/>
        </w:rPr>
      </w:pPr>
    </w:p>
    <w:p>
      <w:pPr>
        <w:jc w:val="both"/>
        <w:ind w:left="752" w:right="20" w:hanging="752"/>
        <w:spacing w:after="0"/>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Irrevocable Election Agreement</w:t>
      </w:r>
      <w:r>
        <w:rPr>
          <w:rFonts w:ascii="Arial" w:cs="Arial" w:eastAsia="Arial" w:hAnsi="Arial"/>
          <w:sz w:val="22"/>
          <w:szCs w:val="22"/>
          <w:color w:val="auto"/>
        </w:rPr>
        <w:t xml:space="preserve">” means the written agreement,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between the Company and a Participant, which, together with the Plan, governs the Participant’s rights to payment of Compensation under the Plan.</w:t>
      </w:r>
    </w:p>
    <w:p>
      <w:pPr>
        <w:spacing w:after="0" w:line="213" w:lineRule="exact"/>
        <w:rPr>
          <w:rFonts w:ascii="Arial" w:cs="Arial" w:eastAsia="Arial" w:hAnsi="Arial"/>
          <w:sz w:val="22"/>
          <w:szCs w:val="22"/>
          <w:color w:val="auto"/>
        </w:rPr>
      </w:pPr>
    </w:p>
    <w:p>
      <w:pPr>
        <w:ind w:left="752" w:right="20" w:hanging="752"/>
        <w:spacing w:after="0" w:line="250" w:lineRule="auto"/>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Ownership Threshold</w:t>
      </w:r>
      <w:r>
        <w:rPr>
          <w:rFonts w:ascii="Arial" w:cs="Arial" w:eastAsia="Arial" w:hAnsi="Arial"/>
          <w:sz w:val="22"/>
          <w:szCs w:val="22"/>
          <w:color w:val="auto"/>
        </w:rPr>
        <w:t>” means owning Shares equal in value to at least a minimum of three times the aggregate retainer amount paid in a fiscal year pursuant to Section 3(a)(i).</w:t>
      </w:r>
    </w:p>
    <w:p>
      <w:pPr>
        <w:spacing w:after="0" w:line="201" w:lineRule="exact"/>
        <w:rPr>
          <w:rFonts w:ascii="Arial" w:cs="Arial" w:eastAsia="Arial" w:hAnsi="Arial"/>
          <w:sz w:val="22"/>
          <w:szCs w:val="22"/>
          <w:color w:val="auto"/>
        </w:rPr>
      </w:pPr>
    </w:p>
    <w:p>
      <w:pPr>
        <w:ind w:left="752" w:hanging="752"/>
        <w:spacing w:after="0" w:line="250" w:lineRule="auto"/>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Stock Market, LLC, or other securities exchange on which the Common Stock may be traded.</w:t>
      </w:r>
    </w:p>
    <w:p>
      <w:pPr>
        <w:spacing w:after="0" w:line="201" w:lineRule="exact"/>
        <w:rPr>
          <w:rFonts w:ascii="Arial" w:cs="Arial" w:eastAsia="Arial" w:hAnsi="Arial"/>
          <w:sz w:val="22"/>
          <w:szCs w:val="22"/>
          <w:color w:val="auto"/>
        </w:rPr>
      </w:pPr>
    </w:p>
    <w:p>
      <w:pPr>
        <w:ind w:left="752" w:hanging="752"/>
        <w:spacing w:after="0" w:line="250" w:lineRule="auto"/>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means a Director who satisfies the requirements set forth in Rule 16b-3(b)(3)(i) under the Exchange Act.</w:t>
      </w:r>
    </w:p>
    <w:p>
      <w:pPr>
        <w:spacing w:after="0" w:line="201" w:lineRule="exact"/>
        <w:rPr>
          <w:rFonts w:ascii="Arial" w:cs="Arial" w:eastAsia="Arial" w:hAnsi="Arial"/>
          <w:sz w:val="22"/>
          <w:szCs w:val="22"/>
          <w:color w:val="auto"/>
        </w:rPr>
      </w:pPr>
    </w:p>
    <w:p>
      <w:pPr>
        <w:ind w:left="752" w:hanging="752"/>
        <w:spacing w:after="0"/>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 Non-Employee Director of the Company.</w:t>
      </w:r>
    </w:p>
    <w:p>
      <w:pPr>
        <w:spacing w:after="0" w:line="233" w:lineRule="exact"/>
        <w:rPr>
          <w:rFonts w:ascii="Arial" w:cs="Arial" w:eastAsia="Arial" w:hAnsi="Arial"/>
          <w:sz w:val="22"/>
          <w:szCs w:val="22"/>
          <w:color w:val="auto"/>
        </w:rPr>
      </w:pPr>
    </w:p>
    <w:p>
      <w:pPr>
        <w:ind w:left="752" w:hanging="752"/>
        <w:spacing w:after="0" w:line="250" w:lineRule="auto"/>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the earliest date on which a Participant has incurred a separation from service, within the meaning of Section 409A(a)(2) of the Code, with the Service Recipient.</w:t>
      </w:r>
    </w:p>
    <w:p>
      <w:pPr>
        <w:spacing w:after="0" w:line="201" w:lineRule="exact"/>
        <w:rPr>
          <w:rFonts w:ascii="Arial" w:cs="Arial" w:eastAsia="Arial" w:hAnsi="Arial"/>
          <w:sz w:val="22"/>
          <w:szCs w:val="22"/>
          <w:color w:val="auto"/>
        </w:rPr>
      </w:pPr>
    </w:p>
    <w:p>
      <w:pPr>
        <w:jc w:val="both"/>
        <w:ind w:left="752" w:hanging="752"/>
        <w:spacing w:after="0" w:line="234" w:lineRule="auto"/>
        <w:tabs>
          <w:tab w:leader="none" w:pos="752"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Recipient</w:t>
      </w:r>
      <w:r>
        <w:rPr>
          <w:rFonts w:ascii="Arial" w:cs="Arial" w:eastAsia="Arial" w:hAnsi="Arial"/>
          <w:sz w:val="22"/>
          <w:szCs w:val="22"/>
          <w:color w:val="auto"/>
        </w:rPr>
        <w:t>” means the Company and all persons with whom the Company would be considered a single employer under Section 414(b) of the Code (employees of a controlled group of corporations), and all persons with whom such person would be considered a single employer under Section 414(c) of the Code (employees of partnerships, proprietorships, or other entities under company control).</w:t>
      </w:r>
    </w:p>
    <w:p>
      <w:pPr>
        <w:spacing w:after="0" w:line="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73" w:name="page74"/>
    <w:bookmarkEnd w:id="73"/>
    <w:p>
      <w:pPr>
        <w:ind w:left="760" w:hanging="752"/>
        <w:spacing w:after="0" w:line="250" w:lineRule="auto"/>
        <w:tabs>
          <w:tab w:leader="none" w:pos="7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regulations promulgated by the United States Treasury Department with respect to the Code, as amended from time to time.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3. Compensation; Irrevocable Election; Holding Requirement; Valuation.</w:t>
      </w:r>
    </w:p>
    <w:p>
      <w:pPr>
        <w:spacing w:after="0" w:line="233" w:lineRule="exact"/>
        <w:rPr>
          <w:sz w:val="20"/>
          <w:szCs w:val="20"/>
          <w:color w:val="auto"/>
        </w:rPr>
      </w:pPr>
    </w:p>
    <w:p>
      <w:pPr>
        <w:ind w:left="760" w:hanging="752"/>
        <w:spacing w:after="0"/>
        <w:tabs>
          <w:tab w:leader="none" w:pos="7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The Compensation paid to the Participants shall be as follows:</w:t>
      </w:r>
    </w:p>
    <w:p>
      <w:pPr>
        <w:spacing w:after="0" w:line="233" w:lineRule="exact"/>
        <w:rPr>
          <w:rFonts w:ascii="Arial" w:cs="Arial" w:eastAsia="Arial" w:hAnsi="Arial"/>
          <w:sz w:val="22"/>
          <w:szCs w:val="22"/>
          <w:color w:val="auto"/>
        </w:rPr>
      </w:pPr>
    </w:p>
    <w:p>
      <w:pPr>
        <w:ind w:left="1500" w:hanging="462"/>
        <w:spacing w:after="0"/>
        <w:tabs>
          <w:tab w:leader="none" w:pos="15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a retainer equal to $33,750 per fiscal quarter;</w:t>
      </w:r>
    </w:p>
    <w:p>
      <w:pPr>
        <w:spacing w:after="0" w:line="8" w:lineRule="exact"/>
        <w:rPr>
          <w:rFonts w:ascii="Arial" w:cs="Arial" w:eastAsia="Arial" w:hAnsi="Arial"/>
          <w:sz w:val="22"/>
          <w:szCs w:val="22"/>
          <w:color w:val="auto"/>
        </w:rPr>
      </w:pPr>
    </w:p>
    <w:p>
      <w:pPr>
        <w:ind w:left="1500" w:hanging="462"/>
        <w:spacing w:after="0" w:line="230" w:lineRule="auto"/>
        <w:tabs>
          <w:tab w:leader="none" w:pos="15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to the Board Chair/Lead Director, a fee equal to $10,000 per fiscal quarter;</w:t>
      </w:r>
    </w:p>
    <w:p>
      <w:pPr>
        <w:ind w:left="1500" w:hanging="462"/>
        <w:spacing w:after="0" w:line="230" w:lineRule="auto"/>
        <w:tabs>
          <w:tab w:leader="none" w:pos="15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to the chairperson of the Company’s audit committee, a fee equal to $5,000 per fiscal quarter; and</w:t>
      </w:r>
    </w:p>
    <w:p>
      <w:pPr>
        <w:ind w:left="1500" w:hanging="462"/>
        <w:spacing w:after="0"/>
        <w:tabs>
          <w:tab w:leader="none" w:pos="1500" w:val="left"/>
        </w:tabs>
        <w:numPr>
          <w:ilvl w:val="1"/>
          <w:numId w:val="22"/>
        </w:numPr>
        <w:rPr>
          <w:rFonts w:ascii="Arial" w:cs="Arial" w:eastAsia="Arial" w:hAnsi="Arial"/>
          <w:sz w:val="21"/>
          <w:szCs w:val="21"/>
          <w:color w:val="auto"/>
        </w:rPr>
      </w:pPr>
      <w:r>
        <w:rPr>
          <w:rFonts w:ascii="Arial" w:cs="Arial" w:eastAsia="Arial" w:hAnsi="Arial"/>
          <w:sz w:val="21"/>
          <w:szCs w:val="21"/>
          <w:color w:val="auto"/>
        </w:rPr>
        <w:t>to the chairperson of any of the Company’s other committees, a fee equal to $2,500 per fiscal quarter.</w:t>
      </w:r>
    </w:p>
    <w:p>
      <w:pPr>
        <w:spacing w:after="0" w:line="227" w:lineRule="exact"/>
        <w:rPr>
          <w:sz w:val="20"/>
          <w:szCs w:val="20"/>
          <w:color w:val="auto"/>
        </w:rPr>
      </w:pPr>
    </w:p>
    <w:p>
      <w:pPr>
        <w:jc w:val="both"/>
        <w:ind w:left="760"/>
        <w:spacing w:after="0" w:line="271" w:lineRule="auto"/>
        <w:rPr>
          <w:sz w:val="20"/>
          <w:szCs w:val="20"/>
          <w:color w:val="auto"/>
        </w:rPr>
      </w:pPr>
      <w:r>
        <w:rPr>
          <w:rFonts w:ascii="Arial" w:cs="Arial" w:eastAsia="Arial" w:hAnsi="Arial"/>
          <w:sz w:val="19"/>
          <w:szCs w:val="19"/>
          <w:color w:val="212121"/>
        </w:rPr>
        <w:t>The retainer, Board Chair/Lead Director fee and respective chairperson fees described in Sections 3 (a)(i)-(iv) shall be earned on a quarterly basis based on the Company’s fiscal year and shall be payable by the Company on the first business day in each quarter in each fiscal year. If a Participant is initially elected or appointed to the Board on a date other than the first business day of a fiscal quarter (the “</w:t>
      </w:r>
      <w:r>
        <w:rPr>
          <w:rFonts w:ascii="Arial" w:cs="Arial" w:eastAsia="Arial" w:hAnsi="Arial"/>
          <w:sz w:val="19"/>
          <w:szCs w:val="19"/>
          <w:u w:val="single" w:color="auto"/>
          <w:color w:val="212121"/>
        </w:rPr>
        <w:t>Start Date</w:t>
      </w:r>
      <w:r>
        <w:rPr>
          <w:rFonts w:ascii="Arial" w:cs="Arial" w:eastAsia="Arial" w:hAnsi="Arial"/>
          <w:sz w:val="19"/>
          <w:szCs w:val="19"/>
          <w:color w:val="212121"/>
        </w:rPr>
        <w:t>”), such Participant shall receive, on or as soon as practicable following such Start Date, a prorated portion of the retainer, Board Chair/Lead Director and chairperson fees, if applicable, otherwise payable to such Participant for such fiscal quarter, with such prorated portion determined by multiplying the retainer, Board Chair/Lead Director and any applicable chairperson fees by a fraction, the numerator of which is the number of days remaining from the Start Date until the end of the applicable fiscal quarter and the denominator of which is the number of days in the applicable fiscal quarter. If a Participant notifies the Company that he or she will not stand for re-election at the Company’s Annual Meeting of Stockholders (the “</w:t>
      </w:r>
      <w:r>
        <w:rPr>
          <w:rFonts w:ascii="Arial" w:cs="Arial" w:eastAsia="Arial" w:hAnsi="Arial"/>
          <w:sz w:val="19"/>
          <w:szCs w:val="19"/>
          <w:u w:val="single" w:color="auto"/>
          <w:color w:val="212121"/>
        </w:rPr>
        <w:t>Annual Meeting</w:t>
      </w:r>
      <w:r>
        <w:rPr>
          <w:rFonts w:ascii="Arial" w:cs="Arial" w:eastAsia="Arial" w:hAnsi="Arial"/>
          <w:sz w:val="19"/>
          <w:szCs w:val="19"/>
          <w:color w:val="212121"/>
        </w:rPr>
        <w:t xml:space="preserve">”), but will serve as a Participant up until the date of the Annual Meeting, Participant will receive a pro-rated portion of his or her quarterly retainer, Board Chair/Lead Director and chairperson fees, as applicable, for the fiscal quarter in which the Annual Meeting occurs, calculated from the first day of the fiscal quarter in which the Annual Meeting occurs until the date of the Annual Meeting, payable in cash. </w:t>
      </w:r>
      <w:r>
        <w:rPr>
          <w:rFonts w:ascii="Arial" w:cs="Arial" w:eastAsia="Arial" w:hAnsi="Arial"/>
          <w:sz w:val="19"/>
          <w:szCs w:val="19"/>
          <w:color w:val="000000"/>
        </w:rPr>
        <w:t>Subject to the terms hereof, Compensation shall be paid on the applicable</w:t>
      </w:r>
      <w:r>
        <w:rPr>
          <w:rFonts w:ascii="Arial" w:cs="Arial" w:eastAsia="Arial" w:hAnsi="Arial"/>
          <w:sz w:val="19"/>
          <w:szCs w:val="19"/>
          <w:color w:val="212121"/>
        </w:rPr>
        <w:t xml:space="preserve"> </w:t>
      </w:r>
      <w:r>
        <w:rPr>
          <w:rFonts w:ascii="Arial" w:cs="Arial" w:eastAsia="Arial" w:hAnsi="Arial"/>
          <w:sz w:val="19"/>
          <w:szCs w:val="19"/>
          <w:color w:val="000000"/>
        </w:rPr>
        <w:t>Grant Date.</w:t>
      </w:r>
    </w:p>
    <w:p>
      <w:pPr>
        <w:spacing w:after="0" w:line="200" w:lineRule="exact"/>
        <w:rPr>
          <w:sz w:val="20"/>
          <w:szCs w:val="20"/>
          <w:color w:val="auto"/>
        </w:rPr>
      </w:pPr>
    </w:p>
    <w:p>
      <w:pPr>
        <w:spacing w:after="0" w:line="234" w:lineRule="exact"/>
        <w:rPr>
          <w:sz w:val="20"/>
          <w:szCs w:val="20"/>
          <w:color w:val="auto"/>
        </w:rPr>
      </w:pPr>
    </w:p>
    <w:p>
      <w:pPr>
        <w:jc w:val="both"/>
        <w:ind w:left="760" w:hanging="752"/>
        <w:spacing w:after="0" w:line="287" w:lineRule="auto"/>
        <w:tabs>
          <w:tab w:leader="none" w:pos="76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Election of Discretionary Shares</w:t>
      </w:r>
      <w:r>
        <w:rPr>
          <w:rFonts w:ascii="Arial" w:cs="Arial" w:eastAsia="Arial" w:hAnsi="Arial"/>
          <w:sz w:val="19"/>
          <w:szCs w:val="19"/>
          <w:color w:val="auto"/>
        </w:rPr>
        <w:t>. Participants will have the right to elect payments of the values set forth above in any combination of Cash or Discretionary Shares, in addition to any Required Shares received pursuant to Section 3(d). Compensation paid in the form of Discretionary Shares pursuant to this Plan can only be made if there is a sufficient number of Shares available under Section 4 of this Plan. If not, the provisions of Section 4 shall apply.</w:t>
      </w:r>
    </w:p>
    <w:p>
      <w:pPr>
        <w:spacing w:after="0" w:line="169" w:lineRule="exact"/>
        <w:rPr>
          <w:rFonts w:ascii="Arial" w:cs="Arial" w:eastAsia="Arial" w:hAnsi="Arial"/>
          <w:sz w:val="19"/>
          <w:szCs w:val="19"/>
          <w:color w:val="auto"/>
        </w:rPr>
      </w:pPr>
    </w:p>
    <w:p>
      <w:pPr>
        <w:ind w:left="760" w:hanging="752"/>
        <w:spacing w:after="0"/>
        <w:tabs>
          <w:tab w:leader="none" w:pos="760"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Election Procedures</w:t>
      </w:r>
      <w:r>
        <w:rPr>
          <w:rFonts w:ascii="Arial" w:cs="Arial" w:eastAsia="Arial" w:hAnsi="Arial"/>
          <w:sz w:val="21"/>
          <w:szCs w:val="21"/>
          <w:color w:val="auto"/>
        </w:rPr>
        <w:t>.  The elections by the Participants to receive Discretionary Shares must be made in writing</w:t>
      </w:r>
    </w:p>
    <w:p>
      <w:pPr>
        <w:spacing w:after="0" w:line="20" w:lineRule="exact"/>
        <w:rPr>
          <w:sz w:val="20"/>
          <w:szCs w:val="20"/>
          <w:color w:val="auto"/>
        </w:rPr>
      </w:pPr>
    </w:p>
    <w:p>
      <w:pPr>
        <w:jc w:val="both"/>
        <w:ind w:left="760"/>
        <w:spacing w:after="0" w:line="230" w:lineRule="auto"/>
        <w:rPr>
          <w:sz w:val="20"/>
          <w:szCs w:val="20"/>
          <w:color w:val="auto"/>
        </w:rPr>
      </w:pPr>
      <w:r>
        <w:rPr>
          <w:rFonts w:ascii="Arial" w:cs="Arial" w:eastAsia="Arial" w:hAnsi="Arial"/>
          <w:sz w:val="22"/>
          <w:szCs w:val="22"/>
          <w:color w:val="auto"/>
        </w:rPr>
        <w:t xml:space="preserve">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and submitted to the General Counsel of the Company (or such other person as the Committee shall designate) no later than December 31</w:t>
      </w:r>
      <w:r>
        <w:rPr>
          <w:rFonts w:ascii="Arial" w:cs="Arial" w:eastAsia="Arial" w:hAnsi="Arial"/>
          <w:sz w:val="14"/>
          <w:szCs w:val="14"/>
          <w:color w:val="auto"/>
        </w:rPr>
        <w:t>st</w:t>
      </w:r>
      <w:r>
        <w:rPr>
          <w:rFonts w:ascii="Arial" w:cs="Arial" w:eastAsia="Arial" w:hAnsi="Arial"/>
          <w:sz w:val="22"/>
          <w:szCs w:val="22"/>
          <w:color w:val="auto"/>
        </w:rPr>
        <w:t xml:space="preserve"> of the year preceding the fiscal year for which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4" w:name="page75"/>
    <w:bookmarkEnd w:id="74"/>
    <w:p>
      <w:pPr>
        <w:jc w:val="both"/>
        <w:ind w:left="760"/>
        <w:spacing w:after="0" w:line="282" w:lineRule="auto"/>
        <w:rPr>
          <w:sz w:val="20"/>
          <w:szCs w:val="20"/>
          <w:color w:val="auto"/>
        </w:rPr>
      </w:pPr>
      <w:r>
        <w:rPr>
          <w:rFonts w:ascii="Arial" w:cs="Arial" w:eastAsia="Arial" w:hAnsi="Arial"/>
          <w:sz w:val="19"/>
          <w:szCs w:val="19"/>
          <w:color w:val="auto"/>
        </w:rPr>
        <w:t>the election is to be effective. All elections, once submitted, are irrevocable for that fiscal year. During the fiscal year, once the Minimum Ownership Threshold has been met by a Participant, any additional Shares payable to such Participant shall be deemed Discretionary Shares. In the event a timely election is not made or a person does not become a Participant until after the deadline for the election to be made or who becomes a Participant during a fiscal year, the Participant may not make an election to receive Discretionary Shares until the following year.</w:t>
      </w:r>
    </w:p>
    <w:p>
      <w:pPr>
        <w:spacing w:after="0" w:line="175" w:lineRule="exact"/>
        <w:rPr>
          <w:sz w:val="20"/>
          <w:szCs w:val="20"/>
          <w:color w:val="auto"/>
        </w:rPr>
      </w:pPr>
    </w:p>
    <w:p>
      <w:pPr>
        <w:jc w:val="both"/>
        <w:ind w:left="760" w:hanging="752"/>
        <w:spacing w:after="0" w:line="245" w:lineRule="auto"/>
        <w:tabs>
          <w:tab w:leader="none" w:pos="76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Requirement to Hold Equity</w:t>
      </w:r>
      <w:r>
        <w:rPr>
          <w:rFonts w:ascii="Arial" w:cs="Arial" w:eastAsia="Arial" w:hAnsi="Arial"/>
          <w:sz w:val="21"/>
          <w:szCs w:val="21"/>
          <w:color w:val="auto"/>
        </w:rPr>
        <w:t>. Within five years of a Participant’s election or appointment to the Board (or, if later, five years following the Effective Date), a Participant is expected to own and maintain Shares meeting the Minimum Ownership Threshold. Until such time as the Participant meets the Minimum Ownership Threshold, the Participant will be required to receive 60% of his or her retainer paid pursuant to Section 3(a)(i) in the form of Required Shares, subject to the Share limitation set forth in Section 4. So long as a Participant meets the Minimum Ownership Threshold, a Participant will be permitted to sell Shares in excess of the Minimum Ownership Threshold, but only if such sale is effectuated in compliance with the Company’s Securities Trading Policy then in effect. A Participant is required to hold the Shares constituting the Minimum Ownership Threshold until his/her Separation from Service, unless otherwise approved by the Board.</w:t>
      </w:r>
    </w:p>
    <w:p>
      <w:pPr>
        <w:spacing w:after="0" w:line="211" w:lineRule="exact"/>
        <w:rPr>
          <w:rFonts w:ascii="Arial" w:cs="Arial" w:eastAsia="Arial" w:hAnsi="Arial"/>
          <w:sz w:val="21"/>
          <w:szCs w:val="21"/>
          <w:color w:val="auto"/>
        </w:rPr>
      </w:pPr>
    </w:p>
    <w:p>
      <w:pPr>
        <w:jc w:val="both"/>
        <w:ind w:left="760"/>
        <w:spacing w:after="0" w:line="272" w:lineRule="auto"/>
        <w:rPr>
          <w:rFonts w:ascii="Arial" w:cs="Arial" w:eastAsia="Arial" w:hAnsi="Arial"/>
          <w:sz w:val="21"/>
          <w:szCs w:val="21"/>
          <w:color w:val="auto"/>
        </w:rPr>
      </w:pPr>
      <w:r>
        <w:rPr>
          <w:rFonts w:ascii="Arial" w:cs="Arial" w:eastAsia="Arial" w:hAnsi="Arial"/>
          <w:sz w:val="19"/>
          <w:szCs w:val="19"/>
          <w:color w:val="auto"/>
        </w:rPr>
        <w:t>The following may be used in determining the Shares held by a Participant: (i) Shares owned directly (including through open market purchases or acquired pursuant to the Plan), (ii) Shares owned jointly with or separately by the Participant’s spouse, (iii) Shares held in trust for the benefit of the Participant or in trust for the benefit of the Participant’s spouse or children for which the Participant acts as trustee , and (iv) Shares owned by a partnership, limited liability company or other entity to the extent of the Participant’s interest therein (or the interest therein of his or her immediate family members), but only if the Participant has or shares power to vote or dispose of the Shares. The value of Shares to be held by a Participant will be calculated based on the closing sale price of a Share as reported by NASDAQ, or other quotation system or securities exchange on which the Common Stock may be traded, on the trading day immediately prior to the Grant Date. In determining compliance with the Minimum Ownership Threshold, the Committee may evaluate whether exceptions to the Minimum Ownership Threshold should be made for a particular Participant who would incur a hardship by complying with the Minimum Ownership Threshold, including, but not limited to, allowing Participants additional time to regain compliance and/or suspending ownership requirements in the event of significant declines in the price of Shares.</w:t>
      </w:r>
    </w:p>
    <w:p>
      <w:pPr>
        <w:spacing w:after="0" w:line="200" w:lineRule="exact"/>
        <w:rPr>
          <w:rFonts w:ascii="Arial" w:cs="Arial" w:eastAsia="Arial" w:hAnsi="Arial"/>
          <w:sz w:val="21"/>
          <w:szCs w:val="21"/>
          <w:color w:val="auto"/>
        </w:rPr>
      </w:pPr>
    </w:p>
    <w:p>
      <w:pPr>
        <w:spacing w:after="0" w:line="230" w:lineRule="exact"/>
        <w:rPr>
          <w:rFonts w:ascii="Arial" w:cs="Arial" w:eastAsia="Arial" w:hAnsi="Arial"/>
          <w:sz w:val="21"/>
          <w:szCs w:val="21"/>
          <w:color w:val="auto"/>
        </w:rPr>
      </w:pPr>
    </w:p>
    <w:p>
      <w:pPr>
        <w:jc w:val="both"/>
        <w:ind w:left="760" w:hanging="752"/>
        <w:spacing w:after="0" w:line="282" w:lineRule="auto"/>
        <w:tabs>
          <w:tab w:leader="none" w:pos="76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Valuation of Shares</w:t>
      </w:r>
      <w:r>
        <w:rPr>
          <w:rFonts w:ascii="Arial" w:cs="Arial" w:eastAsia="Arial" w:hAnsi="Arial"/>
          <w:sz w:val="19"/>
          <w:szCs w:val="19"/>
          <w:color w:val="auto"/>
        </w:rPr>
        <w:t xml:space="preserve">. For the purposes of determining the number of Shares to be issued to a Participant on a Grant Date, each Share shall be assigned a value equal to the closing sale price of a Share as reported by NASDAQ, or other quotation system or securities exchange on which the Common Stock may be traded, on the effective Grant Date. Any Shares granted pursuant to this Plan shall be fully vested on the Grant Date. Payouts of Shares under the Plan will be in the form of whole Shares only; the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balance of any foregone fees not payable in whole Shares will not be paid.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u w:val="single" w:color="auto"/>
          <w:color w:val="auto"/>
        </w:rPr>
        <w:t>Section 4. Number of Shares Under the Plan.</w:t>
      </w: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Subject to adjustment as the Board may from time to time determine, the total number of Shares reserved and available under the Plan with respect to Discretionary Shares shall be 1,500,000, as adjusted for any stock dividends, combinations, splits, recapitalizations and the like. The maximum number of Shares (the aggregate of both Restricted Shares and Discretionary Shares) that can be granted in any fiscal quarter is 250,000 Shares. If the aggregate number of Shares needed for the payment of Compensation to all electing Participants in a given quarter exceeds 250,000 Shares, the 250,000 Shares shall first be allocated ratably in proportion towards the satisfaction of any Required Shares with any remaining Shares allocated ratably in proportion to the respective Discretionary Share amounts which would otherwise be payable to them absent such limitation or insufficiency.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5. Additional Compensation.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event of the creation of a special Board committee tasked with working on a significant corporate event (a “Special Committee”), the Board shall determine the amount, timing and form of payment of any additional Compensation which it determines should be paid to the Participants serving on the Special Committee.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6. Amendment and Termination.</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Plan may be amended or terminated in any respect at any time by the Board; provided, however, that no amendment or termination of the Plan shall be effective to reduce any benefits that accrue and are vested before the adoption of such amendment or termination. If and to the extent permitted without violating the requirements of Section 409A of the Code, the Committee may require that the Compensation of all Participants be paid in cash as soon as practicable after such termination, notwithstanding any elections by Participants with regard to the timing or form in which their benefits are to be paid. If and to the extent that the Committee does not accelerate the timing of payments on account of the termination of the Plan pursuant to the preceding sentence, payment of any remaining benefits under the Plan shall be made at the same times and in the same manner as such payments would have been made based upon the most recent elections made by Participants, and the terms of the Plan, as in effect at the time the Plan is terminated.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7. Unfunded Obligation.</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obligations of the Company to pay any Compensation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 (regardless of the fact that payment hereunder is not being made under the Incentive Compensation Plan).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8. Withholding.</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Participants and personal representatives shall bear any and all federal, state, local or other taxes imposed on benefits under the Plan. The Company may deduct from any payments under</w:t>
      </w: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both"/>
        <w:spacing w:after="0" w:line="258" w:lineRule="auto"/>
        <w:rPr>
          <w:sz w:val="20"/>
          <w:szCs w:val="20"/>
          <w:color w:val="auto"/>
        </w:rPr>
      </w:pPr>
      <w:r>
        <w:rPr>
          <w:rFonts w:ascii="Arial" w:cs="Arial" w:eastAsia="Arial" w:hAnsi="Arial"/>
          <w:sz w:val="21"/>
          <w:szCs w:val="21"/>
          <w:color w:val="auto"/>
        </w:rPr>
        <w:t>the Plan the amount of any taxes required to be withheld from such payments by any federal, state or local government, and may deduct from any Compensation or other amounts payable to the Participant the amount of any taxes required to be withheld with respect to any other amounts under the Plan by any federal, state or local government.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9. Applicable Law.</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Plan shall be construed and enforced in accordance with the laws of the State of Delaware, except to the extent superseded by federal law.</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10. Administration and Interpretation.</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Plan will be administered by the Committee. The Committee shall not make any substantive changes to the Compensation set forth in this Plan without the approval of the Board. The Committee will have broad authority to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which shall act on the claim within thirty days. Any decisions or interpretations by the Committee relating to benefits under the Plan shall be binding and conclusive on all affected parties.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11. Code Section 409A.</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It is intended that the Compensation granted pursuant to this Plan be exempt from Section 409A of the Code (“Section 409A”) because it is believed the Compensation payable in Cash and Shares should qualify for the short-term deferral exception contained in Treasury Regulation §1.409A-1(b)(4). The provisions of the Plan shall be interpreted in a manner consistent with the foregoing intentions.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Committee, in its sole discretion, and without the consent of any Participant or Beneficiary, may amend the provisions of this Plan to the extent that the Committee determines that such amendment is necessary or appropriate in order for the Compensation paid pursuant to the Plan to be exempt from the requirements of Section 409A, or if and to the extent that the Committee determines that the Compensation is not so exempt, to amend the Plan (and any agreements relating to any Compensation) in such manner as the Committee shall deem necessary or appropriate to comply with the requirements of Section 409A.</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Notwithstanding the foregoing, the Company does not make any representation to any Participant or Beneficiary that the Compensation paid pursuant to this Plan is exempt from, or satisfies,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Compensation agreement, or any amendment or any modification thereof, or any other action taken with respect thereto, is deemed to violate any of the requirements of Section 409A.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1"/>
          <w:szCs w:val="21"/>
          <w:b w:val="1"/>
          <w:bCs w:val="1"/>
          <w:color w:val="auto"/>
        </w:rPr>
        <w:t>THIS SPACE IS LEFT BLANK INTENTIONALLY</w:t>
      </w:r>
    </w:p>
    <w:p>
      <w:pPr>
        <w:sectPr>
          <w:pgSz w:w="11900" w:h="16838" w:orient="portrait"/>
          <w:cols w:equalWidth="0" w:num="1">
            <w:col w:w="9019"/>
          </w:cols>
          <w:pgMar w:left="1440" w:top="111"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DESTINATION XL GROUP, INC.</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SIXTH AMENDED AND RESTATED</w:t>
      </w:r>
    </w:p>
    <w:p>
      <w:pPr>
        <w:ind w:left="2720"/>
        <w:spacing w:after="0"/>
        <w:rPr>
          <w:sz w:val="20"/>
          <w:szCs w:val="20"/>
          <w:color w:val="auto"/>
        </w:rPr>
      </w:pPr>
      <w:r>
        <w:rPr>
          <w:rFonts w:ascii="Arial" w:cs="Arial" w:eastAsia="Arial" w:hAnsi="Arial"/>
          <w:sz w:val="18"/>
          <w:szCs w:val="18"/>
          <w:b w:val="1"/>
          <w:bCs w:val="1"/>
          <w:color w:val="auto"/>
        </w:rPr>
        <w:t>NON-EMPLOYEE DIRECTOR COMPENSATION PLAN (THE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IRREVOCABLE ELECTION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TO: General Counsel: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I, _____________________________, hereby understand that, if the value of Shares that I own does not meet the Minimum Ownership Threshold (calculated in accordance</w:t>
      </w:r>
    </w:p>
    <w:p>
      <w:pPr>
        <w:spacing w:after="0" w:line="29" w:lineRule="exact"/>
        <w:rPr>
          <w:sz w:val="20"/>
          <w:szCs w:val="20"/>
          <w:color w:val="auto"/>
        </w:rPr>
      </w:pPr>
    </w:p>
    <w:p>
      <w:pPr>
        <w:ind w:right="380"/>
        <w:spacing w:after="0" w:line="234" w:lineRule="auto"/>
        <w:rPr>
          <w:sz w:val="20"/>
          <w:szCs w:val="20"/>
          <w:color w:val="auto"/>
        </w:rPr>
      </w:pPr>
      <w:r>
        <w:rPr>
          <w:rFonts w:ascii="Arial" w:cs="Arial" w:eastAsia="Arial" w:hAnsi="Arial"/>
          <w:sz w:val="16"/>
          <w:szCs w:val="16"/>
          <w:color w:val="auto"/>
        </w:rPr>
        <w:t>with Section 3(d) of the Plan), then I am required to receive 60% of the Retainer in Required Shares. Further, I understand that I am able to elect more than the 60% of Required Shares for the Retainer. If, after meeting the Minimum Ownership Threshold, the value of the Shares that I own subsequently falls below the Minimum Ownership Threshold, I understand that I will be required to receive 60% of the Retainer in Required Shares until the value of the Shares that I own again meets the Minimum Ownership Threshold.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Therefore, I elect to receive my Compensation (as defined in the Plan)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PLEASE COMPLETE ALL COLUMNS</w:t>
            </w:r>
          </w:p>
        </w:tc>
        <w:tc>
          <w:tcPr>
            <w:tcW w:w="1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100" w:type="dxa"/>
            <w:vAlign w:val="bottom"/>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100" w:type="dxa"/>
            <w:vAlign w:val="bottom"/>
            <w:tcBorders>
              <w:right w:val="single" w:sz="8" w:color="auto"/>
            </w:tcBorders>
          </w:tcPr>
          <w:p>
            <w:pPr>
              <w:spacing w:after="0"/>
              <w:rPr>
                <w:sz w:val="10"/>
                <w:szCs w:val="10"/>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900" w:type="dxa"/>
            <w:vAlign w:val="bottom"/>
            <w:tcBorders>
              <w:right w:val="single" w:sz="8" w:color="auto"/>
            </w:tcBorders>
            <w:vMerge w:val="restart"/>
          </w:tcPr>
          <w:p>
            <w:pPr>
              <w:ind w:left="760"/>
              <w:spacing w:after="0"/>
              <w:rPr>
                <w:sz w:val="20"/>
                <w:szCs w:val="20"/>
                <w:color w:val="auto"/>
              </w:rPr>
            </w:pPr>
            <w:r>
              <w:rPr>
                <w:rFonts w:ascii="Arial" w:cs="Arial" w:eastAsia="Arial" w:hAnsi="Arial"/>
                <w:sz w:val="16"/>
                <w:szCs w:val="16"/>
                <w:b w:val="1"/>
                <w:bCs w:val="1"/>
                <w:color w:val="auto"/>
              </w:rPr>
              <w:t>Cash</w:t>
            </w:r>
          </w:p>
        </w:tc>
        <w:tc>
          <w:tcPr>
            <w:tcW w:w="16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rPr>
              <w:t>Required</w:t>
            </w:r>
          </w:p>
        </w:tc>
        <w:tc>
          <w:tcPr>
            <w:tcW w:w="160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rPr>
              <w:t>Discretionary</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1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6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2"/>
              </w:rPr>
              <w:t>Shares (until</w:t>
            </w:r>
          </w:p>
        </w:tc>
        <w:tc>
          <w:tcPr>
            <w:tcW w:w="16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9"/>
              </w:rPr>
              <w:t>Shares</w:t>
            </w:r>
          </w:p>
        </w:tc>
        <w:tc>
          <w:tcPr>
            <w:tcW w:w="19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9"/>
              </w:rPr>
              <w:t>Minimum</w:t>
            </w:r>
          </w:p>
        </w:tc>
        <w:tc>
          <w:tcPr>
            <w:tcW w:w="160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4"/>
              </w:rPr>
              <w:t>Ownership</w:t>
            </w:r>
          </w:p>
        </w:tc>
        <w:tc>
          <w:tcPr>
            <w:tcW w:w="160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00" w:type="dxa"/>
            <w:vAlign w:val="bottom"/>
            <w:tcBorders>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Threshold is met)</w:t>
            </w:r>
          </w:p>
        </w:tc>
        <w:tc>
          <w:tcPr>
            <w:tcW w:w="160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10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Retainer (Discretionary</w:t>
            </w:r>
          </w:p>
        </w:tc>
        <w:tc>
          <w:tcPr>
            <w:tcW w:w="19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election in addition to the</w:t>
            </w:r>
          </w:p>
        </w:tc>
        <w:tc>
          <w:tcPr>
            <w:tcW w:w="190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w w:val="91"/>
              </w:rPr>
              <w:t>_______%</w:t>
            </w:r>
          </w:p>
        </w:tc>
        <w:tc>
          <w:tcPr>
            <w:tcW w:w="162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w w:val="93"/>
              </w:rPr>
              <w:t>60%</w:t>
            </w:r>
          </w:p>
        </w:tc>
        <w:tc>
          <w:tcPr>
            <w:tcW w:w="160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w w:val="91"/>
              </w:rPr>
              <w:t>______%</w:t>
            </w:r>
          </w:p>
        </w:tc>
        <w:tc>
          <w:tcPr>
            <w:tcW w:w="192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188"/>
        </w:trPr>
        <w:tc>
          <w:tcPr>
            <w:tcW w:w="1100" w:type="dxa"/>
            <w:vAlign w:val="bottom"/>
            <w:tcBorders>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60% Required Shares)*</w:t>
            </w:r>
          </w:p>
        </w:tc>
        <w:tc>
          <w:tcPr>
            <w:tcW w:w="190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0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6"/>
              </w:rPr>
              <w:t>Retainer</w:t>
            </w:r>
          </w:p>
        </w:tc>
        <w:tc>
          <w:tcPr>
            <w:tcW w:w="190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(Once the Minimum</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______%</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N/A</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_____%</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148"/>
        </w:trPr>
        <w:tc>
          <w:tcPr>
            <w:tcW w:w="110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Ownership Threshold has</w:t>
            </w:r>
          </w:p>
        </w:tc>
        <w:tc>
          <w:tcPr>
            <w:tcW w:w="190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been met, even during a fiscal</w:t>
            </w:r>
          </w:p>
        </w:tc>
        <w:tc>
          <w:tcPr>
            <w:tcW w:w="19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00" w:type="dxa"/>
            <w:vAlign w:val="bottom"/>
            <w:tcBorders>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year)</w:t>
            </w:r>
          </w:p>
        </w:tc>
        <w:tc>
          <w:tcPr>
            <w:tcW w:w="190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0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Board Chair /</w:t>
            </w:r>
          </w:p>
        </w:tc>
        <w:tc>
          <w:tcPr>
            <w:tcW w:w="190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1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Lead Director Fee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_______%</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______%</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81"/>
        </w:trPr>
        <w:tc>
          <w:tcPr>
            <w:tcW w:w="1100" w:type="dxa"/>
            <w:vAlign w:val="bottom"/>
            <w:tcBorders>
              <w:right w:val="single" w:sz="8" w:color="auto"/>
            </w:tcBorders>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100" w:type="dxa"/>
            <w:vAlign w:val="bottom"/>
            <w:tcBorders>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2"/>
        </w:trPr>
        <w:tc>
          <w:tcPr>
            <w:tcW w:w="110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Committee Chair Fee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_______%</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______%</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81"/>
        </w:trPr>
        <w:tc>
          <w:tcPr>
            <w:tcW w:w="1100" w:type="dxa"/>
            <w:vAlign w:val="bottom"/>
            <w:tcBorders>
              <w:right w:val="single" w:sz="8" w:color="auto"/>
            </w:tcBorders>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100" w:type="dxa"/>
            <w:vAlign w:val="bottom"/>
            <w:tcBorders>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8"/>
        <w:spacing w:after="0" w:line="246" w:lineRule="auto"/>
        <w:tabs>
          <w:tab w:leader="none" w:pos="135"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Every row must be completed by each Participant. Participants who have not achieved Minimum Ownership Threshold are required to receive 60% of the Retainer in Required Shares as is reflected in the first row of the table above</w:t>
      </w:r>
      <w:r>
        <w:rPr>
          <w:rFonts w:ascii="Arial" w:cs="Arial" w:eastAsia="Arial" w:hAnsi="Arial"/>
          <w:sz w:val="16"/>
          <w:szCs w:val="16"/>
          <w:color w:val="auto"/>
        </w:rPr>
        <w:t>. During the course of the fiscal year, so long as the Minimum Ownership Threshold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met, all payments shall be made pursuant to the Retainer elections in the second row.</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NOTE: You have the opportunity to decide the Compensation Payment Choice of Cash and/or Shares. Your selected choice(s) for any given year must equal 100%.</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 understand and acknowledge that as discussed in Section 4 of the Plan, if the aggregate Required Shares and Discretionary Shares to be granted to all Participants in a</w:t>
      </w:r>
    </w:p>
    <w:p>
      <w:pPr>
        <w:spacing w:after="0" w:line="5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quarter exceeds the maximum number of Shares permitted, Shares shall first be allocated to Participants ratably in proportion towards the satisfaction of any Required Shares with any remaining Shares allocated ratably in proportion to the respective Discretionary Share amounts that would otherwise be payable to the Participant absent such limitation or insufficiency, with the shortfall to be paid in Cash.</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 understand and acknowledge that I may not sell Shares unless the value of Shares that I own exceeds the Minimum Ownership Threshold as calculated in accordance with Section 3(d). If I meet the Minimum Ownership Threshold, I understand and acknowledge that I may sell Shares provided such sales do not result in my no longer meeting the Minimum Ownership Threshold, and that any such sales must be effectuated in compliance with the Company’s Securities Trading Policy then in effect.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line="258" w:lineRule="auto"/>
        <w:rPr>
          <w:sz w:val="20"/>
          <w:szCs w:val="20"/>
          <w:color w:val="auto"/>
        </w:rPr>
      </w:pPr>
      <w:r>
        <w:rPr>
          <w:rFonts w:ascii="Arial" w:cs="Arial" w:eastAsia="Arial" w:hAnsi="Arial"/>
          <w:sz w:val="16"/>
          <w:szCs w:val="16"/>
          <w:color w:val="auto"/>
        </w:rPr>
        <w:t>I understand and acknowledge that this election is irrevocable. I understand and acknowledge that I must be a Non-Employee Director on the dates each portion of the Compensation is paid in order to qualify for such payment.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 understand and acknowledge that if there is any conflict between this form or any part of it and the Plan, the provisions of the Plan shall govern.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have hereunto set my hand and seal this ____ day of ___________, 20___.</w:t>
      </w:r>
    </w:p>
    <w:p>
      <w:pPr>
        <w:spacing w:after="0" w:line="343" w:lineRule="exact"/>
        <w:rPr>
          <w:sz w:val="20"/>
          <w:szCs w:val="20"/>
          <w:color w:val="auto"/>
        </w:rPr>
      </w:pPr>
    </w:p>
    <w:p>
      <w:pPr>
        <w:spacing w:after="0"/>
        <w:tabs>
          <w:tab w:leader="none" w:pos="2900" w:val="left"/>
        </w:tabs>
        <w:rPr>
          <w:sz w:val="20"/>
          <w:szCs w:val="20"/>
          <w:color w:val="auto"/>
        </w:rPr>
      </w:pPr>
      <w:r>
        <w:rPr>
          <w:rFonts w:ascii="Arial" w:cs="Arial" w:eastAsia="Arial" w:hAnsi="Arial"/>
          <w:sz w:val="16"/>
          <w:szCs w:val="16"/>
          <w:color w:val="auto"/>
        </w:rPr>
        <w:t>_____________________________</w:t>
      </w:r>
      <w:r>
        <w:rPr>
          <w:sz w:val="20"/>
          <w:szCs w:val="20"/>
          <w:color w:val="auto"/>
        </w:rPr>
        <w:tab/>
      </w:r>
      <w:r>
        <w:rPr>
          <w:rFonts w:ascii="Arial" w:cs="Arial" w:eastAsia="Arial" w:hAnsi="Arial"/>
          <w:sz w:val="16"/>
          <w:szCs w:val="16"/>
          <w:color w:val="auto"/>
        </w:rPr>
        <w:t>____________________________</w:t>
      </w:r>
    </w:p>
    <w:p>
      <w:pPr>
        <w:spacing w:after="0" w:line="3" w:lineRule="exact"/>
        <w:rPr>
          <w:sz w:val="20"/>
          <w:szCs w:val="20"/>
          <w:color w:val="auto"/>
        </w:rPr>
      </w:pPr>
    </w:p>
    <w:p>
      <w:pPr>
        <w:ind w:left="40"/>
        <w:spacing w:after="0"/>
        <w:tabs>
          <w:tab w:leader="none" w:pos="226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(Printed name)</w:t>
      </w: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ind w:left="1260"/>
              <w:spacing w:after="0"/>
              <w:rPr>
                <w:sz w:val="20"/>
                <w:szCs w:val="20"/>
                <w:color w:val="auto"/>
              </w:rPr>
            </w:pPr>
            <w:r>
              <w:rPr>
                <w:rFonts w:ascii="Arial" w:cs="Arial" w:eastAsia="Arial" w:hAnsi="Arial"/>
                <w:sz w:val="18"/>
                <w:szCs w:val="18"/>
                <w:b w:val="1"/>
                <w:bCs w:val="1"/>
                <w:color w:val="auto"/>
                <w:w w:val="95"/>
              </w:rPr>
              <w:t>Exhibit 21.1</w:t>
            </w:r>
          </w:p>
        </w:tc>
        <w:tc>
          <w:tcPr>
            <w:tcW w:w="0" w:type="dxa"/>
            <w:vAlign w:val="bottom"/>
          </w:tcPr>
          <w:p>
            <w:pPr>
              <w:spacing w:after="0"/>
              <w:rPr>
                <w:sz w:val="1"/>
                <w:szCs w:val="1"/>
                <w:color w:val="auto"/>
              </w:rPr>
            </w:pPr>
          </w:p>
        </w:tc>
      </w:tr>
      <w:tr>
        <w:trPr>
          <w:trHeight w:val="391"/>
        </w:trPr>
        <w:tc>
          <w:tcPr>
            <w:tcW w:w="8900" w:type="dxa"/>
            <w:vAlign w:val="bottom"/>
          </w:tcPr>
          <w:p>
            <w:pPr>
              <w:ind w:left="4320"/>
              <w:spacing w:after="0"/>
              <w:rPr>
                <w:sz w:val="20"/>
                <w:szCs w:val="20"/>
                <w:color w:val="auto"/>
              </w:rPr>
            </w:pPr>
            <w:r>
              <w:rPr>
                <w:rFonts w:ascii="Arial" w:cs="Arial" w:eastAsia="Arial" w:hAnsi="Arial"/>
                <w:sz w:val="18"/>
                <w:szCs w:val="18"/>
                <w:color w:val="auto"/>
              </w:rPr>
              <w:t>DESTINATION XL GROUP, INC.</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4100"/>
              <w:spacing w:after="0"/>
              <w:rPr>
                <w:sz w:val="20"/>
                <w:szCs w:val="20"/>
                <w:color w:val="auto"/>
              </w:rPr>
            </w:pPr>
            <w:r>
              <w:rPr>
                <w:rFonts w:ascii="Arial" w:cs="Arial" w:eastAsia="Arial" w:hAnsi="Arial"/>
                <w:sz w:val="18"/>
                <w:szCs w:val="18"/>
                <w:color w:val="auto"/>
              </w:rPr>
              <w:t>Wholly-owned unless otherwise indicated</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24"/>
                <w:szCs w:val="24"/>
                <w:color w:val="auto"/>
              </w:rPr>
            </w:pPr>
          </w:p>
        </w:tc>
        <w:tc>
          <w:tcPr>
            <w:tcW w:w="22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Place of Incorporation:</w:t>
            </w:r>
          </w:p>
        </w:tc>
        <w:tc>
          <w:tcPr>
            <w:tcW w:w="0" w:type="dxa"/>
            <w:vAlign w:val="bottom"/>
          </w:tcPr>
          <w:p>
            <w:pPr>
              <w:spacing w:after="0"/>
              <w:rPr>
                <w:sz w:val="1"/>
                <w:szCs w:val="1"/>
                <w:color w:val="auto"/>
              </w:rPr>
            </w:pPr>
          </w:p>
        </w:tc>
      </w:tr>
      <w:tr>
        <w:trPr>
          <w:trHeight w:val="224"/>
        </w:trPr>
        <w:tc>
          <w:tcPr>
            <w:tcW w:w="8900" w:type="dxa"/>
            <w:vAlign w:val="bottom"/>
          </w:tcPr>
          <w:p>
            <w:pPr>
              <w:ind w:left="20"/>
              <w:spacing w:after="0"/>
              <w:rPr>
                <w:sz w:val="20"/>
                <w:szCs w:val="20"/>
                <w:color w:val="auto"/>
              </w:rPr>
            </w:pPr>
            <w:r>
              <w:rPr>
                <w:rFonts w:ascii="Arial" w:cs="Arial" w:eastAsia="Arial" w:hAnsi="Arial"/>
                <w:sz w:val="18"/>
                <w:szCs w:val="18"/>
                <w:color w:val="auto"/>
              </w:rPr>
              <w:t>Casual Male Retail Store, LLC (f/k/a Designs CMAL Retail Store Inc.)</w:t>
            </w:r>
          </w:p>
        </w:tc>
        <w:tc>
          <w:tcPr>
            <w:tcW w:w="100" w:type="dxa"/>
            <w:vAlign w:val="bottom"/>
          </w:tcPr>
          <w:p>
            <w:pPr>
              <w:spacing w:after="0"/>
              <w:rPr>
                <w:sz w:val="19"/>
                <w:szCs w:val="19"/>
                <w:color w:val="auto"/>
              </w:rPr>
            </w:pP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33"/>
        </w:trPr>
        <w:tc>
          <w:tcPr>
            <w:tcW w:w="8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Casual Male Direct, LLC (f/k/a Designs CMAL TBD Inc.)</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CMRG Apparel Management, Inc.</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CMRG Holdco, LLC</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CMXL Apparel, LP (a)</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CMRG Apparel, LLC (f/k/a Designs Apparel, Inc.) (b)</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Casual Male Store, LLC (f/k/a Designs CMAL Store Inc.)</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Capture, LLC (c)</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Casual Male RBT, LLC</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Casual Male RBT (U.K.) LLC (d)</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DXLG Wholesale, LLC (e)</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DXL Canada, Inc. (f/k/a Casual Male Canada Inc.)</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Casual Male (EUROPE) LLC</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Think Big Products LLC</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Canton PL Liquidating Corp. (f/k/a LP Innovations, Inc.)</w:t>
            </w:r>
          </w:p>
        </w:tc>
        <w:tc>
          <w:tcPr>
            <w:tcW w:w="100" w:type="dxa"/>
            <w:vAlign w:val="bottom"/>
          </w:tcPr>
          <w:p>
            <w:pPr>
              <w:spacing w:after="0"/>
              <w:rPr>
                <w:sz w:val="17"/>
                <w:szCs w:val="17"/>
                <w:color w:val="auto"/>
              </w:rPr>
            </w:pPr>
          </w:p>
        </w:tc>
        <w:tc>
          <w:tcPr>
            <w:tcW w:w="2240" w:type="dxa"/>
            <w:vAlign w:val="bottom"/>
          </w:tcPr>
          <w:p>
            <w:pPr>
              <w:ind w:left="120"/>
              <w:spacing w:after="0" w:line="202" w:lineRule="exact"/>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CMRG Hong Kong Limited</w:t>
            </w:r>
          </w:p>
        </w:tc>
        <w:tc>
          <w:tcPr>
            <w:tcW w:w="100" w:type="dxa"/>
            <w:vAlign w:val="bottom"/>
          </w:tcPr>
          <w:p>
            <w:pPr>
              <w:spacing w:after="0"/>
              <w:rPr>
                <w:sz w:val="20"/>
                <w:szCs w:val="20"/>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512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2" w:lineRule="exact"/>
        <w:rPr>
          <w:sz w:val="20"/>
          <w:szCs w:val="20"/>
          <w:color w:val="auto"/>
        </w:rPr>
      </w:pPr>
    </w:p>
    <w:p>
      <w:pPr>
        <w:ind w:left="520" w:right="420" w:hanging="512"/>
        <w:spacing w:after="0" w:line="244" w:lineRule="auto"/>
        <w:tabs>
          <w:tab w:leader="none" w:pos="3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Destination XL Group, Inc.)</w:t>
      </w:r>
    </w:p>
    <w:p>
      <w:pPr>
        <w:ind w:left="360" w:hanging="352"/>
        <w:spacing w:after="0" w:line="234"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Destination XL Group, Inc.)</w:t>
      </w:r>
    </w:p>
    <w:p>
      <w:pPr>
        <w:ind w:left="360" w:hanging="352"/>
        <w:spacing w:after="0" w:line="234"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Destination XL Group, Inc.)</w:t>
      </w:r>
    </w:p>
    <w:p>
      <w:pPr>
        <w:ind w:left="360" w:hanging="352"/>
        <w:spacing w:after="0" w:line="234"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Destination XL Group, Inc.)</w:t>
      </w: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owned by 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consent to the incorporation by reference in the registration statements (Nos. 333-238929 and 333-256990) on Form S-3 and the registration statements (Nos. 333-136890, 333-163245, 333-164618, 333-170708, 333-170764, 333-194627, 333-213311, 333-233496, 333-235534, 333-248439, 333-250756, and 333-261215) on Form S-8 of our reports dated March 17, 2022, with respect to the consolidated financial statements of Destination XL Group, Inc. and the effectiveness of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Harvey S. Kanter, certify that:</w:t>
      </w:r>
    </w:p>
    <w:p>
      <w:pPr>
        <w:spacing w:after="0" w:line="104"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2022</w:t>
      </w:r>
    </w:p>
    <w:p>
      <w:pPr>
        <w:spacing w:after="0" w:line="23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Harvey S. Kanter</w:t>
      </w:r>
    </w:p>
    <w:p>
      <w:pPr>
        <w:ind w:left="75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04"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2022</w:t>
      </w:r>
    </w:p>
    <w:p>
      <w:pPr>
        <w:spacing w:after="0" w:line="23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Peter H. Stratton, Jr.</w:t>
      </w:r>
    </w:p>
    <w:p>
      <w:pPr>
        <w:ind w:left="698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left="10260"/>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connection with the Annual Report on Form 10-K of Destination XL Group, Inc. (the “Company”) for the period ended January 29, 2022 as filed with the Securities and Exchange Commission on the date hereof (the “Report”), I, Harvey S. Kanter, President and Chief Executive Officer of the Company, certify pursuant to 18 U.S.C. § 1350, as adopted pursuant to § 906 of the Sarbanes-Oxley Act of 2002, that:</w:t>
      </w:r>
    </w:p>
    <w:p>
      <w:pPr>
        <w:spacing w:after="0" w:line="56" w:lineRule="exact"/>
        <w:rPr>
          <w:sz w:val="20"/>
          <w:szCs w:val="20"/>
          <w:color w:val="auto"/>
        </w:rPr>
      </w:pPr>
    </w:p>
    <w:p>
      <w:pPr>
        <w:ind w:left="1020" w:right="7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11"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Dated: March 17, 2022</w:t>
      </w:r>
      <w:r>
        <w:rPr>
          <w:sz w:val="20"/>
          <w:szCs w:val="20"/>
          <w:color w:val="auto"/>
        </w:rPr>
        <w:tab/>
      </w:r>
      <w:r>
        <w:rPr>
          <w:rFonts w:ascii="Arial" w:cs="Arial" w:eastAsia="Arial" w:hAnsi="Arial"/>
          <w:sz w:val="16"/>
          <w:szCs w:val="16"/>
          <w:color w:val="auto"/>
        </w:rPr>
        <w:t>/s/ Harvey S. Kanter</w:t>
      </w:r>
    </w:p>
    <w:p>
      <w:pPr>
        <w:spacing w:after="0" w:line="167"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-127635</wp:posOffset>
            </wp:positionV>
            <wp:extent cx="27946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51"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91"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ind w:left="10260"/>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January 29, 2022,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4" w:lineRule="exact"/>
        <w:rPr>
          <w:sz w:val="20"/>
          <w:szCs w:val="20"/>
          <w:color w:val="auto"/>
        </w:rPr>
      </w:pPr>
    </w:p>
    <w:p>
      <w:pPr>
        <w:ind w:left="1020" w:right="7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43" w:lineRule="exact"/>
        <w:rPr>
          <w:sz w:val="20"/>
          <w:szCs w:val="20"/>
          <w:color w:val="auto"/>
        </w:rPr>
      </w:pPr>
    </w:p>
    <w:p>
      <w:pPr>
        <w:ind w:left="20"/>
        <w:spacing w:after="0"/>
        <w:tabs>
          <w:tab w:leader="none" w:pos="7980" w:val="left"/>
        </w:tabs>
        <w:rPr>
          <w:sz w:val="20"/>
          <w:szCs w:val="20"/>
          <w:color w:val="auto"/>
        </w:rPr>
      </w:pPr>
      <w:r>
        <w:rPr>
          <w:rFonts w:ascii="Arial" w:cs="Arial" w:eastAsia="Arial" w:hAnsi="Arial"/>
          <w:sz w:val="18"/>
          <w:szCs w:val="18"/>
          <w:color w:val="auto"/>
        </w:rPr>
        <w:t>Dated: March 17, 2022</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6350</wp:posOffset>
            </wp:positionV>
            <wp:extent cx="28117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Peter H. Stratton, Jr.</w:t>
      </w:r>
    </w:p>
    <w:p>
      <w:pPr>
        <w:jc w:val="center"/>
        <w:ind w:left="680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20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lowerRoman"/>
      <w:start w:val="1"/>
    </w:lvl>
  </w:abstractNum>
  <w:abstractNum w:abstractNumId="14">
    <w:nsid w:val="2443A858"/>
    <w:multiLevelType w:val="hybridMultilevel"/>
    <w:lvl w:ilvl="0">
      <w:lvlJc w:val="left"/>
      <w:lvlText w:val="%1"/>
      <w:numFmt w:val="decimal"/>
      <w:start w:val="101"/>
    </w:lvl>
  </w:abstractNum>
  <w:abstractNum w:abstractNumId="15">
    <w:nsid w:val="2D1D5AE9"/>
    <w:multiLevelType w:val="hybridMultilevel"/>
    <w:lvl w:ilvl="0">
      <w:lvlJc w:val="left"/>
      <w:lvlText w:val="%1"/>
      <w:numFmt w:val="decimal"/>
      <w:start w:val="104"/>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lowerLetter"/>
      <w:start w:val="16"/>
    </w:lvl>
  </w:abstractNum>
  <w:abstractNum w:abstractNumId="21">
    <w:nsid w:val="B03E0C6"/>
    <w:multiLevelType w:val="hybridMultilevel"/>
    <w:lvl w:ilvl="0">
      <w:lvlJc w:val="left"/>
      <w:lvlText w:val="(%1)"/>
      <w:numFmt w:val="lowerLetter"/>
      <w:start w:val="1"/>
    </w:lvl>
    <w:lvl w:ilvl="1">
      <w:lvlJc w:val="left"/>
      <w:lvlText w:val="%2."/>
      <w:numFmt w:val="lowerRoman"/>
      <w:start w:val="1"/>
    </w:lvl>
  </w:abstractNum>
  <w:abstractNum w:abstractNumId="22">
    <w:nsid w:val="189A769B"/>
    <w:multiLevelType w:val="hybridMultilevel"/>
    <w:lvl w:ilvl="0">
      <w:lvlJc w:val="left"/>
      <w:lvlText w:val="(%1)"/>
      <w:numFmt w:val="lowerLetter"/>
      <w:start w:val="2"/>
    </w:lvl>
  </w:abstractNum>
  <w:abstractNum w:abstractNumId="23">
    <w:nsid w:val="54E49EB4"/>
    <w:multiLevelType w:val="hybridMultilevel"/>
    <w:lvl w:ilvl="0">
      <w:lvlJc w:val="left"/>
      <w:lvlText w:val="(%1)"/>
      <w:numFmt w:val="lowerLetter"/>
      <w:start w:val="4"/>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35" Type="http://schemas.openxmlformats.org/officeDocument/2006/relationships/image" Target="media/image300.png"/><Relationship Id="rId336"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04" Type="http://schemas.openxmlformats.org/officeDocument/2006/relationships/hyperlink" Target="https://www.sec.gov/Archives/edgar/data/813298/000156459021046526/dxlg-ex31_150.htm" TargetMode="External"/><Relationship Id="rId305" Type="http://schemas.openxmlformats.org/officeDocument/2006/relationships/hyperlink" Target="https://www.sec.gov/Archives/edgar/data/813298/000156459021046526/dxlg-ex32_151.htm" TargetMode="External"/><Relationship Id="rId306" Type="http://schemas.openxmlformats.org/officeDocument/2006/relationships/hyperlink" Target="https://www.sec.gov/Archives/edgar/data/813298/000156459015005139/dxlg-ex31_2015061621.htm" TargetMode="External"/><Relationship Id="rId307" Type="http://schemas.openxmlformats.org/officeDocument/2006/relationships/hyperlink" Target="https://www.sec.gov/Archives/edgar/data/813298/000119312514102442/d657704dex103.htm" TargetMode="External"/><Relationship Id="rId308" Type="http://schemas.openxmlformats.org/officeDocument/2006/relationships/hyperlink" Target="https://www.sec.gov/Archives/edgar/data/813298/000156459021041917/dxlg-ex101_8.htm" TargetMode="External"/><Relationship Id="rId309" Type="http://schemas.openxmlformats.org/officeDocument/2006/relationships/hyperlink" Target="https://www.sec.gov/Archives/edgar/data/813298/000156459017004804/dxlg-ex103_69.htm" TargetMode="External"/><Relationship Id="rId310" Type="http://schemas.openxmlformats.org/officeDocument/2006/relationships/hyperlink" Target="https://www.sec.gov/Archives/edgar/data/813298/000156459020041484/dxlg-ex103_14.htm" TargetMode="External"/><Relationship Id="rId311" Type="http://schemas.openxmlformats.org/officeDocument/2006/relationships/hyperlink" Target="https://www.sec.gov/Archives/edgar/data/813298/000156459017004804/dxlg-ex105_67.htm" TargetMode="External"/><Relationship Id="rId312" Type="http://schemas.openxmlformats.org/officeDocument/2006/relationships/hyperlink" Target="https://www.sec.gov/Archives/edgar/data/813298/000156459017004804/dxlg-ex106_66.htm" TargetMode="External"/><Relationship Id="rId313" Type="http://schemas.openxmlformats.org/officeDocument/2006/relationships/hyperlink" Target="https://www.sec.gov/Archives/edgar/data/813298/000156459017004804/dxlg-ex107_65.htm" TargetMode="External"/><Relationship Id="rId314" Type="http://schemas.openxmlformats.org/officeDocument/2006/relationships/hyperlink" Target="https://www.sec.gov/Archives/edgar/data/813298/000156459017004804/dxlg-ex108_64.htm" TargetMode="External"/><Relationship Id="rId315" Type="http://schemas.openxmlformats.org/officeDocument/2006/relationships/hyperlink" Target="https://www.sec.gov/Archives/edgar/data/813298/000156459017004804/dxlg-ex109_63.htm" TargetMode="External"/><Relationship Id="rId316" Type="http://schemas.openxmlformats.org/officeDocument/2006/relationships/hyperlink" Target="https://www.sec.gov/Archives/edgar/data/813298/000156459019009017/dxlg-ex1010_86.htm" TargetMode="External"/><Relationship Id="rId317" Type="http://schemas.openxmlformats.org/officeDocument/2006/relationships/hyperlink" Target="https://www.sec.gov/Archives/edgar/data/813298/000095017021002592/dxlg-ex10_1.htm" TargetMode="External"/><Relationship Id="rId318" Type="http://schemas.openxmlformats.org/officeDocument/2006/relationships/hyperlink" Target="https://www.sec.gov/Archives/edgar/data/813298/000156459018014591/dxlg-ex101_7.htm" TargetMode="External"/><Relationship Id="rId322" Type="http://schemas.openxmlformats.org/officeDocument/2006/relationships/hyperlink" Target="https://www.sec.gov/Archives/edgar/data/813298/000156459019021876/dxlg-ex101_6.htm" TargetMode="External"/><Relationship Id="rId323" Type="http://schemas.openxmlformats.org/officeDocument/2006/relationships/hyperlink" Target="https://www.sec.gov/Archives/edgar/data/813298/000156459019034273/dxlg-ex101_6.htm" TargetMode="External"/><Relationship Id="rId324" Type="http://schemas.openxmlformats.org/officeDocument/2006/relationships/hyperlink" Target="https://www.sec.gov/Archives/edgar/data/813298/000156459020016963/dxlg-ex101_8.htm" TargetMode="External"/><Relationship Id="rId325" Type="http://schemas.openxmlformats.org/officeDocument/2006/relationships/hyperlink" Target="https://www.sec.gov/Archives/edgar/data/813298/000156459019003353/dxlg-ex101_6.htm" TargetMode="External"/><Relationship Id="rId326" Type="http://schemas.openxmlformats.org/officeDocument/2006/relationships/hyperlink" Target="https://www.sec.gov/Archives/edgar/data/813298/000156459018006679/dxlg-ex1032_18.htm" TargetMode="External"/><Relationship Id="rId327" Type="http://schemas.openxmlformats.org/officeDocument/2006/relationships/hyperlink" Target="https://www.sec.gov/Archives/edgar/data/813298/000119312510003992/dex102.htm" TargetMode="External"/><Relationship Id="rId328" Type="http://schemas.openxmlformats.org/officeDocument/2006/relationships/hyperlink" Target="https://www.sec.gov/Archives/edgar/data/813298/000119312510061836/dex1034.htm" TargetMode="External"/><Relationship Id="rId329" Type="http://schemas.openxmlformats.org/officeDocument/2006/relationships/hyperlink" Target="https://www.sec.gov/Archives/edgar/data/813298/000156459015007593/dxlg-ex102_92.htm" TargetMode="External"/><Relationship Id="rId330" Type="http://schemas.openxmlformats.org/officeDocument/2006/relationships/hyperlink" Target="https://www.sec.gov/Archives/edgar/data/813298/000156459018006679/dxlg-ex1041_16.htm" TargetMode="External"/><Relationship Id="rId331" Type="http://schemas.openxmlformats.org/officeDocument/2006/relationships/hyperlink" Target="https://www.sec.gov/Archives/edgar/data/813298/000156459020011796/dxlg-ex1029_133.htm" TargetMode="External"/><Relationship Id="rId332" Type="http://schemas.openxmlformats.org/officeDocument/2006/relationships/hyperlink" Target="https://www.sec.gov/Archives/edgar/data/813298/000156459020011796/dxlg-ex1030_254.htm" TargetMode="External"/><Relationship Id="rId333" Type="http://schemas.openxmlformats.org/officeDocument/2006/relationships/hyperlink" Target="https://www.sec.gov/Archives/edgar/data/813298/000156459020041484/dxlg-ex102_13.htm" TargetMode="External"/><Relationship Id="rId334" Type="http://schemas.openxmlformats.org/officeDocument/2006/relationships/hyperlink" Target="https://www.sec.gov/Archives/edgar/data/813298/000156459021030359/dxlg-ex101_30.htm" TargetMode="External"/><Relationship Id="rId337" Type="http://schemas.openxmlformats.org/officeDocument/2006/relationships/hyperlink" Target="https://www.sec.gov/Archives/edgar/data/813298/000156459019015868/dxlg-ex101_6.htm" TargetMode="External"/><Relationship Id="rId338" Type="http://schemas.openxmlformats.org/officeDocument/2006/relationships/hyperlink" Target="https://www.sec.gov/Archives/edgar/data/813298/000156459018016002/dxlg-ex101_6.htm" TargetMode="External"/><Relationship Id="rId339" Type="http://schemas.openxmlformats.org/officeDocument/2006/relationships/hyperlink" Target="https://www.sec.gov/Archives/edgar/data/813298/000156459018030322/dxlg-ex101_13.htm" TargetMode="External"/><Relationship Id="rId340" Type="http://schemas.openxmlformats.org/officeDocument/2006/relationships/hyperlink" Target="https://www.sec.gov/Archives/edgar/data/813298/000156459020029187/dxlg-ex101_6.htm" TargetMode="External"/><Relationship Id="rId341" Type="http://schemas.openxmlformats.org/officeDocument/2006/relationships/hyperlink" Target="https://www.sec.gov/Archives/edgar/data/813298/000156459017023975/dxlg-ex101_8.htm" TargetMode="External"/><Relationship Id="rId342" Type="http://schemas.openxmlformats.org/officeDocument/2006/relationships/hyperlink" Target="https://www.sec.gov/Archives/edgar/data/813298/000156459020011796/dxlg-ex1038_132.htm" TargetMode="External"/><Relationship Id="rId343" Type="http://schemas.openxmlformats.org/officeDocument/2006/relationships/hyperlink" Target="https://www.sec.gov/Archives/edgar/data/813298/000119312521030948/d132525dex101.htm" TargetMode="External"/><Relationship Id="rId344" Type="http://schemas.openxmlformats.org/officeDocument/2006/relationships/hyperlink" Target="https://www.sec.gov/Archives/edgar/data/813298/000119312521030948/d132525dex102.htm" TargetMode="External"/><Relationship Id="rId345" Type="http://schemas.openxmlformats.org/officeDocument/2006/relationships/hyperlink" Target="https://www.sec.gov/Archives/edgar/data/813298/000119312506019470/dex101.htm" TargetMode="External"/><Relationship Id="rId346" Type="http://schemas.openxmlformats.org/officeDocument/2006/relationships/hyperlink" Target="https://www.sec.gov/Archives/edgar/data/813298/000119312506019470/dex102.htm" TargetMode="External"/><Relationship Id="rId347" Type="http://schemas.openxmlformats.org/officeDocument/2006/relationships/hyperlink" Target="https://www.sec.gov/Archives/edgar/data/813298/00011931250601947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2022-03-17T14:10:16Z</dcterms:created>
  <dcterms:modified xsi:type="dcterms:W3CDTF">2022-03-17T14:10:16Z</dcterms:modified>
</cp:coreProperties>
</file>