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4928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28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HOLTZMAN SEYMOUR</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20"/>
        <w:spacing w:after="0" w:line="393" w:lineRule="auto"/>
        <w:rPr>
          <w:sz w:val="20"/>
          <w:szCs w:val="20"/>
          <w:color w:val="auto"/>
        </w:rPr>
      </w:pPr>
      <w:r>
        <w:rPr>
          <w:rFonts w:ascii="Arial" w:cs="Arial" w:eastAsia="Arial" w:hAnsi="Arial"/>
          <w:sz w:val="16"/>
          <w:szCs w:val="16"/>
          <w:color w:val="0000FF"/>
        </w:rPr>
        <w:t>C/O JEWELCOR - 4TH FLOOR 100 N WILKES BARRE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49"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cmrg </w:t>
      </w:r>
      <w:r>
        <w:rPr>
          <w:rFonts w:ascii="Arial" w:cs="Arial" w:eastAsia="Arial" w:hAnsi="Arial"/>
          <w:sz w:val="21"/>
          <w:szCs w:val="21"/>
          <w:color w:val="000000"/>
        </w:rPr>
        <w:t>]</w:t>
      </w:r>
    </w:p>
    <w:p>
      <w:pPr>
        <w:spacing w:after="0" w:line="33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09/25/2003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7" w:val="left"/>
          <w:tab w:leader="none" w:pos="1827" w:val="left"/>
          <w:tab w:leader="none" w:pos="21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5"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24" w:lineRule="exact"/>
        <w:rPr>
          <w:sz w:val="24"/>
          <w:szCs w:val="24"/>
          <w:color w:val="auto"/>
        </w:rPr>
      </w:pPr>
    </w:p>
    <w:p>
      <w:pPr>
        <w:sectPr>
          <w:pgSz w:w="11900" w:h="16838" w:orient="portrait"/>
          <w:cols w:equalWidth="0" w:num="3">
            <w:col w:w="3340" w:space="720"/>
            <w:col w:w="3620" w:space="353"/>
            <w:col w:w="3487"/>
          </w:cols>
          <w:pgMar w:left="240" w:top="224" w:right="139" w:bottom="1440" w:gutter="0" w:footer="0" w:header="0"/>
          <w:type w:val="continuous"/>
        </w:sectPr>
      </w:pP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WILKES</w:t>
            </w:r>
          </w:p>
        </w:tc>
        <w:tc>
          <w:tcPr>
            <w:tcW w:w="1140" w:type="dxa"/>
            <w:vAlign w:val="bottom"/>
            <w:vMerge w:val="restart"/>
          </w:tcPr>
          <w:p>
            <w:pPr>
              <w:ind w:left="300"/>
              <w:spacing w:after="0"/>
              <w:rPr>
                <w:sz w:val="20"/>
                <w:szCs w:val="20"/>
                <w:color w:val="auto"/>
              </w:rPr>
            </w:pPr>
            <w:r>
              <w:rPr>
                <w:rFonts w:ascii="Arial" w:cs="Arial" w:eastAsia="Arial" w:hAnsi="Arial"/>
                <w:sz w:val="17"/>
                <w:szCs w:val="17"/>
                <w:color w:val="0000FF"/>
              </w:rPr>
              <w:t>PA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18702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7"/>
                <w:szCs w:val="17"/>
                <w:color w:val="0000FF"/>
              </w:rPr>
              <w:t>BARRE</w:t>
            </w:r>
          </w:p>
        </w:tc>
        <w:tc>
          <w:tcPr>
            <w:tcW w:w="114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5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Warrants</w:t>
            </w:r>
          </w:p>
        </w:tc>
        <w:tc>
          <w:tcPr>
            <w:tcW w:w="8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6.83</w:t>
            </w:r>
            <w:r>
              <w:rPr>
                <w:rFonts w:ascii="Arial" w:cs="Arial" w:eastAsia="Arial" w:hAnsi="Arial"/>
                <w:sz w:val="22"/>
                <w:szCs w:val="22"/>
                <w:color w:val="008000"/>
                <w:vertAlign w:val="superscript"/>
              </w:rPr>
              <w:t>(1)</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20,000</w:t>
            </w:r>
          </w:p>
        </w:tc>
        <w:tc>
          <w:tcPr>
            <w:tcW w:w="720" w:type="dxa"/>
            <w:vAlign w:val="bottom"/>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13"/>
                <w:szCs w:val="13"/>
                <w:color w:val="0000FF"/>
              </w:rPr>
              <w:t>20,000</w:t>
            </w:r>
            <w:r>
              <w:rPr>
                <w:rFonts w:ascii="Arial" w:cs="Arial" w:eastAsia="Arial" w:hAnsi="Arial"/>
                <w:sz w:val="22"/>
                <w:szCs w:val="22"/>
                <w:color w:val="008000"/>
                <w:vertAlign w:val="superscript"/>
              </w:rPr>
              <w:t>(2)</w:t>
            </w:r>
          </w:p>
        </w:tc>
        <w:tc>
          <w:tcPr>
            <w:tcW w:w="74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3"/>
                <w:szCs w:val="13"/>
                <w:color w:val="0000FF"/>
              </w:rPr>
              <w:t>By Jewelcor</w:t>
            </w:r>
          </w:p>
        </w:tc>
        <w:tc>
          <w:tcPr>
            <w:tcW w:w="0" w:type="dxa"/>
            <w:vAlign w:val="bottom"/>
          </w:tcPr>
          <w:p>
            <w:pPr>
              <w:spacing w:after="0"/>
              <w:rPr>
                <w:sz w:val="1"/>
                <w:szCs w:val="1"/>
                <w:color w:val="auto"/>
              </w:rPr>
            </w:pPr>
          </w:p>
        </w:tc>
      </w:tr>
      <w:tr>
        <w:trPr>
          <w:trHeight w:val="142"/>
        </w:trPr>
        <w:tc>
          <w:tcPr>
            <w:tcW w:w="72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tcPr>
          <w:p>
            <w:pPr>
              <w:jc w:val="right"/>
              <w:ind w:right="179"/>
              <w:spacing w:after="0" w:line="142" w:lineRule="exact"/>
              <w:rPr>
                <w:sz w:val="20"/>
                <w:szCs w:val="20"/>
                <w:color w:val="auto"/>
              </w:rPr>
            </w:pPr>
            <w:r>
              <w:rPr>
                <w:rFonts w:ascii="Arial" w:cs="Arial" w:eastAsia="Arial" w:hAnsi="Arial"/>
                <w:sz w:val="13"/>
                <w:szCs w:val="13"/>
                <w:color w:val="0000FF"/>
              </w:rPr>
              <w:t>09/25/2003</w:t>
            </w:r>
          </w:p>
        </w:tc>
        <w:tc>
          <w:tcPr>
            <w:tcW w:w="1120" w:type="dxa"/>
            <w:vAlign w:val="bottom"/>
          </w:tcPr>
          <w:p>
            <w:pPr>
              <w:spacing w:after="0"/>
              <w:rPr>
                <w:sz w:val="12"/>
                <w:szCs w:val="12"/>
                <w:color w:val="auto"/>
              </w:rPr>
            </w:pPr>
          </w:p>
        </w:tc>
        <w:tc>
          <w:tcPr>
            <w:tcW w:w="820" w:type="dxa"/>
            <w:vAlign w:val="bottom"/>
          </w:tcPr>
          <w:p>
            <w:pPr>
              <w:ind w:left="180"/>
              <w:spacing w:after="0" w:line="142" w:lineRule="exact"/>
              <w:rPr>
                <w:sz w:val="20"/>
                <w:szCs w:val="20"/>
                <w:color w:val="auto"/>
              </w:rPr>
            </w:pPr>
            <w:r>
              <w:rPr>
                <w:rFonts w:ascii="Arial" w:cs="Arial" w:eastAsia="Arial" w:hAnsi="Arial"/>
                <w:sz w:val="13"/>
                <w:szCs w:val="13"/>
                <w:color w:val="0000FF"/>
              </w:rPr>
              <w:t>A</w:t>
            </w:r>
          </w:p>
        </w:tc>
        <w:tc>
          <w:tcPr>
            <w:tcW w:w="520" w:type="dxa"/>
            <w:vAlign w:val="bottom"/>
          </w:tcPr>
          <w:p>
            <w:pPr>
              <w:ind w:left="100"/>
              <w:spacing w:after="0" w:line="142" w:lineRule="exact"/>
              <w:rPr>
                <w:sz w:val="20"/>
                <w:szCs w:val="20"/>
                <w:color w:val="auto"/>
              </w:rPr>
            </w:pPr>
            <w:r>
              <w:rPr>
                <w:rFonts w:ascii="Arial" w:cs="Arial" w:eastAsia="Arial" w:hAnsi="Arial"/>
                <w:sz w:val="13"/>
                <w:szCs w:val="13"/>
                <w:color w:val="0000FF"/>
              </w:rPr>
              <w:t>20,000</w:t>
            </w:r>
          </w:p>
        </w:tc>
        <w:tc>
          <w:tcPr>
            <w:tcW w:w="320" w:type="dxa"/>
            <w:vAlign w:val="bottom"/>
          </w:tcPr>
          <w:p>
            <w:pPr>
              <w:spacing w:after="0"/>
              <w:rPr>
                <w:sz w:val="12"/>
                <w:szCs w:val="12"/>
                <w:color w:val="auto"/>
              </w:rPr>
            </w:pPr>
          </w:p>
        </w:tc>
        <w:tc>
          <w:tcPr>
            <w:tcW w:w="800" w:type="dxa"/>
            <w:vAlign w:val="bottom"/>
          </w:tcPr>
          <w:p>
            <w:pPr>
              <w:ind w:left="100"/>
              <w:spacing w:after="0" w:line="142" w:lineRule="exact"/>
              <w:rPr>
                <w:sz w:val="20"/>
                <w:szCs w:val="20"/>
                <w:color w:val="auto"/>
              </w:rPr>
            </w:pPr>
            <w:r>
              <w:rPr>
                <w:rFonts w:ascii="Arial" w:cs="Arial" w:eastAsia="Arial" w:hAnsi="Arial"/>
                <w:sz w:val="13"/>
                <w:szCs w:val="13"/>
                <w:color w:val="0000FF"/>
              </w:rPr>
              <w:t>09/25/2003</w:t>
            </w:r>
          </w:p>
        </w:tc>
        <w:tc>
          <w:tcPr>
            <w:tcW w:w="740" w:type="dxa"/>
            <w:vAlign w:val="bottom"/>
          </w:tcPr>
          <w:p>
            <w:pPr>
              <w:ind w:left="80"/>
              <w:spacing w:after="0" w:line="142" w:lineRule="exact"/>
              <w:rPr>
                <w:sz w:val="20"/>
                <w:szCs w:val="20"/>
                <w:color w:val="auto"/>
              </w:rPr>
            </w:pPr>
            <w:r>
              <w:rPr>
                <w:rFonts w:ascii="Arial" w:cs="Arial" w:eastAsia="Arial" w:hAnsi="Arial"/>
                <w:sz w:val="13"/>
                <w:szCs w:val="13"/>
                <w:color w:val="0000FF"/>
                <w:w w:val="98"/>
              </w:rPr>
              <w:t>07/02/2010</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tcPr>
          <w:p>
            <w:pPr>
              <w:ind w:left="30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continue"/>
          </w:tcPr>
          <w:p>
            <w:pPr>
              <w:spacing w:after="0"/>
              <w:rPr>
                <w:sz w:val="12"/>
                <w:szCs w:val="12"/>
                <w:color w:val="auto"/>
              </w:rPr>
            </w:pPr>
          </w:p>
        </w:tc>
        <w:tc>
          <w:tcPr>
            <w:tcW w:w="740" w:type="dxa"/>
            <w:vAlign w:val="bottom"/>
          </w:tcPr>
          <w:p>
            <w:pPr>
              <w:ind w:left="360"/>
              <w:spacing w:after="0" w:line="142" w:lineRule="exact"/>
              <w:rPr>
                <w:sz w:val="20"/>
                <w:szCs w:val="20"/>
                <w:color w:val="auto"/>
              </w:rPr>
            </w:pPr>
            <w:r>
              <w:rPr>
                <w:rFonts w:ascii="Arial" w:cs="Arial" w:eastAsia="Arial" w:hAnsi="Arial"/>
                <w:sz w:val="13"/>
                <w:szCs w:val="13"/>
                <w:color w:val="0000FF"/>
              </w:rPr>
              <w:t>I</w:t>
            </w:r>
          </w:p>
        </w:tc>
        <w:tc>
          <w:tcPr>
            <w:tcW w:w="880" w:type="dxa"/>
            <w:vAlign w:val="bottom"/>
          </w:tcPr>
          <w:p>
            <w:pPr>
              <w:ind w:left="80"/>
              <w:spacing w:after="0" w:line="142" w:lineRule="exact"/>
              <w:rPr>
                <w:sz w:val="20"/>
                <w:szCs w:val="20"/>
                <w:color w:val="auto"/>
              </w:rPr>
            </w:pPr>
            <w:r>
              <w:rPr>
                <w:rFonts w:ascii="Arial" w:cs="Arial" w:eastAsia="Arial" w:hAnsi="Arial"/>
                <w:sz w:val="13"/>
                <w:szCs w:val="13"/>
                <w:color w:val="0000FF"/>
                <w:w w:val="98"/>
              </w:rPr>
              <w:t>Management,</w:t>
            </w:r>
          </w:p>
        </w:tc>
        <w:tc>
          <w:tcPr>
            <w:tcW w:w="0" w:type="dxa"/>
            <w:vAlign w:val="bottom"/>
          </w:tcPr>
          <w:p>
            <w:pPr>
              <w:spacing w:after="0"/>
              <w:rPr>
                <w:sz w:val="1"/>
                <w:szCs w:val="1"/>
                <w:color w:val="auto"/>
              </w:rPr>
            </w:pPr>
          </w:p>
        </w:tc>
      </w:tr>
      <w:tr>
        <w:trPr>
          <w:trHeight w:val="133"/>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180"/>
              <w:spacing w:after="0" w:line="133"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vMerge w:val="restart"/>
          </w:tcPr>
          <w:p>
            <w:pPr>
              <w:ind w:left="80"/>
              <w:spacing w:after="0"/>
              <w:rPr>
                <w:sz w:val="20"/>
                <w:szCs w:val="20"/>
                <w:color w:val="auto"/>
              </w:rPr>
            </w:pPr>
            <w:r>
              <w:rPr>
                <w:rFonts w:ascii="Arial" w:cs="Arial" w:eastAsia="Arial" w:hAnsi="Arial"/>
                <w:sz w:val="13"/>
                <w:szCs w:val="13"/>
                <w:color w:val="0000FF"/>
              </w:rPr>
              <w:t>Inc.</w:t>
            </w: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Exercise price is based on the average closing price of the Issuer's Common Stock on the NASDAQ National Market for the period of 30 trading days ending September 24, 2003.</w:t>
      </w:r>
    </w:p>
    <w:p>
      <w:pPr>
        <w:spacing w:after="0" w:line="49" w:lineRule="exact"/>
        <w:rPr>
          <w:rFonts w:ascii="Arial" w:cs="Arial" w:eastAsia="Arial" w:hAnsi="Arial"/>
          <w:sz w:val="13"/>
          <w:szCs w:val="13"/>
          <w:color w:val="008000"/>
        </w:rPr>
      </w:pPr>
    </w:p>
    <w:p>
      <w:pPr>
        <w:ind w:left="40" w:right="6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has previously reported issuance of warrants to Jewelcor Management, Inc. to purchase an aggregate of 207,059 shares of the Issuer's Common Stock, which warrants are currently exercisable.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right="140"/>
        <w:spacing w:after="0" w:line="273" w:lineRule="auto"/>
        <w:rPr>
          <w:sz w:val="20"/>
          <w:szCs w:val="20"/>
          <w:color w:val="auto"/>
        </w:rPr>
      </w:pPr>
      <w:r>
        <w:rPr>
          <w:rFonts w:ascii="Arial" w:cs="Arial" w:eastAsia="Arial" w:hAnsi="Arial"/>
          <w:sz w:val="12"/>
          <w:szCs w:val="12"/>
          <w:color w:val="008000"/>
        </w:rPr>
        <w:t>The Reporting Person is an indirect controlling shareholder of Jewelcor Management, Inc. a holder of more than 10% of the Issuer's Common Stock. The Reporting Person has previously reported grants of options to purchase an aggregate of 1,130,000 shares of the Issuer's Common Stock. The Reporting Person has previously reported direct beneficial ownership of 12,765 shares of the Issuer's Common Stock.</w:t>
      </w:r>
    </w:p>
    <w:p>
      <w:pPr>
        <w:ind w:left="6860"/>
        <w:spacing w:after="0" w:line="180" w:lineRule="auto"/>
        <w:rPr>
          <w:sz w:val="20"/>
          <w:szCs w:val="20"/>
          <w:color w:val="auto"/>
        </w:rPr>
      </w:pPr>
      <w:r>
        <w:rPr>
          <w:rFonts w:ascii="Arial" w:cs="Arial" w:eastAsia="Arial" w:hAnsi="Arial"/>
          <w:sz w:val="17"/>
          <w:szCs w:val="17"/>
          <w:color w:val="0000FF"/>
        </w:rPr>
        <w:t xml:space="preserve">Richard Huffsmith Attorney-in- </w:t>
      </w:r>
      <w:r>
        <w:rPr>
          <w:rFonts w:ascii="Arial" w:cs="Arial" w:eastAsia="Arial" w:hAnsi="Arial"/>
          <w:sz w:val="33"/>
          <w:szCs w:val="33"/>
          <w:color w:val="0000FF"/>
          <w:vertAlign w:val="subscript"/>
        </w:rPr>
        <w:t>09/29/2003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-27940</wp:posOffset>
            </wp:positionV>
            <wp:extent cx="1399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 for Seymour Holtzman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-17145</wp:posOffset>
            </wp:positionV>
            <wp:extent cx="1227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7455" cy="8255"/>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-85090</wp:posOffset>
            </wp:positionV>
            <wp:extent cx="499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745" cy="8255"/>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2019-12-16T05:21:09Z</dcterms:created>
  <dcterms:modified xsi:type="dcterms:W3CDTF">2019-12-16T05:21:09Z</dcterms:modified>
</cp:coreProperties>
</file>