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02/02/2023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02/02/2023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34"/>
                <w:szCs w:val="34"/>
                <w:color w:val="0000FF"/>
                <w:w w:val="99"/>
                <w:vertAlign w:val="subscript"/>
              </w:rPr>
              <w:t>2,500</w:t>
            </w:r>
            <w:r>
              <w:rPr>
                <w:rFonts w:ascii="Times New Roman" w:cs="Times New Roman" w:eastAsia="Times New Roman" w:hAnsi="Times New Roman"/>
                <w:sz w:val="11"/>
                <w:szCs w:val="11"/>
                <w:color w:val="008000"/>
                <w:w w:val="99"/>
              </w:rPr>
              <w:t>(2)(3)</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7.5384</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9,425,974</w:t>
            </w:r>
            <w:r>
              <w:rPr>
                <w:rFonts w:ascii="Times New Roman" w:cs="Times New Roman" w:eastAsia="Times New Roman" w:hAnsi="Times New Roman"/>
                <w:sz w:val="22"/>
                <w:szCs w:val="22"/>
                <w:color w:val="008000"/>
                <w:w w:val="99"/>
                <w:vertAlign w:val="superscript"/>
              </w:rPr>
              <w:t>(2)(3)</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8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5,746,193 shares of Common Stock of the Issuer (the Shares) held by SSFQP, 1,804,905 Shares held by Cay and 1,874,876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2023-02-06T15:23:55Z</dcterms:created>
  <dcterms:modified xsi:type="dcterms:W3CDTF">2023-02-06T15:23:55Z</dcterms:modified>
</cp:coreProperties>
</file>