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19,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2 OF 10 PAGES</w:t>
      </w:r>
    </w:p>
    <w:p>
      <w:pPr>
        <w:spacing w:after="0" w:line="140" w:lineRule="exact"/>
        <w:rPr>
          <w:sz w:val="20"/>
          <w:szCs w:val="20"/>
          <w:color w:val="auto"/>
        </w:rPr>
      </w:pPr>
    </w:p>
    <w:p>
      <w:pPr>
        <w:ind w:left="720" w:hanging="465"/>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49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449060"/>
                    </a:xfrm>
                    <a:prstGeom prst="rect">
                      <a:avLst/>
                    </a:prstGeom>
                    <a:noFill/>
                  </pic:spPr>
                </pic:pic>
              </a:graphicData>
            </a:graphic>
          </wp:anchor>
        </w:drawing>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275"/>
        </w:trPr>
        <w:tc>
          <w:tcPr>
            <w:tcW w:w="3720" w:type="dxa"/>
            <w:vAlign w:val="bottom"/>
          </w:tcPr>
          <w:p>
            <w:pPr>
              <w:spacing w:after="0"/>
              <w:rPr>
                <w:sz w:val="20"/>
                <w:szCs w:val="20"/>
                <w:color w:val="auto"/>
              </w:rPr>
            </w:pPr>
            <w:r>
              <w:rPr>
                <w:rFonts w:ascii="Arial" w:cs="Arial" w:eastAsia="Arial" w:hAnsi="Arial"/>
                <w:sz w:val="22"/>
                <w:szCs w:val="22"/>
                <w:color w:val="auto"/>
              </w:rPr>
              <w:t>Red Mountain Capital Partners LLC</w:t>
            </w:r>
          </w:p>
        </w:tc>
        <w:tc>
          <w:tcPr>
            <w:tcW w:w="1600" w:type="dxa"/>
            <w:vAlign w:val="bottom"/>
          </w:tcPr>
          <w:p>
            <w:pPr>
              <w:jc w:val="right"/>
              <w:spacing w:after="0"/>
              <w:rPr>
                <w:sz w:val="20"/>
                <w:szCs w:val="20"/>
                <w:color w:val="auto"/>
              </w:rPr>
            </w:pPr>
            <w:r>
              <w:rPr>
                <w:rFonts w:ascii="Arial" w:cs="Arial" w:eastAsia="Arial" w:hAnsi="Arial"/>
                <w:sz w:val="22"/>
                <w:szCs w:val="22"/>
                <w:color w:val="auto"/>
              </w:rPr>
              <w:t>73-1726370</w:t>
            </w:r>
          </w:p>
        </w:tc>
      </w:tr>
    </w:tbl>
    <w:p>
      <w:pPr>
        <w:ind w:left="720" w:hanging="465"/>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720" w:hanging="465"/>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r>
        <w:rPr>
          <w:rFonts w:ascii="Arial" w:cs="Arial" w:eastAsia="Arial" w:hAnsi="Arial"/>
          <w:sz w:val="18"/>
          <w:szCs w:val="18"/>
          <w:color w:val="auto"/>
        </w:rPr>
        <w:t>*</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720" w:right="2080" w:hanging="465"/>
        <w:spacing w:after="0" w:line="280" w:lineRule="auto"/>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161" w:lineRule="exact"/>
        <w:rPr>
          <w:sz w:val="20"/>
          <w:szCs w:val="20"/>
          <w:color w:val="auto"/>
        </w:rPr>
      </w:pPr>
    </w:p>
    <w:p>
      <w:pPr>
        <w:ind w:left="7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20" w:hanging="465"/>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0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ind w:left="400" w:hanging="30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400" w:hanging="30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60" w:space="200"/>
            <w:col w:w="9660"/>
          </w:cols>
          <w:pgMar w:left="240" w:top="274" w:right="239" w:bottom="1440" w:gutter="0" w:footer="0" w:header="0"/>
          <w:type w:val="continuous"/>
        </w:sect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5,924,254 shares (See Item 5)</w:t>
      </w:r>
    </w:p>
    <w:p>
      <w:pPr>
        <w:spacing w:after="0" w:line="22" w:lineRule="exact"/>
        <w:rPr>
          <w:sz w:val="20"/>
          <w:szCs w:val="20"/>
          <w:color w:val="auto"/>
        </w:rPr>
      </w:pPr>
    </w:p>
    <w:p>
      <w:pPr>
        <w:ind w:left="720" w:hanging="555"/>
        <w:spacing w:after="0" w:line="207" w:lineRule="exact"/>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720" w:hanging="555"/>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11.7% (See Item 5)</w:t>
      </w:r>
    </w:p>
    <w:p>
      <w:pPr>
        <w:spacing w:after="0" w:line="22" w:lineRule="exact"/>
        <w:rPr>
          <w:sz w:val="20"/>
          <w:szCs w:val="20"/>
          <w:color w:val="auto"/>
        </w:rPr>
      </w:pPr>
    </w:p>
    <w:p>
      <w:pPr>
        <w:ind w:left="720" w:hanging="555"/>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20"/>
          </w:cols>
          <w:pgMar w:left="240" w:top="274" w:right="239" w:bottom="1440" w:gutter="0" w:footer="0" w:header="0"/>
          <w:type w:val="continuous"/>
        </w:sectPr>
      </w:pPr>
    </w:p>
    <w:bookmarkStart w:id="2" w:name="page3"/>
    <w:bookmarkEnd w:id="2"/>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3 OF 10 PAGES</w:t>
      </w:r>
    </w:p>
    <w:p>
      <w:pPr>
        <w:spacing w:after="0" w:line="140" w:lineRule="exact"/>
        <w:rPr>
          <w:sz w:val="20"/>
          <w:szCs w:val="20"/>
          <w:color w:val="auto"/>
        </w:rPr>
      </w:pPr>
    </w:p>
    <w:p>
      <w:pPr>
        <w:ind w:left="720" w:hanging="465"/>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49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449060"/>
                    </a:xfrm>
                    <a:prstGeom prst="rect">
                      <a:avLst/>
                    </a:prstGeom>
                    <a:noFill/>
                  </pic:spPr>
                </pic:pic>
              </a:graphicData>
            </a:graphic>
          </wp:anchor>
        </w:drawing>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275"/>
        </w:trPr>
        <w:tc>
          <w:tcPr>
            <w:tcW w:w="3100" w:type="dxa"/>
            <w:vAlign w:val="bottom"/>
          </w:tcPr>
          <w:p>
            <w:pPr>
              <w:spacing w:after="0"/>
              <w:rPr>
                <w:sz w:val="20"/>
                <w:szCs w:val="20"/>
                <w:color w:val="auto"/>
              </w:rPr>
            </w:pPr>
            <w:r>
              <w:rPr>
                <w:rFonts w:ascii="Arial" w:cs="Arial" w:eastAsia="Arial" w:hAnsi="Arial"/>
                <w:sz w:val="22"/>
                <w:szCs w:val="22"/>
                <w:color w:val="auto"/>
              </w:rPr>
              <w:t>Red Mountain Partners, L.P.</w:t>
            </w:r>
          </w:p>
        </w:tc>
        <w:tc>
          <w:tcPr>
            <w:tcW w:w="1680" w:type="dxa"/>
            <w:vAlign w:val="bottom"/>
          </w:tcPr>
          <w:p>
            <w:pPr>
              <w:jc w:val="right"/>
              <w:spacing w:after="0"/>
              <w:rPr>
                <w:sz w:val="20"/>
                <w:szCs w:val="20"/>
                <w:color w:val="auto"/>
              </w:rPr>
            </w:pPr>
            <w:r>
              <w:rPr>
                <w:rFonts w:ascii="Arial" w:cs="Arial" w:eastAsia="Arial" w:hAnsi="Arial"/>
                <w:sz w:val="22"/>
                <w:szCs w:val="22"/>
                <w:color w:val="auto"/>
              </w:rPr>
              <w:t>20-4117349</w:t>
            </w:r>
          </w:p>
        </w:tc>
      </w:tr>
    </w:tbl>
    <w:p>
      <w:pPr>
        <w:ind w:left="720" w:hanging="465"/>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720" w:hanging="465"/>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r>
        <w:rPr>
          <w:rFonts w:ascii="Arial" w:cs="Arial" w:eastAsia="Arial" w:hAnsi="Arial"/>
          <w:sz w:val="18"/>
          <w:szCs w:val="18"/>
          <w:color w:val="auto"/>
        </w:rPr>
        <w:t>*</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WC (See Item 3)</w:t>
      </w:r>
    </w:p>
    <w:p>
      <w:pPr>
        <w:spacing w:after="0" w:line="22" w:lineRule="exact"/>
        <w:rPr>
          <w:sz w:val="20"/>
          <w:szCs w:val="20"/>
          <w:color w:val="auto"/>
        </w:rPr>
      </w:pPr>
    </w:p>
    <w:p>
      <w:pPr>
        <w:ind w:left="720" w:right="2080" w:hanging="465"/>
        <w:spacing w:after="0" w:line="280" w:lineRule="auto"/>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161" w:lineRule="exact"/>
        <w:rPr>
          <w:sz w:val="20"/>
          <w:szCs w:val="20"/>
          <w:color w:val="auto"/>
        </w:rPr>
      </w:pPr>
    </w:p>
    <w:p>
      <w:pPr>
        <w:ind w:left="7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20" w:hanging="465"/>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0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ind w:left="400" w:hanging="302"/>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400" w:hanging="30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60" w:space="200"/>
            <w:col w:w="9660"/>
          </w:cols>
          <w:pgMar w:left="240" w:top="274" w:right="239" w:bottom="1440" w:gutter="0" w:footer="0" w:header="0"/>
          <w:type w:val="continuous"/>
        </w:sect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5,924,254 shares (See Item 5)</w:t>
      </w:r>
    </w:p>
    <w:p>
      <w:pPr>
        <w:spacing w:after="0" w:line="22" w:lineRule="exact"/>
        <w:rPr>
          <w:sz w:val="20"/>
          <w:szCs w:val="20"/>
          <w:color w:val="auto"/>
        </w:rPr>
      </w:pPr>
    </w:p>
    <w:p>
      <w:pPr>
        <w:ind w:left="720" w:hanging="555"/>
        <w:spacing w:after="0" w:line="207" w:lineRule="exact"/>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720" w:hanging="555"/>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11.7% (See Item 5)</w:t>
      </w:r>
    </w:p>
    <w:p>
      <w:pPr>
        <w:spacing w:after="0" w:line="22"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PN – Limited Partnership</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20"/>
          </w:cols>
          <w:pgMar w:left="240" w:top="274" w:right="239" w:bottom="1440" w:gutter="0" w:footer="0" w:header="0"/>
          <w:type w:val="continuous"/>
        </w:sectPr>
      </w:pPr>
    </w:p>
    <w:bookmarkStart w:id="3" w:name="page4"/>
    <w:bookmarkEnd w:id="3"/>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4 OF 10 PAGES</w:t>
      </w:r>
    </w:p>
    <w:p>
      <w:pPr>
        <w:spacing w:after="0" w:line="140" w:lineRule="exact"/>
        <w:rPr>
          <w:sz w:val="20"/>
          <w:szCs w:val="20"/>
          <w:color w:val="auto"/>
        </w:rPr>
      </w:pPr>
    </w:p>
    <w:p>
      <w:pPr>
        <w:ind w:left="720" w:hanging="465"/>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49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449060"/>
                    </a:xfrm>
                    <a:prstGeom prst="rect">
                      <a:avLst/>
                    </a:prstGeom>
                    <a:noFill/>
                  </pic:spPr>
                </pic:pic>
              </a:graphicData>
            </a:graphic>
          </wp:anchor>
        </w:drawing>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275"/>
        </w:trPr>
        <w:tc>
          <w:tcPr>
            <w:tcW w:w="2040" w:type="dxa"/>
            <w:vAlign w:val="bottom"/>
          </w:tcPr>
          <w:p>
            <w:pPr>
              <w:spacing w:after="0"/>
              <w:rPr>
                <w:sz w:val="20"/>
                <w:szCs w:val="20"/>
                <w:color w:val="auto"/>
              </w:rPr>
            </w:pPr>
            <w:r>
              <w:rPr>
                <w:rFonts w:ascii="Arial" w:cs="Arial" w:eastAsia="Arial" w:hAnsi="Arial"/>
                <w:sz w:val="22"/>
                <w:szCs w:val="22"/>
                <w:color w:val="auto"/>
              </w:rPr>
              <w:t>RMCP GP LLC</w:t>
            </w:r>
          </w:p>
        </w:tc>
        <w:tc>
          <w:tcPr>
            <w:tcW w:w="1680" w:type="dxa"/>
            <w:vAlign w:val="bottom"/>
          </w:tcPr>
          <w:p>
            <w:pPr>
              <w:jc w:val="right"/>
              <w:spacing w:after="0"/>
              <w:rPr>
                <w:sz w:val="20"/>
                <w:szCs w:val="20"/>
                <w:color w:val="auto"/>
              </w:rPr>
            </w:pPr>
            <w:r>
              <w:rPr>
                <w:rFonts w:ascii="Arial" w:cs="Arial" w:eastAsia="Arial" w:hAnsi="Arial"/>
                <w:sz w:val="22"/>
                <w:szCs w:val="22"/>
                <w:color w:val="auto"/>
              </w:rPr>
              <w:t>20-4442412</w:t>
            </w:r>
          </w:p>
        </w:tc>
      </w:tr>
    </w:tbl>
    <w:p>
      <w:pPr>
        <w:ind w:left="720" w:hanging="465"/>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720" w:hanging="465"/>
        <w:spacing w:after="0"/>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r>
        <w:rPr>
          <w:rFonts w:ascii="Arial" w:cs="Arial" w:eastAsia="Arial" w:hAnsi="Arial"/>
          <w:sz w:val="18"/>
          <w:szCs w:val="18"/>
          <w:color w:val="auto"/>
        </w:rPr>
        <w:t>*</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720" w:right="2080" w:hanging="465"/>
        <w:spacing w:after="0" w:line="280"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161" w:lineRule="exact"/>
        <w:rPr>
          <w:sz w:val="20"/>
          <w:szCs w:val="20"/>
          <w:color w:val="auto"/>
        </w:rPr>
      </w:pPr>
    </w:p>
    <w:p>
      <w:pPr>
        <w:ind w:left="7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20" w:hanging="465"/>
        <w:spacing w:after="0"/>
        <w:tabs>
          <w:tab w:leader="none" w:pos="7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02"/>
        <w:spacing w:after="0"/>
        <w:tabs>
          <w:tab w:leader="none" w:pos="4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ind w:left="400" w:hanging="302"/>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400" w:hanging="302"/>
        <w:spacing w:after="0"/>
        <w:tabs>
          <w:tab w:leader="none" w:pos="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60" w:space="200"/>
            <w:col w:w="9660"/>
          </w:cols>
          <w:pgMar w:left="240" w:top="274" w:right="239" w:bottom="1440" w:gutter="0" w:footer="0" w:header="0"/>
          <w:type w:val="continuous"/>
        </w:sect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5,924,254 shares (See Item 5)</w:t>
      </w:r>
    </w:p>
    <w:p>
      <w:pPr>
        <w:spacing w:after="0" w:line="22" w:lineRule="exact"/>
        <w:rPr>
          <w:sz w:val="20"/>
          <w:szCs w:val="20"/>
          <w:color w:val="auto"/>
        </w:rPr>
      </w:pPr>
    </w:p>
    <w:p>
      <w:pPr>
        <w:ind w:left="720" w:hanging="555"/>
        <w:spacing w:after="0" w:line="207" w:lineRule="exact"/>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720" w:hanging="555"/>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11.7% (See Item 5)</w:t>
      </w:r>
    </w:p>
    <w:p>
      <w:pPr>
        <w:spacing w:after="0" w:line="22" w:lineRule="exact"/>
        <w:rPr>
          <w:sz w:val="20"/>
          <w:szCs w:val="20"/>
          <w:color w:val="auto"/>
        </w:rPr>
      </w:pPr>
    </w:p>
    <w:p>
      <w:pPr>
        <w:ind w:left="720" w:hanging="555"/>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20"/>
          </w:cols>
          <w:pgMar w:left="240" w:top="274" w:right="239" w:bottom="1440" w:gutter="0" w:footer="0" w:header="0"/>
          <w:type w:val="continuous"/>
        </w:sectPr>
      </w:pPr>
    </w:p>
    <w:bookmarkStart w:id="4" w:name="page5"/>
    <w:bookmarkEnd w:id="4"/>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5 OF 10 PAGES</w:t>
      </w:r>
    </w:p>
    <w:p>
      <w:pPr>
        <w:spacing w:after="0" w:line="140" w:lineRule="exact"/>
        <w:rPr>
          <w:sz w:val="20"/>
          <w:szCs w:val="20"/>
          <w:color w:val="auto"/>
        </w:rPr>
      </w:pPr>
    </w:p>
    <w:p>
      <w:pPr>
        <w:ind w:left="720" w:hanging="465"/>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49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449060"/>
                    </a:xfrm>
                    <a:prstGeom prst="rect">
                      <a:avLst/>
                    </a:prstGeom>
                    <a:noFill/>
                  </pic:spPr>
                </pic:pic>
              </a:graphicData>
            </a:graphic>
          </wp:anchor>
        </w:drawing>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275"/>
        </w:trPr>
        <w:tc>
          <w:tcPr>
            <w:tcW w:w="4200" w:type="dxa"/>
            <w:vAlign w:val="bottom"/>
          </w:tcPr>
          <w:p>
            <w:pPr>
              <w:spacing w:after="0"/>
              <w:rPr>
                <w:sz w:val="20"/>
                <w:szCs w:val="20"/>
                <w:color w:val="auto"/>
              </w:rPr>
            </w:pPr>
            <w:r>
              <w:rPr>
                <w:rFonts w:ascii="Arial" w:cs="Arial" w:eastAsia="Arial" w:hAnsi="Arial"/>
                <w:sz w:val="22"/>
                <w:szCs w:val="22"/>
                <w:color w:val="auto"/>
              </w:rPr>
              <w:t>Red Mountain Capital Management, Inc.</w:t>
            </w:r>
          </w:p>
        </w:tc>
        <w:tc>
          <w:tcPr>
            <w:tcW w:w="1680" w:type="dxa"/>
            <w:vAlign w:val="bottom"/>
          </w:tcPr>
          <w:p>
            <w:pPr>
              <w:jc w:val="right"/>
              <w:spacing w:after="0"/>
              <w:rPr>
                <w:sz w:val="20"/>
                <w:szCs w:val="20"/>
                <w:color w:val="auto"/>
              </w:rPr>
            </w:pPr>
            <w:r>
              <w:rPr>
                <w:rFonts w:ascii="Arial" w:cs="Arial" w:eastAsia="Arial" w:hAnsi="Arial"/>
                <w:sz w:val="22"/>
                <w:szCs w:val="22"/>
                <w:color w:val="auto"/>
              </w:rPr>
              <w:t>13-4057186</w:t>
            </w:r>
          </w:p>
        </w:tc>
      </w:tr>
    </w:tbl>
    <w:p>
      <w:pPr>
        <w:ind w:left="720" w:hanging="465"/>
        <w:spacing w:after="0"/>
        <w:tabs>
          <w:tab w:leader="none" w:pos="7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720" w:hanging="465"/>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r>
        <w:rPr>
          <w:rFonts w:ascii="Arial" w:cs="Arial" w:eastAsia="Arial" w:hAnsi="Arial"/>
          <w:sz w:val="18"/>
          <w:szCs w:val="18"/>
          <w:color w:val="auto"/>
        </w:rPr>
        <w:t>*</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720" w:right="2080" w:hanging="465"/>
        <w:spacing w:after="0" w:line="280" w:lineRule="auto"/>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161" w:lineRule="exact"/>
        <w:rPr>
          <w:sz w:val="20"/>
          <w:szCs w:val="20"/>
          <w:color w:val="auto"/>
        </w:rPr>
      </w:pPr>
    </w:p>
    <w:p>
      <w:pPr>
        <w:ind w:left="7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20" w:hanging="465"/>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0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ind w:left="400" w:hanging="30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400" w:hanging="30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5,924,254 shares (See Item 5)</w:t>
      </w:r>
    </w:p>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60" w:space="200"/>
            <w:col w:w="9660"/>
          </w:cols>
          <w:pgMar w:left="240" w:top="274" w:right="239" w:bottom="1440" w:gutter="0" w:footer="0" w:header="0"/>
          <w:type w:val="continuous"/>
        </w:sect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5,924,254 shares (See Item 5)</w:t>
      </w:r>
    </w:p>
    <w:p>
      <w:pPr>
        <w:spacing w:after="0" w:line="22" w:lineRule="exact"/>
        <w:rPr>
          <w:sz w:val="20"/>
          <w:szCs w:val="20"/>
          <w:color w:val="auto"/>
        </w:rPr>
      </w:pPr>
    </w:p>
    <w:p>
      <w:pPr>
        <w:ind w:left="720" w:hanging="555"/>
        <w:spacing w:after="0" w:line="207" w:lineRule="exact"/>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720" w:hanging="555"/>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11.7% (See Item 5)</w:t>
      </w:r>
    </w:p>
    <w:p>
      <w:pPr>
        <w:spacing w:after="0" w:line="22"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CO – Corporation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20"/>
          </w:cols>
          <w:pgMar w:left="240" w:top="274" w:right="239" w:bottom="1440" w:gutter="0" w:footer="0" w:header="0"/>
          <w:type w:val="continuous"/>
        </w:sectPr>
      </w:pPr>
    </w:p>
    <w:bookmarkStart w:id="5" w:name="page6"/>
    <w:bookmarkEnd w:id="5"/>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6 OF 10 PAGES</w:t>
      </w:r>
    </w:p>
    <w:p>
      <w:pPr>
        <w:spacing w:after="0" w:line="140" w:lineRule="exact"/>
        <w:rPr>
          <w:sz w:val="20"/>
          <w:szCs w:val="20"/>
          <w:color w:val="auto"/>
        </w:rPr>
      </w:pPr>
    </w:p>
    <w:p>
      <w:pPr>
        <w:ind w:left="720" w:hanging="465"/>
        <w:spacing w:after="0"/>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449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449060"/>
                    </a:xfrm>
                    <a:prstGeom prst="rect">
                      <a:avLst/>
                    </a:prstGeom>
                    <a:noFill/>
                  </pic:spPr>
                </pic:pic>
              </a:graphicData>
            </a:graphic>
          </wp:anchor>
        </w:drawing>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Willem Mesdag</w:t>
      </w:r>
    </w:p>
    <w:p>
      <w:pPr>
        <w:spacing w:after="0" w:line="22" w:lineRule="exact"/>
        <w:rPr>
          <w:sz w:val="20"/>
          <w:szCs w:val="20"/>
          <w:color w:val="auto"/>
        </w:rPr>
      </w:pPr>
    </w:p>
    <w:p>
      <w:pPr>
        <w:ind w:left="720" w:hanging="465"/>
        <w:spacing w:after="0"/>
        <w:tabs>
          <w:tab w:leader="none" w:pos="7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720" w:hanging="465"/>
        <w:spacing w:after="0"/>
        <w:tabs>
          <w:tab w:leader="none" w:pos="7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r>
        <w:rPr>
          <w:rFonts w:ascii="Arial" w:cs="Arial" w:eastAsia="Arial" w:hAnsi="Arial"/>
          <w:sz w:val="18"/>
          <w:szCs w:val="18"/>
          <w:color w:val="auto"/>
        </w:rPr>
        <w:t>*</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720" w:right="2080" w:hanging="465"/>
        <w:spacing w:after="0" w:line="280" w:lineRule="auto"/>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2(d) or 2(e)</w:t>
      </w:r>
    </w:p>
    <w:p>
      <w:pPr>
        <w:spacing w:after="0" w:line="161" w:lineRule="exact"/>
        <w:rPr>
          <w:sz w:val="20"/>
          <w:szCs w:val="20"/>
          <w:color w:val="auto"/>
        </w:rPr>
      </w:pPr>
    </w:p>
    <w:p>
      <w:pPr>
        <w:ind w:left="720"/>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20" w:hanging="465"/>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U.S. Citizen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0" w:hanging="302"/>
        <w:spacing w:after="0"/>
        <w:tabs>
          <w:tab w:leader="none" w:pos="4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5,929,254 shares (See Item 5)</w:t>
      </w:r>
    </w:p>
    <w:p>
      <w:pPr>
        <w:spacing w:after="0" w:line="56" w:lineRule="exact"/>
        <w:rPr>
          <w:sz w:val="20"/>
          <w:szCs w:val="20"/>
          <w:color w:val="auto"/>
        </w:rPr>
      </w:pPr>
    </w:p>
    <w:p>
      <w:pPr>
        <w:ind w:left="400" w:hanging="30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ind w:left="400" w:hanging="302"/>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5,929,254 shares (See Item 5)</w:t>
      </w:r>
    </w:p>
    <w:p>
      <w:pPr>
        <w:spacing w:after="0" w:line="5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SHARED DISPOSITIVE POWER</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None (See Item 5)</w:t>
      </w:r>
    </w:p>
    <w:p>
      <w:pPr>
        <w:spacing w:after="0" w:line="22" w:lineRule="exact"/>
        <w:rPr>
          <w:sz w:val="20"/>
          <w:szCs w:val="20"/>
          <w:color w:val="auto"/>
        </w:rPr>
      </w:pPr>
    </w:p>
    <w:p>
      <w:pPr>
        <w:sectPr>
          <w:pgSz w:w="11900" w:h="16838" w:orient="portrait"/>
          <w:cols w:equalWidth="0" w:num="2">
            <w:col w:w="1560" w:space="200"/>
            <w:col w:w="9660"/>
          </w:cols>
          <w:pgMar w:left="240" w:top="274" w:right="239" w:bottom="1440" w:gutter="0" w:footer="0" w:header="0"/>
          <w:type w:val="continuous"/>
        </w:sect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5,929,254 shares (See Item 5)</w:t>
      </w:r>
    </w:p>
    <w:p>
      <w:pPr>
        <w:spacing w:after="0" w:line="22" w:lineRule="exact"/>
        <w:rPr>
          <w:sz w:val="20"/>
          <w:szCs w:val="20"/>
          <w:color w:val="auto"/>
        </w:rPr>
      </w:pPr>
    </w:p>
    <w:p>
      <w:pPr>
        <w:ind w:left="720" w:hanging="555"/>
        <w:spacing w:after="0" w:line="207" w:lineRule="exact"/>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720" w:hanging="555"/>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11.7% (See Item 5)</w:t>
      </w:r>
    </w:p>
    <w:p>
      <w:pPr>
        <w:spacing w:after="0" w:line="22"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IN – Individual</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20"/>
          </w:cols>
          <w:pgMar w:left="240" w:top="274" w:right="239" w:bottom="1440" w:gutter="0" w:footer="0" w:header="0"/>
          <w:type w:val="continuous"/>
        </w:sectPr>
      </w:pPr>
    </w:p>
    <w:bookmarkStart w:id="6" w:name="page7"/>
    <w:bookmarkEnd w:id="6"/>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10 PAGES</w:t>
      </w:r>
    </w:p>
    <w:p>
      <w:pPr>
        <w:spacing w:after="0" w:line="158"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This Amendment No. 4 amends and supplements the Schedule 13D filed with the Securities and Exchange Commission (the “SEC”) on March 25, 2013, as amended by Amendment No. 1 thereto, filed with the SEC on October 10, 2013, Amendment No. 2 thereto, filed with the SEC on December 16, 2013, and Amendment No. 3 thereto, filed with the SEC on January 31, 2014,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4)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6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On January 29, 2014, Destination XL granted Mr. Mesdag, in connection with his election to the board of directors of Destination XL, options to purchase 15,000 shares of Common Stock (collectively, the “Director Options”). The Director Options are exercisable in three tranches: options to purchase 5,000 shares are currently exercisable; options to purchase another 5,000 shares will become exercisable on January 29, 2015; and options to purchase the remaining 5,000 shares will become exercisable on January 29, 2016.</w:t>
      </w:r>
    </w:p>
    <w:p>
      <w:pPr>
        <w:spacing w:after="0" w:line="79"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Between March 18, 2014 and March 20, 2014, RMP has purchased an aggregate of 1,086,200 shares of Common Stock on the open market at an aggregate purchase price (excluding trading commissions and related administrative costs) of $5,976,941.86. The source of the funds used by RMP to purchase such shares was working capital of RMP.</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5(c) below is hereby incorporated by reference in response to this Item 3.</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5(a) and 5(b) of this Schedule 13D are hereby amended and restated as follows:</w:t>
      </w:r>
    </w:p>
    <w:p>
      <w:pPr>
        <w:spacing w:after="0" w:line="131" w:lineRule="exact"/>
        <w:rPr>
          <w:sz w:val="20"/>
          <w:szCs w:val="20"/>
          <w:color w:val="auto"/>
        </w:rPr>
      </w:pPr>
    </w:p>
    <w:p>
      <w:pPr>
        <w:jc w:val="both"/>
        <w:ind w:left="1400" w:right="1040" w:hanging="823"/>
        <w:spacing w:after="0" w:line="264" w:lineRule="auto"/>
        <w:tabs>
          <w:tab w:leader="none" w:pos="138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color w:val="auto"/>
        </w:rPr>
        <w:t>RMP beneficially owns, in the aggregate, 5,924,254 shares of Common Stock, which represent approximately 11.7% of the outstanding Common Stock.</w:t>
      </w:r>
      <w:r>
        <w:rPr>
          <w:rFonts w:ascii="Arial" w:cs="Arial" w:eastAsia="Arial" w:hAnsi="Arial"/>
          <w:sz w:val="15"/>
          <w:szCs w:val="15"/>
          <w:color w:val="auto"/>
        </w:rPr>
        <w:t>(1)</w:t>
      </w:r>
      <w:r>
        <w:rPr>
          <w:rFonts w:ascii="Arial" w:cs="Arial" w:eastAsia="Arial" w:hAnsi="Arial"/>
          <w:sz w:val="18"/>
          <w:szCs w:val="18"/>
          <w:color w:val="auto"/>
        </w:rPr>
        <w:t xml:space="preserve"> RMP has the sole power to vote or direct the vote, and the sole power to dispose or direct the disposition, of all such 5,924,254 shares of Common Stock.</w:t>
      </w:r>
    </w:p>
    <w:p>
      <w:pPr>
        <w:spacing w:after="0" w:line="77" w:lineRule="exact"/>
        <w:rPr>
          <w:sz w:val="20"/>
          <w:szCs w:val="20"/>
          <w:color w:val="auto"/>
        </w:rPr>
      </w:pPr>
    </w:p>
    <w:p>
      <w:pPr>
        <w:ind w:left="1400" w:right="680"/>
        <w:spacing w:after="0" w:line="264" w:lineRule="auto"/>
        <w:rPr>
          <w:sz w:val="20"/>
          <w:szCs w:val="20"/>
          <w:color w:val="auto"/>
        </w:rPr>
      </w:pPr>
      <w:r>
        <w:rPr>
          <w:rFonts w:ascii="Arial" w:cs="Arial" w:eastAsia="Arial" w:hAnsi="Arial"/>
          <w:sz w:val="18"/>
          <w:szCs w:val="18"/>
          <w:color w:val="auto"/>
        </w:rPr>
        <w:t>Because each of RMCP GP, RMCP LLC, RMCM and Mr. Mesdag may be deemed to control RMP, each of RMCP GP, RMCP LLC, RMCM and Mr. Mesdag may be deemed to beneficially own, and to have the power to vote or direct the vote, or dispose or direct the disposition, of all of the Common Stock beneficially owned by RMP.</w:t>
      </w:r>
    </w:p>
    <w:p>
      <w:pPr>
        <w:spacing w:after="0" w:line="73" w:lineRule="exact"/>
        <w:rPr>
          <w:sz w:val="20"/>
          <w:szCs w:val="20"/>
          <w:color w:val="auto"/>
        </w:rPr>
      </w:pPr>
    </w:p>
    <w:p>
      <w:pPr>
        <w:ind w:left="1400" w:right="620"/>
        <w:spacing w:after="0" w:line="302" w:lineRule="auto"/>
        <w:rPr>
          <w:sz w:val="20"/>
          <w:szCs w:val="20"/>
          <w:color w:val="auto"/>
        </w:rPr>
      </w:pPr>
      <w:r>
        <w:rPr>
          <w:rFonts w:ascii="Arial" w:cs="Arial" w:eastAsia="Arial" w:hAnsi="Arial"/>
          <w:sz w:val="16"/>
          <w:szCs w:val="16"/>
          <w:color w:val="auto"/>
        </w:rPr>
        <w:t>In addition to any shares of Common Stock beneficially owned by RMP, Mr. Mesdag may be deemed to own the 5,000 shares of Common Stock receivable upon exercise of the Director Options that either are currently exercisable or would become exercisable within 60 calendar days after the date hereof. As a result, Mr. Mesdag may be deemed to beneficially own, in the aggregate, 5,929,254 shares of Common Stock, which represent approximately 11.7% of the outstanding Common Stock.</w:t>
      </w:r>
    </w:p>
    <w:p>
      <w:pPr>
        <w:spacing w:after="0" w:line="46" w:lineRule="exact"/>
        <w:rPr>
          <w:sz w:val="20"/>
          <w:szCs w:val="20"/>
          <w:color w:val="auto"/>
        </w:rPr>
      </w:pPr>
    </w:p>
    <w:p>
      <w:pPr>
        <w:ind w:left="1400" w:right="800"/>
        <w:spacing w:after="0" w:line="308" w:lineRule="auto"/>
        <w:rPr>
          <w:sz w:val="20"/>
          <w:szCs w:val="20"/>
          <w:color w:val="auto"/>
        </w:rPr>
      </w:pPr>
      <w:r>
        <w:rPr>
          <w:rFonts w:ascii="Arial" w:cs="Arial" w:eastAsia="Arial" w:hAnsi="Arial"/>
          <w:sz w:val="17"/>
          <w:szCs w:val="17"/>
          <w:color w:val="auto"/>
        </w:rPr>
        <w:t>Each of RMCP LLC, RMP and RMCP GP affirms membership in a group with each other but disclaims membership in a group with RMCM or Mr. Mesdag. Each of RMCM and Mr. Mesdag disclaims membership in a group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firstLine="464"/>
        <w:spacing w:after="0" w:line="259" w:lineRule="auto"/>
        <w:tabs>
          <w:tab w:leader="none" w:pos="680" w:val="left"/>
        </w:tabs>
        <w:numPr>
          <w:ilvl w:val="0"/>
          <w:numId w:val="54"/>
        </w:numPr>
        <w:rPr>
          <w:rFonts w:ascii="Arial" w:cs="Arial" w:eastAsia="Arial" w:hAnsi="Arial"/>
          <w:sz w:val="15"/>
          <w:szCs w:val="15"/>
          <w:color w:val="auto"/>
        </w:rPr>
      </w:pPr>
      <w:r>
        <w:rPr>
          <w:rFonts w:ascii="Arial" w:cs="Arial" w:eastAsia="Arial" w:hAnsi="Arial"/>
          <w:sz w:val="18"/>
          <w:szCs w:val="18"/>
          <w:color w:val="auto"/>
        </w:rPr>
        <w:t>All calculations of percentage ownership in this Schedule 13D are based on 50,607,809 shares of Common Stock outstanding as of March 7, 2014 as reported in the Form 10-K which was filed by Destination XL Group, Inc. with the Securities and Exchange Commission on March 17, 2014; provided that, in the case of Mr. Mesdag, such percentage ownership also includes shares of Common Stock receivable upon exercise of the Director Options that either are currently exercisable or would become exercisable within 60 calendar days after the date hereof.</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10 PAGES</w:t>
      </w:r>
    </w:p>
    <w:p>
      <w:pPr>
        <w:spacing w:after="0" w:line="279" w:lineRule="exact"/>
        <w:rPr>
          <w:sz w:val="20"/>
          <w:szCs w:val="20"/>
          <w:color w:val="auto"/>
        </w:rPr>
      </w:pPr>
    </w:p>
    <w:p>
      <w:pPr>
        <w:ind w:left="1180"/>
        <w:spacing w:after="0" w:line="271" w:lineRule="auto"/>
        <w:rPr>
          <w:sz w:val="20"/>
          <w:szCs w:val="20"/>
          <w:color w:val="auto"/>
        </w:rPr>
      </w:pPr>
      <w:r>
        <w:rPr>
          <w:rFonts w:ascii="Arial" w:cs="Arial" w:eastAsia="Arial" w:hAnsi="Arial"/>
          <w:sz w:val="17"/>
          <w:szCs w:val="17"/>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 Mr. Mesdag disclaims beneficial ownership of all shares of Common Stock reported as beneficially owned by RMP in this Schedule 13D, and RMCM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each of Mr. Teets and Mr. Watkinson disclaims beneficial ownership of all shares of Common Stock reported in this Schedule 13D.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of this Schedule 13D is hereby amended to include the following information:</w:t>
      </w:r>
    </w:p>
    <w:p>
      <w:pPr>
        <w:spacing w:after="0" w:line="135" w:lineRule="exact"/>
        <w:rPr>
          <w:sz w:val="20"/>
          <w:szCs w:val="20"/>
          <w:color w:val="auto"/>
        </w:rPr>
      </w:pPr>
    </w:p>
    <w:p>
      <w:pPr>
        <w:ind w:left="1060" w:right="140" w:hanging="1052"/>
        <w:spacing w:after="0" w:line="277" w:lineRule="auto"/>
        <w:tabs>
          <w:tab w:leader="none" w:pos="10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The following table lists all transactions in Common Stock effected during the past sixty days by RMP. All such transactions were effected on the open market.</w:t>
      </w:r>
    </w:p>
    <w:p>
      <w:pPr>
        <w:spacing w:after="0" w:line="181"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220" w:type="dxa"/>
            <w:vAlign w:val="bottom"/>
            <w:gridSpan w:val="2"/>
          </w:tcPr>
          <w:p>
            <w:pPr>
              <w:jc w:val="center"/>
              <w:ind w:right="880"/>
              <w:spacing w:after="0"/>
              <w:rPr>
                <w:sz w:val="20"/>
                <w:szCs w:val="20"/>
                <w:color w:val="auto"/>
              </w:rPr>
            </w:pPr>
            <w:r>
              <w:rPr>
                <w:rFonts w:ascii="Arial" w:cs="Arial" w:eastAsia="Arial" w:hAnsi="Arial"/>
                <w:sz w:val="14"/>
                <w:szCs w:val="14"/>
                <w:color w:val="auto"/>
                <w:w w:val="90"/>
              </w:rPr>
              <w:t>Shares of</w:t>
            </w:r>
          </w:p>
        </w:tc>
        <w:tc>
          <w:tcPr>
            <w:tcW w:w="2020" w:type="dxa"/>
            <w:vAlign w:val="bottom"/>
            <w:gridSpan w:val="2"/>
          </w:tcPr>
          <w:p>
            <w:pPr>
              <w:jc w:val="center"/>
              <w:ind w:right="900"/>
              <w:spacing w:after="0"/>
              <w:rPr>
                <w:sz w:val="20"/>
                <w:szCs w:val="20"/>
                <w:color w:val="auto"/>
              </w:rPr>
            </w:pPr>
            <w:r>
              <w:rPr>
                <w:rFonts w:ascii="Arial" w:cs="Arial" w:eastAsia="Arial" w:hAnsi="Arial"/>
                <w:sz w:val="14"/>
                <w:szCs w:val="14"/>
                <w:color w:val="auto"/>
                <w:w w:val="94"/>
              </w:rPr>
              <w:t>Weighted</w:t>
            </w:r>
          </w:p>
        </w:tc>
        <w:tc>
          <w:tcPr>
            <w:tcW w:w="1700" w:type="dxa"/>
            <w:vAlign w:val="bottom"/>
          </w:tcPr>
          <w:p>
            <w:pPr>
              <w:spacing w:after="0"/>
              <w:rPr>
                <w:sz w:val="14"/>
                <w:szCs w:val="14"/>
                <w:color w:val="auto"/>
              </w:rPr>
            </w:pPr>
          </w:p>
        </w:tc>
      </w:tr>
      <w:tr>
        <w:trPr>
          <w:trHeight w:val="149"/>
        </w:trPr>
        <w:tc>
          <w:tcPr>
            <w:tcW w:w="222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Common</w:t>
            </w:r>
          </w:p>
        </w:tc>
        <w:tc>
          <w:tcPr>
            <w:tcW w:w="20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Average</w:t>
            </w:r>
          </w:p>
        </w:tc>
        <w:tc>
          <w:tcPr>
            <w:tcW w:w="1700" w:type="dxa"/>
            <w:vAlign w:val="bottom"/>
          </w:tcPr>
          <w:p>
            <w:pPr>
              <w:spacing w:after="0"/>
              <w:rPr>
                <w:sz w:val="12"/>
                <w:szCs w:val="12"/>
                <w:color w:val="auto"/>
              </w:rPr>
            </w:pPr>
          </w:p>
        </w:tc>
      </w:tr>
      <w:tr>
        <w:trPr>
          <w:trHeight w:val="149"/>
        </w:trPr>
        <w:tc>
          <w:tcPr>
            <w:tcW w:w="22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1"/>
              </w:rPr>
              <w:t>Stock</w:t>
            </w:r>
          </w:p>
        </w:tc>
        <w:tc>
          <w:tcPr>
            <w:tcW w:w="20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2"/>
              </w:rPr>
              <w:t>Price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2"/>
              </w:rPr>
              <w:t>Date of</w:t>
            </w:r>
          </w:p>
        </w:tc>
      </w:tr>
      <w:tr>
        <w:trPr>
          <w:trHeight w:val="167"/>
        </w:trPr>
        <w:tc>
          <w:tcPr>
            <w:tcW w:w="2220" w:type="dxa"/>
            <w:vAlign w:val="bottom"/>
            <w:gridSpan w:val="2"/>
          </w:tcPr>
          <w:p>
            <w:pPr>
              <w:jc w:val="center"/>
              <w:ind w:right="900"/>
              <w:spacing w:after="0"/>
              <w:rPr>
                <w:sz w:val="20"/>
                <w:szCs w:val="20"/>
                <w:color w:val="auto"/>
              </w:rPr>
            </w:pPr>
            <w:r>
              <w:rPr>
                <w:rFonts w:ascii="Arial" w:cs="Arial" w:eastAsia="Arial" w:hAnsi="Arial"/>
                <w:sz w:val="14"/>
                <w:szCs w:val="14"/>
                <w:color w:val="auto"/>
                <w:w w:val="89"/>
              </w:rPr>
              <w:t>Purchased</w:t>
            </w:r>
          </w:p>
        </w:tc>
        <w:tc>
          <w:tcPr>
            <w:tcW w:w="2020" w:type="dxa"/>
            <w:vAlign w:val="bottom"/>
            <w:gridSpan w:val="2"/>
          </w:tcPr>
          <w:p>
            <w:pPr>
              <w:jc w:val="center"/>
              <w:ind w:right="900"/>
              <w:spacing w:after="0"/>
              <w:rPr>
                <w:sz w:val="20"/>
                <w:szCs w:val="20"/>
                <w:color w:val="auto"/>
              </w:rPr>
            </w:pPr>
            <w:r>
              <w:rPr>
                <w:rFonts w:ascii="Arial" w:cs="Arial" w:eastAsia="Arial" w:hAnsi="Arial"/>
                <w:sz w:val="14"/>
                <w:szCs w:val="14"/>
                <w:color w:val="auto"/>
                <w:w w:val="89"/>
              </w:rPr>
              <w:t>Share ($)</w:t>
            </w:r>
          </w:p>
        </w:tc>
        <w:tc>
          <w:tcPr>
            <w:tcW w:w="1700" w:type="dxa"/>
            <w:vAlign w:val="bottom"/>
          </w:tcPr>
          <w:p>
            <w:pPr>
              <w:jc w:val="center"/>
              <w:spacing w:after="0"/>
              <w:rPr>
                <w:sz w:val="20"/>
                <w:szCs w:val="20"/>
                <w:color w:val="auto"/>
              </w:rPr>
            </w:pPr>
            <w:r>
              <w:rPr>
                <w:rFonts w:ascii="Arial" w:cs="Arial" w:eastAsia="Arial" w:hAnsi="Arial"/>
                <w:sz w:val="14"/>
                <w:szCs w:val="14"/>
                <w:color w:val="auto"/>
                <w:w w:val="87"/>
              </w:rPr>
              <w:t>Purchase</w:t>
            </w:r>
          </w:p>
        </w:tc>
      </w:tr>
      <w:tr>
        <w:trPr>
          <w:trHeight w:val="210"/>
        </w:trPr>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5.4460</w:t>
            </w:r>
          </w:p>
        </w:tc>
        <w:tc>
          <w:tcPr>
            <w:tcW w:w="9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03/18/2014</w:t>
            </w:r>
          </w:p>
        </w:tc>
      </w:tr>
      <w:tr>
        <w:trPr>
          <w:trHeight w:val="216"/>
        </w:trPr>
        <w:tc>
          <w:tcPr>
            <w:tcW w:w="1320" w:type="dxa"/>
            <w:vAlign w:val="bottom"/>
          </w:tcPr>
          <w:p>
            <w:pPr>
              <w:jc w:val="right"/>
              <w:spacing w:after="0"/>
              <w:rPr>
                <w:sz w:val="20"/>
                <w:szCs w:val="20"/>
                <w:color w:val="auto"/>
              </w:rPr>
            </w:pPr>
            <w:r>
              <w:rPr>
                <w:rFonts w:ascii="Arial" w:cs="Arial" w:eastAsia="Arial" w:hAnsi="Arial"/>
                <w:sz w:val="18"/>
                <w:szCs w:val="18"/>
                <w:color w:val="auto"/>
              </w:rPr>
              <w:t>375,500</w:t>
            </w:r>
          </w:p>
        </w:tc>
        <w:tc>
          <w:tcPr>
            <w:tcW w:w="900" w:type="dxa"/>
            <w:vAlign w:val="bottom"/>
          </w:tcPr>
          <w:p>
            <w:pPr>
              <w:spacing w:after="0"/>
              <w:rPr>
                <w:sz w:val="18"/>
                <w:szCs w:val="18"/>
                <w:color w:val="auto"/>
              </w:rPr>
            </w:pPr>
          </w:p>
        </w:tc>
        <w:tc>
          <w:tcPr>
            <w:tcW w:w="2020" w:type="dxa"/>
            <w:vAlign w:val="bottom"/>
            <w:gridSpan w:val="2"/>
          </w:tcPr>
          <w:p>
            <w:pPr>
              <w:jc w:val="right"/>
              <w:ind w:right="900"/>
              <w:spacing w:after="0"/>
              <w:rPr>
                <w:sz w:val="20"/>
                <w:szCs w:val="20"/>
                <w:color w:val="auto"/>
              </w:rPr>
            </w:pPr>
            <w:r>
              <w:rPr>
                <w:rFonts w:ascii="Arial" w:cs="Arial" w:eastAsia="Arial" w:hAnsi="Arial"/>
                <w:sz w:val="18"/>
                <w:szCs w:val="18"/>
                <w:color w:val="auto"/>
              </w:rPr>
              <w:t>5.5238</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03/19/2014</w:t>
            </w:r>
          </w:p>
        </w:tc>
      </w:tr>
      <w:tr>
        <w:trPr>
          <w:trHeight w:val="216"/>
        </w:trPr>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310,700</w:t>
            </w:r>
          </w:p>
        </w:tc>
        <w:tc>
          <w:tcPr>
            <w:tcW w:w="9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5.5499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03/20/2014</w:t>
            </w: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As discussed in Item 3 above, on January 29, 2014, Destination XL granted the Director Options to Mr. Mesdag.</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9 OF 10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24,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PARTNERS, L.P.</w:t>
      </w:r>
    </w:p>
    <w:p>
      <w:pPr>
        <w:spacing w:after="0" w:line="22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RMCP GP LLC, its general partner</w:t>
      </w:r>
    </w:p>
    <w:p>
      <w:pPr>
        <w:spacing w:after="0" w:line="22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Willem Mesdag</w:t>
      </w:r>
    </w:p>
    <w:p>
      <w:pPr>
        <w:spacing w:after="0" w:line="23" w:lineRule="exact"/>
        <w:rPr>
          <w:sz w:val="20"/>
          <w:szCs w:val="20"/>
          <w:color w:val="auto"/>
        </w:rPr>
      </w:pPr>
    </w:p>
    <w:p>
      <w:pPr>
        <w:ind w:left="736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RMCP GP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Willem Mesdag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502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10 OF 10 PAGES</w:t>
      </w:r>
    </w:p>
    <w:p>
      <w:pPr>
        <w:sectPr>
          <w:pgSz w:w="11900" w:h="16838" w:orient="portrait"/>
          <w:cols w:equalWidth="0" w:num="1">
            <w:col w:w="11420"/>
          </w:cols>
          <w:pgMar w:left="240" w:top="274" w:right="23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340" w:type="dxa"/>
            <w:vAlign w:val="bottom"/>
            <w:gridSpan w:val="2"/>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4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50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44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No.</w:t>
            </w:r>
          </w:p>
        </w:tc>
        <w:tc>
          <w:tcPr>
            <w:tcW w:w="5060" w:type="dxa"/>
            <w:vAlign w:val="bottom"/>
          </w:tcPr>
          <w:p>
            <w:pPr>
              <w:spacing w:after="0"/>
              <w:rPr>
                <w:sz w:val="14"/>
                <w:szCs w:val="14"/>
                <w:color w:val="auto"/>
              </w:rPr>
            </w:pPr>
          </w:p>
        </w:tc>
        <w:tc>
          <w:tcPr>
            <w:tcW w:w="1280" w:type="dxa"/>
            <w:vAlign w:val="bottom"/>
          </w:tcPr>
          <w:p>
            <w:pPr>
              <w:spacing w:after="0" w:line="147" w:lineRule="exact"/>
              <w:rPr>
                <w:sz w:val="20"/>
                <w:szCs w:val="20"/>
                <w:color w:val="auto"/>
              </w:rPr>
            </w:pPr>
            <w:r>
              <w:rPr>
                <w:rFonts w:ascii="Arial" w:cs="Arial" w:eastAsia="Arial" w:hAnsi="Arial"/>
                <w:sz w:val="14"/>
                <w:szCs w:val="14"/>
                <w:color w:val="auto"/>
                <w:w w:val="95"/>
              </w:rPr>
              <w:t>Description of Exhibit</w:t>
            </w:r>
          </w:p>
        </w:tc>
      </w:tr>
      <w:tr>
        <w:trPr>
          <w:trHeight w:val="20"/>
        </w:trPr>
        <w:tc>
          <w:tcPr>
            <w:tcW w:w="4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60" w:right="80" w:hanging="681"/>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Joint Filing Agreement, dated as of March 25, 2013, by and among the Reporting Persons (incorporated by reference to Exhibit 1 to the Schedule 13D filed by the Reporting Persons with the SEC on March 25, 2013).</w:t>
      </w:r>
    </w:p>
    <w:p>
      <w:pPr>
        <w:spacing w:after="0" w:line="62" w:lineRule="exact"/>
        <w:rPr>
          <w:sz w:val="20"/>
          <w:szCs w:val="20"/>
          <w:color w:val="auto"/>
        </w:rPr>
      </w:pPr>
    </w:p>
    <w:p>
      <w:pPr>
        <w:ind w:left="860" w:right="600" w:hanging="681"/>
        <w:spacing w:after="0" w:line="342"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Confidentiality and Standstill Agreement, dated as of January 29, 2014, by and between Destination XL and RMCP LLC (incorporated by reference to Exhibit 2 to Amendment No. 3 to Schedule 13D filed by the Reporting Persons with the SEC on January 31, 2014).</w:t>
      </w: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bullet"/>
      <w:start w:val="1"/>
    </w:lvl>
  </w:abstractNum>
  <w:abstractNum w:abstractNumId="2">
    <w:nsid w:val="8138641"/>
    <w:multiLevelType w:val="hybridMultilevel"/>
    <w:lvl w:ilvl="0">
      <w:lvlJc w:val="left"/>
      <w:lvlText w:val="2"/>
      <w:numFmt w:val="bullet"/>
      <w:start w:val="1"/>
    </w:lvl>
  </w:abstractNum>
  <w:abstractNum w:abstractNumId="3">
    <w:nsid w:val="1E7FF521"/>
    <w:multiLevelType w:val="hybridMultilevel"/>
    <w:lvl w:ilvl="0">
      <w:lvlJc w:val="left"/>
      <w:lvlText w:val="3"/>
      <w:numFmt w:val="bullet"/>
      <w:start w:val="1"/>
    </w:lvl>
  </w:abstractNum>
  <w:abstractNum w:abstractNumId="4">
    <w:nsid w:val="7C3DBD3D"/>
    <w:multiLevelType w:val="hybridMultilevel"/>
    <w:lvl w:ilvl="0">
      <w:lvlJc w:val="left"/>
      <w:lvlText w:val="4"/>
      <w:numFmt w:val="bullet"/>
      <w:start w:val="1"/>
    </w:lvl>
  </w:abstractNum>
  <w:abstractNum w:abstractNumId="5">
    <w:nsid w:val="737B8DDC"/>
    <w:multiLevelType w:val="hybridMultilevel"/>
    <w:lvl w:ilvl="0">
      <w:lvlJc w:val="left"/>
      <w:lvlText w:val="5"/>
      <w:numFmt w:val="bullet"/>
      <w:start w:val="1"/>
    </w:lvl>
  </w:abstractNum>
  <w:abstractNum w:abstractNumId="6">
    <w:nsid w:val="6CEAF087"/>
    <w:multiLevelType w:val="hybridMultilevel"/>
    <w:lvl w:ilvl="0">
      <w:lvlJc w:val="left"/>
      <w:lvlText w:val="6"/>
      <w:numFmt w:val="bullet"/>
      <w:start w:val="1"/>
    </w:lvl>
  </w:abstractNum>
  <w:abstractNum w:abstractNumId="7">
    <w:nsid w:val="22221A70"/>
    <w:multiLevelType w:val="hybridMultilevel"/>
    <w:lvl w:ilvl="0">
      <w:lvlJc w:val="left"/>
      <w:lvlText w:val="7"/>
      <w:numFmt w:val="bullet"/>
      <w:start w:val="1"/>
    </w:lvl>
  </w:abstractNum>
  <w:abstractNum w:abstractNumId="8">
    <w:nsid w:val="4516DDE9"/>
    <w:multiLevelType w:val="hybridMultilevel"/>
    <w:lvl w:ilvl="0">
      <w:lvlJc w:val="left"/>
      <w:lvlText w:val="8"/>
      <w:numFmt w:val="bullet"/>
      <w:start w:val="1"/>
    </w:lvl>
  </w:abstractNum>
  <w:abstractNum w:abstractNumId="9">
    <w:nsid w:val="3006C83E"/>
    <w:multiLevelType w:val="hybridMultilevel"/>
    <w:lvl w:ilvl="0">
      <w:lvlJc w:val="left"/>
      <w:lvlText w:val="9"/>
      <w:numFmt w:val="bullet"/>
      <w:start w:val="1"/>
    </w:lvl>
  </w:abstractNum>
  <w:abstractNum w:abstractNumId="10">
    <w:nsid w:val="614FD4A1"/>
    <w:multiLevelType w:val="hybridMultilevel"/>
    <w:lvl w:ilvl="0">
      <w:lvlJc w:val="left"/>
      <w:lvlText w:val="%1"/>
      <w:numFmt w:val="decimal"/>
      <w:start w:val="12"/>
    </w:lvl>
  </w:abstractNum>
  <w:abstractNum w:abstractNumId="11">
    <w:nsid w:val="419AC241"/>
    <w:multiLevelType w:val="hybridMultilevel"/>
    <w:lvl w:ilvl="0">
      <w:lvlJc w:val="left"/>
      <w:lvlText w:val="%1"/>
      <w:numFmt w:val="decimal"/>
      <w:start w:val="14"/>
    </w:lvl>
  </w:abstractNum>
  <w:abstractNum w:abstractNumId="12">
    <w:nsid w:val="5577F8E1"/>
    <w:multiLevelType w:val="hybridMultilevel"/>
    <w:lvl w:ilvl="0">
      <w:lvlJc w:val="left"/>
      <w:lvlText w:val="1"/>
      <w:numFmt w:val="bullet"/>
      <w:start w:val="1"/>
    </w:lvl>
  </w:abstractNum>
  <w:abstractNum w:abstractNumId="13">
    <w:nsid w:val="440BADFC"/>
    <w:multiLevelType w:val="hybridMultilevel"/>
    <w:lvl w:ilvl="0">
      <w:lvlJc w:val="left"/>
      <w:lvlText w:val="2"/>
      <w:numFmt w:val="bullet"/>
      <w:start w:val="1"/>
    </w:lvl>
  </w:abstractNum>
  <w:abstractNum w:abstractNumId="14">
    <w:nsid w:val="5072367"/>
    <w:multiLevelType w:val="hybridMultilevel"/>
    <w:lvl w:ilvl="0">
      <w:lvlJc w:val="left"/>
      <w:lvlText w:val="3"/>
      <w:numFmt w:val="bullet"/>
      <w:start w:val="1"/>
    </w:lvl>
  </w:abstractNum>
  <w:abstractNum w:abstractNumId="15">
    <w:nsid w:val="3804823E"/>
    <w:multiLevelType w:val="hybridMultilevel"/>
    <w:lvl w:ilvl="0">
      <w:lvlJc w:val="left"/>
      <w:lvlText w:val="4"/>
      <w:numFmt w:val="bullet"/>
      <w:start w:val="1"/>
    </w:lvl>
  </w:abstractNum>
  <w:abstractNum w:abstractNumId="16">
    <w:nsid w:val="77465F01"/>
    <w:multiLevelType w:val="hybridMultilevel"/>
    <w:lvl w:ilvl="0">
      <w:lvlJc w:val="left"/>
      <w:lvlText w:val="5"/>
      <w:numFmt w:val="bullet"/>
      <w:start w:val="1"/>
    </w:lvl>
  </w:abstractNum>
  <w:abstractNum w:abstractNumId="17">
    <w:nsid w:val="7724C67E"/>
    <w:multiLevelType w:val="hybridMultilevel"/>
    <w:lvl w:ilvl="0">
      <w:lvlJc w:val="left"/>
      <w:lvlText w:val="6"/>
      <w:numFmt w:val="bullet"/>
      <w:start w:val="1"/>
    </w:lvl>
  </w:abstractNum>
  <w:abstractNum w:abstractNumId="18">
    <w:nsid w:val="5C482A97"/>
    <w:multiLevelType w:val="hybridMultilevel"/>
    <w:lvl w:ilvl="0">
      <w:lvlJc w:val="left"/>
      <w:lvlText w:val="7"/>
      <w:numFmt w:val="bullet"/>
      <w:start w:val="1"/>
    </w:lvl>
  </w:abstractNum>
  <w:abstractNum w:abstractNumId="19">
    <w:nsid w:val="2463B9EA"/>
    <w:multiLevelType w:val="hybridMultilevel"/>
    <w:lvl w:ilvl="0">
      <w:lvlJc w:val="left"/>
      <w:lvlText w:val="8"/>
      <w:numFmt w:val="bullet"/>
      <w:start w:val="1"/>
    </w:lvl>
  </w:abstractNum>
  <w:abstractNum w:abstractNumId="20">
    <w:nsid w:val="5E884ADC"/>
    <w:multiLevelType w:val="hybridMultilevel"/>
    <w:lvl w:ilvl="0">
      <w:lvlJc w:val="left"/>
      <w:lvlText w:val="9"/>
      <w:numFmt w:val="bullet"/>
      <w:start w:val="1"/>
    </w:lvl>
  </w:abstractNum>
  <w:abstractNum w:abstractNumId="21">
    <w:nsid w:val="51EAD36B"/>
    <w:multiLevelType w:val="hybridMultilevel"/>
    <w:lvl w:ilvl="0">
      <w:lvlJc w:val="left"/>
      <w:lvlText w:val="%1"/>
      <w:numFmt w:val="decimal"/>
      <w:start w:val="12"/>
    </w:lvl>
  </w:abstractNum>
  <w:abstractNum w:abstractNumId="22">
    <w:nsid w:val="2D517796"/>
    <w:multiLevelType w:val="hybridMultilevel"/>
    <w:lvl w:ilvl="0">
      <w:lvlJc w:val="left"/>
      <w:lvlText w:val="1"/>
      <w:numFmt w:val="bullet"/>
      <w:start w:val="1"/>
    </w:lvl>
  </w:abstractNum>
  <w:abstractNum w:abstractNumId="23">
    <w:nsid w:val="580BD78F"/>
    <w:multiLevelType w:val="hybridMultilevel"/>
    <w:lvl w:ilvl="0">
      <w:lvlJc w:val="left"/>
      <w:lvlText w:val="2"/>
      <w:numFmt w:val="bullet"/>
      <w:start w:val="1"/>
    </w:lvl>
  </w:abstractNum>
  <w:abstractNum w:abstractNumId="24">
    <w:nsid w:val="153EA438"/>
    <w:multiLevelType w:val="hybridMultilevel"/>
    <w:lvl w:ilvl="0">
      <w:lvlJc w:val="left"/>
      <w:lvlText w:val="3"/>
      <w:numFmt w:val="bullet"/>
      <w:start w:val="1"/>
    </w:lvl>
  </w:abstractNum>
  <w:abstractNum w:abstractNumId="25">
    <w:nsid w:val="3855585C"/>
    <w:multiLevelType w:val="hybridMultilevel"/>
    <w:lvl w:ilvl="0">
      <w:lvlJc w:val="left"/>
      <w:lvlText w:val="4"/>
      <w:numFmt w:val="bullet"/>
      <w:start w:val="1"/>
    </w:lvl>
  </w:abstractNum>
  <w:abstractNum w:abstractNumId="26">
    <w:nsid w:val="70A64E2A"/>
    <w:multiLevelType w:val="hybridMultilevel"/>
    <w:lvl w:ilvl="0">
      <w:lvlJc w:val="left"/>
      <w:lvlText w:val="5"/>
      <w:numFmt w:val="bullet"/>
      <w:start w:val="1"/>
    </w:lvl>
  </w:abstractNum>
  <w:abstractNum w:abstractNumId="27">
    <w:nsid w:val="6A2342EC"/>
    <w:multiLevelType w:val="hybridMultilevel"/>
    <w:lvl w:ilvl="0">
      <w:lvlJc w:val="left"/>
      <w:lvlText w:val="6"/>
      <w:numFmt w:val="bullet"/>
      <w:start w:val="1"/>
    </w:lvl>
  </w:abstractNum>
  <w:abstractNum w:abstractNumId="28">
    <w:nsid w:val="2A487CB0"/>
    <w:multiLevelType w:val="hybridMultilevel"/>
    <w:lvl w:ilvl="0">
      <w:lvlJc w:val="left"/>
      <w:lvlText w:val="7"/>
      <w:numFmt w:val="bullet"/>
      <w:start w:val="1"/>
    </w:lvl>
  </w:abstractNum>
  <w:abstractNum w:abstractNumId="29">
    <w:nsid w:val="1D4ED43B"/>
    <w:multiLevelType w:val="hybridMultilevel"/>
    <w:lvl w:ilvl="0">
      <w:lvlJc w:val="left"/>
      <w:lvlText w:val="8"/>
      <w:numFmt w:val="bullet"/>
      <w:start w:val="1"/>
    </w:lvl>
  </w:abstractNum>
  <w:abstractNum w:abstractNumId="30">
    <w:nsid w:val="725A06FB"/>
    <w:multiLevelType w:val="hybridMultilevel"/>
    <w:lvl w:ilvl="0">
      <w:lvlJc w:val="left"/>
      <w:lvlText w:val="9"/>
      <w:numFmt w:val="bullet"/>
      <w:start w:val="1"/>
    </w:lvl>
  </w:abstractNum>
  <w:abstractNum w:abstractNumId="31">
    <w:nsid w:val="2CD89A32"/>
    <w:multiLevelType w:val="hybridMultilevel"/>
    <w:lvl w:ilvl="0">
      <w:lvlJc w:val="left"/>
      <w:lvlText w:val="%1"/>
      <w:numFmt w:val="decimal"/>
      <w:start w:val="12"/>
    </w:lvl>
  </w:abstractNum>
  <w:abstractNum w:abstractNumId="32">
    <w:nsid w:val="57E4CCAF"/>
    <w:multiLevelType w:val="hybridMultilevel"/>
    <w:lvl w:ilvl="0">
      <w:lvlJc w:val="left"/>
      <w:lvlText w:val="%1"/>
      <w:numFmt w:val="decimal"/>
      <w:start w:val="14"/>
    </w:lvl>
  </w:abstractNum>
  <w:abstractNum w:abstractNumId="33">
    <w:nsid w:val="7A6D8D3C"/>
    <w:multiLevelType w:val="hybridMultilevel"/>
    <w:lvl w:ilvl="0">
      <w:lvlJc w:val="left"/>
      <w:lvlText w:val="1"/>
      <w:numFmt w:val="bullet"/>
      <w:start w:val="1"/>
    </w:lvl>
  </w:abstractNum>
  <w:abstractNum w:abstractNumId="34">
    <w:nsid w:val="4B588F54"/>
    <w:multiLevelType w:val="hybridMultilevel"/>
    <w:lvl w:ilvl="0">
      <w:lvlJc w:val="left"/>
      <w:lvlText w:val="2"/>
      <w:numFmt w:val="bullet"/>
      <w:start w:val="1"/>
    </w:lvl>
  </w:abstractNum>
  <w:abstractNum w:abstractNumId="35">
    <w:nsid w:val="542289EC"/>
    <w:multiLevelType w:val="hybridMultilevel"/>
    <w:lvl w:ilvl="0">
      <w:lvlJc w:val="left"/>
      <w:lvlText w:val="3"/>
      <w:numFmt w:val="bullet"/>
      <w:start w:val="1"/>
    </w:lvl>
  </w:abstractNum>
  <w:abstractNum w:abstractNumId="36">
    <w:nsid w:val="6DE91B18"/>
    <w:multiLevelType w:val="hybridMultilevel"/>
    <w:lvl w:ilvl="0">
      <w:lvlJc w:val="left"/>
      <w:lvlText w:val="4"/>
      <w:numFmt w:val="bullet"/>
      <w:start w:val="1"/>
    </w:lvl>
  </w:abstractNum>
  <w:abstractNum w:abstractNumId="37">
    <w:nsid w:val="38437FDB"/>
    <w:multiLevelType w:val="hybridMultilevel"/>
    <w:lvl w:ilvl="0">
      <w:lvlJc w:val="left"/>
      <w:lvlText w:val="5"/>
      <w:numFmt w:val="bullet"/>
      <w:start w:val="1"/>
    </w:lvl>
  </w:abstractNum>
  <w:abstractNum w:abstractNumId="38">
    <w:nsid w:val="7644A45C"/>
    <w:multiLevelType w:val="hybridMultilevel"/>
    <w:lvl w:ilvl="0">
      <w:lvlJc w:val="left"/>
      <w:lvlText w:val="6"/>
      <w:numFmt w:val="bullet"/>
      <w:start w:val="1"/>
    </w:lvl>
  </w:abstractNum>
  <w:abstractNum w:abstractNumId="39">
    <w:nsid w:val="32FFF902"/>
    <w:multiLevelType w:val="hybridMultilevel"/>
    <w:lvl w:ilvl="0">
      <w:lvlJc w:val="left"/>
      <w:lvlText w:val="7"/>
      <w:numFmt w:val="bullet"/>
      <w:start w:val="1"/>
    </w:lvl>
  </w:abstractNum>
  <w:abstractNum w:abstractNumId="40">
    <w:nsid w:val="684A481A"/>
    <w:multiLevelType w:val="hybridMultilevel"/>
    <w:lvl w:ilvl="0">
      <w:lvlJc w:val="left"/>
      <w:lvlText w:val="8"/>
      <w:numFmt w:val="bullet"/>
      <w:start w:val="1"/>
    </w:lvl>
  </w:abstractNum>
  <w:abstractNum w:abstractNumId="41">
    <w:nsid w:val="579478FE"/>
    <w:multiLevelType w:val="hybridMultilevel"/>
    <w:lvl w:ilvl="0">
      <w:lvlJc w:val="left"/>
      <w:lvlText w:val="9"/>
      <w:numFmt w:val="bullet"/>
      <w:start w:val="1"/>
    </w:lvl>
  </w:abstractNum>
  <w:abstractNum w:abstractNumId="42">
    <w:nsid w:val="749ABB43"/>
    <w:multiLevelType w:val="hybridMultilevel"/>
    <w:lvl w:ilvl="0">
      <w:lvlJc w:val="left"/>
      <w:lvlText w:val="%1"/>
      <w:numFmt w:val="decimal"/>
      <w:start w:val="12"/>
    </w:lvl>
  </w:abstractNum>
  <w:abstractNum w:abstractNumId="43">
    <w:nsid w:val="3DC240FB"/>
    <w:multiLevelType w:val="hybridMultilevel"/>
    <w:lvl w:ilvl="0">
      <w:lvlJc w:val="left"/>
      <w:lvlText w:val="1"/>
      <w:numFmt w:val="bullet"/>
      <w:start w:val="1"/>
    </w:lvl>
  </w:abstractNum>
  <w:abstractNum w:abstractNumId="44">
    <w:nsid w:val="1BA026FA"/>
    <w:multiLevelType w:val="hybridMultilevel"/>
    <w:lvl w:ilvl="0">
      <w:lvlJc w:val="left"/>
      <w:lvlText w:val="2"/>
      <w:numFmt w:val="bullet"/>
      <w:start w:val="1"/>
    </w:lvl>
  </w:abstractNum>
  <w:abstractNum w:abstractNumId="45">
    <w:nsid w:val="79A1DEAA"/>
    <w:multiLevelType w:val="hybridMultilevel"/>
    <w:lvl w:ilvl="0">
      <w:lvlJc w:val="left"/>
      <w:lvlText w:val="3"/>
      <w:numFmt w:val="bullet"/>
      <w:start w:val="1"/>
    </w:lvl>
  </w:abstractNum>
  <w:abstractNum w:abstractNumId="46">
    <w:nsid w:val="75C6C33A"/>
    <w:multiLevelType w:val="hybridMultilevel"/>
    <w:lvl w:ilvl="0">
      <w:lvlJc w:val="left"/>
      <w:lvlText w:val="4"/>
      <w:numFmt w:val="bullet"/>
      <w:start w:val="1"/>
    </w:lvl>
  </w:abstractNum>
  <w:abstractNum w:abstractNumId="47">
    <w:nsid w:val="12E685FB"/>
    <w:multiLevelType w:val="hybridMultilevel"/>
    <w:lvl w:ilvl="0">
      <w:lvlJc w:val="left"/>
      <w:lvlText w:val="5"/>
      <w:numFmt w:val="bullet"/>
      <w:start w:val="1"/>
    </w:lvl>
  </w:abstractNum>
  <w:abstractNum w:abstractNumId="48">
    <w:nsid w:val="70C6A529"/>
    <w:multiLevelType w:val="hybridMultilevel"/>
    <w:lvl w:ilvl="0">
      <w:lvlJc w:val="left"/>
      <w:lvlText w:val="6"/>
      <w:numFmt w:val="bullet"/>
      <w:start w:val="1"/>
    </w:lvl>
  </w:abstractNum>
  <w:abstractNum w:abstractNumId="49">
    <w:nsid w:val="520EEDD1"/>
    <w:multiLevelType w:val="hybridMultilevel"/>
    <w:lvl w:ilvl="0">
      <w:lvlJc w:val="left"/>
      <w:lvlText w:val="7"/>
      <w:numFmt w:val="bullet"/>
      <w:start w:val="1"/>
    </w:lvl>
  </w:abstractNum>
  <w:abstractNum w:abstractNumId="50">
    <w:nsid w:val="374A3FE6"/>
    <w:multiLevelType w:val="hybridMultilevel"/>
    <w:lvl w:ilvl="0">
      <w:lvlJc w:val="left"/>
      <w:lvlText w:val="8"/>
      <w:numFmt w:val="bullet"/>
      <w:start w:val="1"/>
    </w:lvl>
  </w:abstractNum>
  <w:abstractNum w:abstractNumId="51">
    <w:nsid w:val="4F4EF005"/>
    <w:multiLevelType w:val="hybridMultilevel"/>
    <w:lvl w:ilvl="0">
      <w:lvlJc w:val="left"/>
      <w:lvlText w:val="9"/>
      <w:numFmt w:val="bullet"/>
      <w:start w:val="1"/>
    </w:lvl>
  </w:abstractNum>
  <w:abstractNum w:abstractNumId="52">
    <w:nsid w:val="23F9C13C"/>
    <w:multiLevelType w:val="hybridMultilevel"/>
    <w:lvl w:ilvl="0">
      <w:lvlJc w:val="left"/>
      <w:lvlText w:val="%1"/>
      <w:numFmt w:val="decimal"/>
      <w:start w:val="12"/>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lowerLetter"/>
      <w:start w:val="3"/>
    </w:lvl>
  </w:abstractNum>
  <w:abstractNum w:abstractNumId="55">
    <w:nsid w:val="39386575"/>
    <w:multiLevelType w:val="hybridMultilevel"/>
    <w:lvl w:ilvl="0">
      <w:lvlJc w:val="left"/>
      <w:lvlText w:val="1"/>
      <w:numFmt w:val="bullet"/>
      <w:start w:val="1"/>
    </w:lvl>
  </w:abstractNum>
  <w:abstractNum w:abstractNumId="56">
    <w:nsid w:val="1CF10FD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2019-12-05T23:29:47Z</dcterms:created>
  <dcterms:modified xsi:type="dcterms:W3CDTF">2019-12-05T23:29:47Z</dcterms:modified>
</cp:coreProperties>
</file>