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ind w:left="3666"/>
        <w:spacing w:after="0"/>
        <w:rPr>
          <w:sz w:val="20"/>
          <w:szCs w:val="20"/>
          <w:color w:val="auto"/>
        </w:rPr>
      </w:pPr>
      <w:r>
        <w:rPr>
          <w:rFonts w:ascii="Arial" w:cs="Arial" w:eastAsia="Arial" w:hAnsi="Arial"/>
          <w:sz w:val="15"/>
          <w:szCs w:val="15"/>
          <w:b w:val="1"/>
          <w:bCs w:val="1"/>
          <w:color w:val="auto"/>
        </w:rPr>
        <w:t>Date of Report (Date of earliest event reported): April 22, 2009</w:t>
      </w:r>
    </w:p>
    <w:p>
      <w:pPr>
        <w:spacing w:after="0" w:line="157" w:lineRule="exact"/>
        <w:rPr>
          <w:sz w:val="24"/>
          <w:szCs w:val="24"/>
          <w:color w:val="auto"/>
        </w:rPr>
      </w:pPr>
    </w:p>
    <w:p>
      <w:pPr>
        <w:ind w:left="5466"/>
        <w:spacing w:after="0"/>
        <w:rPr>
          <w:sz w:val="20"/>
          <w:szCs w:val="20"/>
          <w:color w:val="auto"/>
        </w:rPr>
      </w:pPr>
      <w:r>
        <w:rPr>
          <w:rFonts w:ascii="Arial" w:cs="Arial" w:eastAsia="Arial" w:hAnsi="Arial"/>
          <w:sz w:val="15"/>
          <w:szCs w:val="15"/>
          <w:b w:val="1"/>
          <w:bCs w:val="1"/>
          <w:color w:val="auto"/>
        </w:rPr>
        <w:t>0-15898</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167640</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8"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37" w:lineRule="exact"/>
        <w:rPr>
          <w:sz w:val="24"/>
          <w:szCs w:val="24"/>
          <w:color w:val="auto"/>
        </w:rPr>
      </w:pPr>
    </w:p>
    <w:tbl>
      <w:tblPr>
        <w:tblLayout w:type="fixed"/>
        <w:tblInd w:w="2266" w:type="dxa"/>
        <w:tblCellMar>
          <w:top w:w="0" w:type="dxa"/>
          <w:left w:w="0" w:type="dxa"/>
          <w:bottom w:w="0" w:type="dxa"/>
          <w:right w:w="0" w:type="dxa"/>
        </w:tblCellMar>
      </w:tblPr>
      <w:tr>
        <w:trPr>
          <w:trHeight w:val="151"/>
        </w:trPr>
        <w:tc>
          <w:tcPr>
            <w:tcW w:w="1500" w:type="dxa"/>
            <w:vAlign w:val="bottom"/>
          </w:tcPr>
          <w:p>
            <w:pPr>
              <w:spacing w:after="0"/>
              <w:rPr>
                <w:sz w:val="13"/>
                <w:szCs w:val="13"/>
                <w:color w:val="auto"/>
              </w:rPr>
            </w:pPr>
          </w:p>
        </w:tc>
        <w:tc>
          <w:tcPr>
            <w:tcW w:w="5900" w:type="dxa"/>
            <w:vAlign w:val="bottom"/>
            <w:gridSpan w:val="3"/>
          </w:tcPr>
          <w:p>
            <w:pPr>
              <w:jc w:val="center"/>
              <w:ind w:right="1921"/>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r>
      <w:tr>
        <w:trPr>
          <w:trHeight w:val="236"/>
        </w:trPr>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369"/>
        </w:trPr>
        <w:tc>
          <w:tcPr>
            <w:tcW w:w="1500" w:type="dxa"/>
            <w:vAlign w:val="bottom"/>
          </w:tcPr>
          <w:p>
            <w:pPr>
              <w:jc w:val="center"/>
              <w:ind w:right="252"/>
              <w:spacing w:after="0"/>
              <w:rPr>
                <w:sz w:val="20"/>
                <w:szCs w:val="20"/>
                <w:color w:val="auto"/>
              </w:rPr>
            </w:pPr>
            <w:r>
              <w:rPr>
                <w:rFonts w:ascii="Arial" w:cs="Arial" w:eastAsia="Arial" w:hAnsi="Arial"/>
                <w:sz w:val="15"/>
                <w:szCs w:val="15"/>
                <w:b w:val="1"/>
                <w:bCs w:val="1"/>
                <w:color w:val="auto"/>
                <w:w w:val="94"/>
              </w:rPr>
              <w:t>Delaware</w:t>
            </w:r>
          </w:p>
        </w:tc>
        <w:tc>
          <w:tcPr>
            <w:tcW w:w="5900" w:type="dxa"/>
            <w:vAlign w:val="bottom"/>
            <w:gridSpan w:val="3"/>
          </w:tcPr>
          <w:p>
            <w:pPr>
              <w:jc w:val="right"/>
              <w:ind w:right="541"/>
              <w:spacing w:after="0"/>
              <w:rPr>
                <w:sz w:val="20"/>
                <w:szCs w:val="20"/>
                <w:color w:val="auto"/>
              </w:rPr>
            </w:pPr>
            <w:r>
              <w:rPr>
                <w:rFonts w:ascii="Arial" w:cs="Arial" w:eastAsia="Arial" w:hAnsi="Arial"/>
                <w:sz w:val="15"/>
                <w:szCs w:val="15"/>
                <w:b w:val="1"/>
                <w:bCs w:val="1"/>
                <w:color w:val="auto"/>
              </w:rPr>
              <w:t>04-2623104</w:t>
            </w:r>
          </w:p>
        </w:tc>
      </w:tr>
      <w:tr>
        <w:trPr>
          <w:trHeight w:val="151"/>
        </w:trPr>
        <w:tc>
          <w:tcPr>
            <w:tcW w:w="1500" w:type="dxa"/>
            <w:vAlign w:val="bottom"/>
          </w:tcPr>
          <w:p>
            <w:pPr>
              <w:jc w:val="center"/>
              <w:ind w:right="232"/>
              <w:spacing w:after="0"/>
              <w:rPr>
                <w:sz w:val="20"/>
                <w:szCs w:val="20"/>
                <w:color w:val="auto"/>
              </w:rPr>
            </w:pPr>
            <w:r>
              <w:rPr>
                <w:rFonts w:ascii="Arial" w:cs="Arial" w:eastAsia="Arial" w:hAnsi="Arial"/>
                <w:sz w:val="12"/>
                <w:szCs w:val="12"/>
                <w:b w:val="1"/>
                <w:bCs w:val="1"/>
                <w:color w:val="auto"/>
                <w:w w:val="90"/>
              </w:rPr>
              <w:t>(State of Incorporation)</w:t>
            </w: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Arial" w:cs="Arial" w:eastAsia="Arial" w:hAnsi="Arial"/>
                <w:sz w:val="12"/>
                <w:szCs w:val="12"/>
                <w:b w:val="1"/>
                <w:bCs w:val="1"/>
                <w:color w:val="auto"/>
                <w:w w:val="91"/>
              </w:rPr>
              <w:t>(IRS Employer Identification Number)</w:t>
            </w:r>
          </w:p>
        </w:tc>
      </w:tr>
      <w:tr>
        <w:trPr>
          <w:trHeight w:val="308"/>
        </w:trPr>
        <w:tc>
          <w:tcPr>
            <w:tcW w:w="1500" w:type="dxa"/>
            <w:vAlign w:val="bottom"/>
          </w:tcPr>
          <w:p>
            <w:pPr>
              <w:spacing w:after="0"/>
              <w:rPr>
                <w:sz w:val="24"/>
                <w:szCs w:val="24"/>
                <w:color w:val="auto"/>
              </w:rPr>
            </w:pPr>
          </w:p>
        </w:tc>
        <w:tc>
          <w:tcPr>
            <w:tcW w:w="5900" w:type="dxa"/>
            <w:vAlign w:val="bottom"/>
            <w:gridSpan w:val="3"/>
          </w:tcPr>
          <w:p>
            <w:pPr>
              <w:jc w:val="center"/>
              <w:ind w:right="194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500" w:type="dxa"/>
            <w:vAlign w:val="bottom"/>
          </w:tcPr>
          <w:p>
            <w:pPr>
              <w:spacing w:after="0"/>
              <w:rPr>
                <w:sz w:val="13"/>
                <w:szCs w:val="13"/>
                <w:color w:val="auto"/>
              </w:rPr>
            </w:pPr>
          </w:p>
        </w:tc>
        <w:tc>
          <w:tcPr>
            <w:tcW w:w="5900" w:type="dxa"/>
            <w:vAlign w:val="bottom"/>
            <w:gridSpan w:val="3"/>
          </w:tcPr>
          <w:p>
            <w:pPr>
              <w:jc w:val="center"/>
              <w:ind w:right="194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8"/>
        </w:trPr>
        <w:tc>
          <w:tcPr>
            <w:tcW w:w="1500" w:type="dxa"/>
            <w:vAlign w:val="bottom"/>
          </w:tcPr>
          <w:p>
            <w:pPr>
              <w:spacing w:after="0"/>
              <w:rPr>
                <w:sz w:val="24"/>
                <w:szCs w:val="24"/>
                <w:color w:val="auto"/>
              </w:rPr>
            </w:pPr>
          </w:p>
        </w:tc>
        <w:tc>
          <w:tcPr>
            <w:tcW w:w="3160" w:type="dxa"/>
            <w:vAlign w:val="bottom"/>
            <w:gridSpan w:val="2"/>
          </w:tcPr>
          <w:p>
            <w:pPr>
              <w:jc w:val="center"/>
              <w:ind w:left="691"/>
              <w:spacing w:after="0"/>
              <w:rPr>
                <w:sz w:val="20"/>
                <w:szCs w:val="20"/>
                <w:color w:val="auto"/>
              </w:rPr>
            </w:pPr>
            <w:r>
              <w:rPr>
                <w:rFonts w:ascii="Arial" w:cs="Arial" w:eastAsia="Arial" w:hAnsi="Arial"/>
                <w:sz w:val="15"/>
                <w:szCs w:val="15"/>
                <w:b w:val="1"/>
                <w:bCs w:val="1"/>
                <w:color w:val="auto"/>
                <w:w w:val="93"/>
              </w:rPr>
              <w:t>(781) 828-9300</w:t>
            </w:r>
          </w:p>
        </w:tc>
        <w:tc>
          <w:tcPr>
            <w:tcW w:w="2740" w:type="dxa"/>
            <w:vAlign w:val="bottom"/>
          </w:tcPr>
          <w:p>
            <w:pPr>
              <w:spacing w:after="0"/>
              <w:rPr>
                <w:sz w:val="24"/>
                <w:szCs w:val="24"/>
                <w:color w:val="auto"/>
              </w:rPr>
            </w:pPr>
          </w:p>
        </w:tc>
      </w:tr>
      <w:tr>
        <w:trPr>
          <w:trHeight w:val="151"/>
        </w:trPr>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160" w:type="dxa"/>
            <w:vAlign w:val="bottom"/>
            <w:gridSpan w:val="2"/>
          </w:tcPr>
          <w:p>
            <w:pPr>
              <w:jc w:val="center"/>
              <w:ind w:right="268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149860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2"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79" w:right="5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w:t>
      </w:r>
      <w:r>
        <w:rPr>
          <w:sz w:val="20"/>
          <w:szCs w:val="20"/>
          <w:color w:val="auto"/>
        </w:rPr>
        <w:tab/>
      </w:r>
      <w:r>
        <w:rPr>
          <w:rFonts w:ascii="Arial" w:cs="Arial" w:eastAsia="Arial" w:hAnsi="Arial"/>
          <w:sz w:val="14"/>
          <w:szCs w:val="14"/>
          <w:color w:val="auto"/>
        </w:rPr>
        <w:t>-Regulation FD Disclosure</w:t>
      </w:r>
    </w:p>
    <w:p>
      <w:pPr>
        <w:spacing w:after="0" w:line="86"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at upcoming investors conferences beginning on April 22, 2009. A copy of the slides to be presented at those conferences is attached to this report as Exhibit 99.1, which slide presentation is incorporated by reference herein.</w:t>
      </w:r>
    </w:p>
    <w:p>
      <w:pPr>
        <w:spacing w:after="0" w:line="99"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Presentation of Non-GAAP Measures</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4 and slide 7.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In addition, all companies do not calculate non-GAAP financial measures in the same manner and, accordingly, “free cash flows” as presented in this slide presentation may not be comparable to similar measures used by other companies. We calculate projected free cash flows for fiscal 2009 of $15.0 million by subtracting estimated capital expenditures for fiscal 2009 of approximately $5.0 million from estimated cash flow from operations for fiscal 2009 of $20.0 million.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inclusion of this non-GAAP measure helps investors gain a better understanding of our performance, especially when comparing such results to previous periods.</w:t>
      </w:r>
    </w:p>
    <w:p>
      <w:pPr>
        <w:spacing w:after="0" w:line="274"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ITEM 9.01</w:t>
      </w:r>
      <w:r>
        <w:rPr>
          <w:sz w:val="20"/>
          <w:szCs w:val="20"/>
          <w:color w:val="auto"/>
        </w:rPr>
        <w:tab/>
      </w:r>
      <w:r>
        <w:rPr>
          <w:rFonts w:ascii="Arial" w:cs="Arial" w:eastAsia="Arial" w:hAnsi="Arial"/>
          <w:sz w:val="15"/>
          <w:szCs w:val="15"/>
          <w:color w:val="auto"/>
        </w:rPr>
        <w:t>- FINANCIAL STATEMENTS AND EXHIBITS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Exhibits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Exhibit No.</w:t>
            </w:r>
          </w:p>
        </w:tc>
        <w:tc>
          <w:tcPr>
            <w:tcW w:w="600" w:type="dxa"/>
            <w:vAlign w:val="bottom"/>
          </w:tcPr>
          <w:p>
            <w:pPr>
              <w:spacing w:after="0"/>
              <w:rPr>
                <w:sz w:val="13"/>
                <w:szCs w:val="13"/>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600" w:type="dxa"/>
            <w:vAlign w:val="bottom"/>
          </w:tcPr>
          <w:p>
            <w:pPr>
              <w:spacing w:after="0"/>
              <w:rPr>
                <w:sz w:val="20"/>
                <w:szCs w:val="20"/>
                <w:color w:val="auto"/>
              </w:rPr>
            </w:pPr>
            <w:r>
              <w:rPr>
                <w:rFonts w:ascii="Arial" w:cs="Arial" w:eastAsia="Arial" w:hAnsi="Arial"/>
                <w:sz w:val="15"/>
                <w:szCs w:val="15"/>
                <w:color w:val="auto"/>
              </w:rPr>
              <w:t>99.1</w:t>
            </w:r>
          </w:p>
        </w:tc>
        <w:tc>
          <w:tcPr>
            <w:tcW w:w="600" w:type="dxa"/>
            <w:vAlign w:val="bottom"/>
          </w:tcPr>
          <w:p>
            <w:pPr>
              <w:spacing w:after="0"/>
              <w:rPr>
                <w:sz w:val="16"/>
                <w:szCs w:val="16"/>
                <w:color w:val="auto"/>
              </w:rPr>
            </w:pPr>
          </w:p>
        </w:tc>
        <w:tc>
          <w:tcPr>
            <w:tcW w:w="9320" w:type="dxa"/>
            <w:vAlign w:val="bottom"/>
          </w:tcPr>
          <w:p>
            <w:pPr>
              <w:spacing w:after="0"/>
              <w:rPr>
                <w:sz w:val="20"/>
                <w:szCs w:val="20"/>
                <w:color w:val="auto"/>
              </w:rPr>
            </w:pPr>
            <w:r>
              <w:rPr>
                <w:rFonts w:ascii="Arial" w:cs="Arial" w:eastAsia="Arial" w:hAnsi="Arial"/>
                <w:sz w:val="15"/>
                <w:szCs w:val="15"/>
                <w:color w:val="auto"/>
              </w:rPr>
              <w:t>Presentation dated April 22, 2009</w:t>
            </w:r>
          </w:p>
        </w:tc>
      </w:tr>
    </w:tbl>
    <w:p>
      <w:pPr>
        <w:sectPr>
          <w:pgSz w:w="11900" w:h="16838" w:orient="portrait"/>
          <w:cols w:equalWidth="0" w:num="1">
            <w:col w:w="11380"/>
          </w:cols>
          <w:pgMar w:left="240" w:top="26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57"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DENNIS R. HERNREICH</w:t>
            </w:r>
          </w:p>
        </w:tc>
      </w:tr>
      <w:tr>
        <w:trPr>
          <w:trHeight w:val="186"/>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3980" w:type="dxa"/>
            <w:vAlign w:val="bottom"/>
          </w:tcPr>
          <w:p>
            <w:pPr>
              <w:spacing w:after="0"/>
              <w:rPr>
                <w:sz w:val="20"/>
                <w:szCs w:val="20"/>
                <w:color w:val="auto"/>
              </w:rPr>
            </w:pPr>
            <w:r>
              <w:rPr>
                <w:rFonts w:ascii="Arial" w:cs="Arial" w:eastAsia="Arial" w:hAnsi="Arial"/>
                <w:sz w:val="15"/>
                <w:szCs w:val="15"/>
                <w:color w:val="auto"/>
              </w:rPr>
              <w:t>Dennis R. Hernreich</w:t>
            </w:r>
          </w:p>
        </w:tc>
      </w:tr>
      <w:tr>
        <w:trPr>
          <w:trHeight w:val="194"/>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3980" w:type="dxa"/>
            <w:vAlign w:val="bottom"/>
          </w:tcPr>
          <w:p>
            <w:pPr>
              <w:spacing w:after="0"/>
              <w:rPr>
                <w:sz w:val="20"/>
                <w:szCs w:val="20"/>
                <w:color w:val="auto"/>
              </w:rPr>
            </w:pPr>
            <w:r>
              <w:rPr>
                <w:rFonts w:ascii="Arial" w:cs="Arial" w:eastAsia="Arial" w:hAnsi="Arial"/>
                <w:sz w:val="15"/>
                <w:szCs w:val="15"/>
                <w:color w:val="auto"/>
              </w:rPr>
              <w:t>Executive Vice President and Chief Financial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Date: April 22, 2009</w:t>
      </w:r>
    </w:p>
    <w:p>
      <w:pPr>
        <w:sectPr>
          <w:pgSz w:w="11900" w:h="16838" w:orient="portrait"/>
          <w:cols w:equalWidth="0" w:num="1">
            <w:col w:w="11440"/>
          </w:cols>
          <w:pgMar w:left="240" w:top="262"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20"/>
        <w:spacing w:after="0"/>
        <w:rPr>
          <w:sz w:val="20"/>
          <w:szCs w:val="20"/>
          <w:color w:val="auto"/>
        </w:rPr>
      </w:pPr>
      <w:r>
        <w:rPr>
          <w:rFonts w:ascii="Arial" w:cs="Arial" w:eastAsia="Arial" w:hAnsi="Arial"/>
          <w:sz w:val="56"/>
          <w:szCs w:val="56"/>
          <w:b w:val="1"/>
          <w:bCs w:val="1"/>
          <w:color w:val="FFFFFF"/>
        </w:rPr>
        <w:t>April 2009</w:t>
      </w:r>
    </w:p>
    <w:p>
      <w:pPr>
        <w:sectPr>
          <w:pgSz w:w="11900" w:h="16838" w:orient="portrait"/>
          <w:cols w:equalWidth="0" w:num="1">
            <w:col w:w="9760"/>
          </w:cols>
          <w:pgMar w:left="1440" w:top="406" w:right="699" w:bottom="1440" w:gutter="0" w:footer="0" w:header="0"/>
        </w:sectPr>
      </w:pPr>
    </w:p>
    <w:bookmarkStart w:id="4" w:name="page5"/>
    <w:bookmarkEnd w:id="4"/>
    <w:p>
      <w:pPr>
        <w:ind w:left="61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Big &amp; Tall Market</w:t>
      </w:r>
    </w:p>
    <w:p>
      <w:pPr>
        <w:spacing w:after="0" w:line="200" w:lineRule="exact"/>
        <w:rPr>
          <w:sz w:val="20"/>
          <w:szCs w:val="20"/>
          <w:color w:val="auto"/>
        </w:rPr>
      </w:pPr>
    </w:p>
    <w:p>
      <w:pPr>
        <w:spacing w:after="0" w:line="351" w:lineRule="exact"/>
        <w:rPr>
          <w:sz w:val="20"/>
          <w:szCs w:val="20"/>
          <w:color w:val="auto"/>
        </w:rPr>
      </w:pPr>
    </w:p>
    <w:p>
      <w:pPr>
        <w:ind w:left="420" w:hanging="419"/>
        <w:spacing w:after="0"/>
        <w:tabs>
          <w:tab w:leader="none" w:pos="420" w:val="left"/>
        </w:tabs>
        <w:numPr>
          <w:ilvl w:val="0"/>
          <w:numId w:val="2"/>
        </w:numPr>
        <w:rPr>
          <w:rFonts w:ascii="Arial" w:cs="Arial" w:eastAsia="Arial" w:hAnsi="Arial"/>
          <w:sz w:val="38"/>
          <w:szCs w:val="38"/>
          <w:color w:val="E75518"/>
        </w:rPr>
      </w:pPr>
      <w:r>
        <w:rPr>
          <w:rFonts w:ascii="Arial" w:cs="Arial" w:eastAsia="Arial" w:hAnsi="Arial"/>
          <w:sz w:val="38"/>
          <w:szCs w:val="38"/>
          <w:color w:val="FFFFFF"/>
        </w:rPr>
        <w:t>Market defined as:</w:t>
      </w:r>
    </w:p>
    <w:p>
      <w:pPr>
        <w:spacing w:after="0" w:line="104" w:lineRule="exact"/>
        <w:rPr>
          <w:sz w:val="20"/>
          <w:szCs w:val="20"/>
          <w:color w:val="auto"/>
        </w:rPr>
      </w:pPr>
    </w:p>
    <w:p>
      <w:pPr>
        <w:ind w:left="560"/>
        <w:spacing w:after="0"/>
        <w:tabs>
          <w:tab w:leader="none" w:pos="6520" w:val="left"/>
        </w:tabs>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big = waist size between 40”</w:t>
      </w:r>
      <w:r>
        <w:rPr>
          <w:sz w:val="20"/>
          <w:szCs w:val="20"/>
          <w:color w:val="auto"/>
        </w:rPr>
        <w:tab/>
      </w:r>
      <w:r>
        <w:rPr>
          <w:rFonts w:ascii="Arial" w:cs="Arial" w:eastAsia="Arial" w:hAnsi="Arial"/>
          <w:sz w:val="37"/>
          <w:szCs w:val="37"/>
          <w:color w:val="FFFFFF"/>
        </w:rPr>
        <w:t>and 70”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tall = height over 6’2”</w:t>
      </w:r>
    </w:p>
    <w:p>
      <w:pPr>
        <w:spacing w:after="0" w:line="103" w:lineRule="exact"/>
        <w:rPr>
          <w:sz w:val="20"/>
          <w:szCs w:val="20"/>
          <w:color w:val="auto"/>
        </w:rPr>
      </w:pPr>
    </w:p>
    <w:p>
      <w:pPr>
        <w:ind w:left="420" w:right="1520" w:hanging="419"/>
        <w:spacing w:after="0" w:line="260" w:lineRule="auto"/>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Big and tall men account for approximately 11% of the male population.</w:t>
      </w:r>
    </w:p>
    <w:p>
      <w:pPr>
        <w:spacing w:after="0" w:line="52" w:lineRule="exact"/>
        <w:rPr>
          <w:rFonts w:ascii="Arial" w:cs="Arial" w:eastAsia="Arial" w:hAnsi="Arial"/>
          <w:sz w:val="38"/>
          <w:szCs w:val="38"/>
          <w:color w:val="E75518"/>
        </w:rPr>
      </w:pPr>
    </w:p>
    <w:p>
      <w:pPr>
        <w:ind w:left="420" w:right="1500" w:hanging="419"/>
        <w:spacing w:after="0" w:line="249" w:lineRule="auto"/>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Big and tall market size is approximately $6 billion and growing at almost twice the rate of the regular size men’s apparel market.</w:t>
      </w:r>
    </w:p>
    <w:p>
      <w:pPr>
        <w:spacing w:after="0" w:line="74" w:lineRule="exact"/>
        <w:rPr>
          <w:rFonts w:ascii="Arial" w:cs="Arial" w:eastAsia="Arial" w:hAnsi="Arial"/>
          <w:sz w:val="38"/>
          <w:szCs w:val="38"/>
          <w:color w:val="E75518"/>
        </w:rPr>
      </w:pPr>
    </w:p>
    <w:p>
      <w:pPr>
        <w:jc w:val="right"/>
        <w:ind w:left="920" w:right="2360" w:hanging="353"/>
        <w:spacing w:after="0" w:line="273" w:lineRule="auto"/>
        <w:rPr>
          <w:rFonts w:ascii="Arial" w:cs="Arial" w:eastAsia="Arial" w:hAnsi="Arial"/>
          <w:sz w:val="38"/>
          <w:szCs w:val="38"/>
          <w:color w:val="E75518"/>
        </w:rPr>
      </w:pPr>
      <w:r>
        <w:rPr>
          <w:rFonts w:ascii="Arial" w:cs="Arial" w:eastAsia="Arial" w:hAnsi="Arial"/>
          <w:sz w:val="37"/>
          <w:szCs w:val="37"/>
          <w:color w:val="E75518"/>
        </w:rPr>
        <w:t xml:space="preserve">– </w:t>
      </w:r>
      <w:r>
        <w:rPr>
          <w:rFonts w:ascii="Arial" w:cs="Arial" w:eastAsia="Arial" w:hAnsi="Arial"/>
          <w:sz w:val="37"/>
          <w:szCs w:val="37"/>
          <w:color w:val="FFFFFF"/>
        </w:rPr>
        <w:t>Big &amp; tall apparel market is highly fragmented;</w:t>
      </w:r>
      <w:r>
        <w:rPr>
          <w:rFonts w:ascii="Arial" w:cs="Arial" w:eastAsia="Arial" w:hAnsi="Arial"/>
          <w:sz w:val="37"/>
          <w:szCs w:val="37"/>
          <w:color w:val="E75518"/>
        </w:rPr>
        <w:t xml:space="preserve"> </w:t>
      </w:r>
      <w:r>
        <w:rPr>
          <w:rFonts w:ascii="Arial" w:cs="Arial" w:eastAsia="Arial" w:hAnsi="Arial"/>
          <w:sz w:val="37"/>
          <w:szCs w:val="37"/>
          <w:color w:val="FFFFFF"/>
        </w:rPr>
        <w:t>characterized by many small, local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w:t>
      </w:r>
    </w:p>
    <w:p>
      <w:pPr>
        <w:sectPr>
          <w:pgSz w:w="11900" w:h="16838" w:orient="portrait"/>
          <w:cols w:equalWidth="0" w:num="1">
            <w:col w:w="10960"/>
          </w:cols>
          <w:pgMar w:left="480" w:top="850" w:right="459" w:bottom="1440" w:gutter="0" w:footer="0" w:header="0"/>
        </w:sectPr>
      </w:pPr>
    </w:p>
    <w:bookmarkStart w:id="5" w:name="page6"/>
    <w:bookmarkEnd w:id="5"/>
    <w:p>
      <w:pPr>
        <w:ind w:left="6440" w:right="700" w:hanging="5607"/>
        <w:spacing w:after="0" w:line="272" w:lineRule="auto"/>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Market is growing as a percent to total menswear sales</w:t>
      </w:r>
    </w:p>
    <w:p>
      <w:pPr>
        <w:ind w:left="4780"/>
        <w:spacing w:after="0"/>
        <w:rPr>
          <w:sz w:val="20"/>
          <w:szCs w:val="20"/>
          <w:color w:val="auto"/>
        </w:rPr>
      </w:pPr>
      <w:r>
        <w:rPr>
          <w:rFonts w:ascii="Arial" w:cs="Arial" w:eastAsia="Arial" w:hAnsi="Arial"/>
          <w:sz w:val="28"/>
          <w:szCs w:val="28"/>
          <w:b w:val="1"/>
          <w:bCs w:val="1"/>
          <w:color w:val="FFFFFF"/>
        </w:rPr>
        <w:t>Obesity Trends* Among U.S. Adults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540" w:type="dxa"/>
            <w:vAlign w:val="bottom"/>
          </w:tcPr>
          <w:p>
            <w:pPr>
              <w:jc w:val="right"/>
              <w:ind w:right="494"/>
              <w:spacing w:after="0"/>
              <w:rPr>
                <w:sz w:val="20"/>
                <w:szCs w:val="20"/>
                <w:color w:val="auto"/>
              </w:rPr>
            </w:pPr>
            <w:r>
              <w:rPr>
                <w:rFonts w:ascii="Arial" w:cs="Arial" w:eastAsia="Arial" w:hAnsi="Arial"/>
                <w:sz w:val="22"/>
                <w:szCs w:val="22"/>
                <w:color w:val="FFFFFF"/>
              </w:rPr>
              <w:t>(*BMI   30, or about 30 lbs overweight)</w:t>
            </w:r>
          </w:p>
        </w:tc>
        <w:tc>
          <w:tcPr>
            <w:tcW w:w="27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559"/>
        </w:trPr>
        <w:tc>
          <w:tcPr>
            <w:tcW w:w="4540" w:type="dxa"/>
            <w:vAlign w:val="bottom"/>
          </w:tcPr>
          <w:p>
            <w:pPr>
              <w:jc w:val="right"/>
              <w:ind w:right="2494"/>
              <w:spacing w:after="0"/>
              <w:rPr>
                <w:sz w:val="20"/>
                <w:szCs w:val="20"/>
                <w:color w:val="auto"/>
              </w:rPr>
            </w:pPr>
            <w:r>
              <w:rPr>
                <w:rFonts w:ascii="Arial" w:cs="Arial" w:eastAsia="Arial" w:hAnsi="Arial"/>
                <w:sz w:val="28"/>
                <w:szCs w:val="28"/>
                <w:color w:val="FFFFFF"/>
              </w:rPr>
              <w:t>1985</w:t>
            </w:r>
          </w:p>
        </w:tc>
        <w:tc>
          <w:tcPr>
            <w:tcW w:w="2720" w:type="dxa"/>
            <w:vAlign w:val="bottom"/>
          </w:tcPr>
          <w:p>
            <w:pPr>
              <w:jc w:val="right"/>
              <w:ind w:right="1399"/>
              <w:spacing w:after="0"/>
              <w:rPr>
                <w:sz w:val="20"/>
                <w:szCs w:val="20"/>
                <w:color w:val="auto"/>
              </w:rPr>
            </w:pPr>
            <w:r>
              <w:rPr>
                <w:rFonts w:ascii="Arial" w:cs="Arial" w:eastAsia="Arial" w:hAnsi="Arial"/>
                <w:sz w:val="28"/>
                <w:szCs w:val="28"/>
                <w:color w:val="FFFFFF"/>
              </w:rPr>
              <w:t>1990</w:t>
            </w:r>
          </w:p>
        </w:tc>
        <w:tc>
          <w:tcPr>
            <w:tcW w:w="2100" w:type="dxa"/>
            <w:vAlign w:val="bottom"/>
          </w:tcPr>
          <w:p>
            <w:pPr>
              <w:jc w:val="right"/>
              <w:spacing w:after="0"/>
              <w:rPr>
                <w:sz w:val="20"/>
                <w:szCs w:val="20"/>
                <w:color w:val="auto"/>
              </w:rPr>
            </w:pPr>
            <w:r>
              <w:rPr>
                <w:rFonts w:ascii="Arial" w:cs="Arial" w:eastAsia="Arial" w:hAnsi="Arial"/>
                <w:sz w:val="28"/>
                <w:szCs w:val="28"/>
                <w:color w:val="FFFFFF"/>
              </w:rPr>
              <w:t>1995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80"/>
        <w:spacing w:after="0"/>
        <w:tabs>
          <w:tab w:leader="none" w:pos="4980" w:val="left"/>
          <w:tab w:leader="none" w:pos="8640" w:val="left"/>
        </w:tabs>
        <w:rPr>
          <w:sz w:val="20"/>
          <w:szCs w:val="20"/>
          <w:color w:val="auto"/>
        </w:rPr>
      </w:pPr>
      <w:r>
        <w:rPr>
          <w:rFonts w:ascii="Arial" w:cs="Arial" w:eastAsia="Arial" w:hAnsi="Arial"/>
          <w:sz w:val="28"/>
          <w:szCs w:val="28"/>
          <w:color w:val="FFFFFF"/>
        </w:rPr>
        <w:t>2000</w:t>
      </w:r>
      <w:r>
        <w:rPr>
          <w:sz w:val="20"/>
          <w:szCs w:val="20"/>
          <w:color w:val="auto"/>
        </w:rPr>
        <w:tab/>
      </w:r>
      <w:r>
        <w:rPr>
          <w:rFonts w:ascii="Arial" w:cs="Arial" w:eastAsia="Arial" w:hAnsi="Arial"/>
          <w:sz w:val="28"/>
          <w:szCs w:val="28"/>
          <w:color w:val="FFFFFF"/>
        </w:rPr>
        <w:t>2005</w:t>
      </w:r>
      <w:r>
        <w:rPr>
          <w:sz w:val="20"/>
          <w:szCs w:val="20"/>
          <w:color w:val="auto"/>
        </w:rPr>
        <w:tab/>
      </w:r>
      <w:r>
        <w:rPr>
          <w:rFonts w:ascii="Arial" w:cs="Arial" w:eastAsia="Arial" w:hAnsi="Arial"/>
          <w:sz w:val="25"/>
          <w:szCs w:val="25"/>
          <w:color w:val="FFFFFF"/>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00"/>
        <w:spacing w:after="0"/>
        <w:tabs>
          <w:tab w:leader="none" w:pos="2740" w:val="left"/>
          <w:tab w:leader="none" w:pos="4000" w:val="left"/>
          <w:tab w:leader="none" w:pos="6500" w:val="left"/>
          <w:tab w:leader="none" w:pos="8140" w:val="left"/>
        </w:tabs>
        <w:rPr>
          <w:sz w:val="20"/>
          <w:szCs w:val="20"/>
          <w:color w:val="auto"/>
        </w:rPr>
      </w:pPr>
      <w:r>
        <w:rPr>
          <w:rFonts w:ascii="Arial" w:cs="Arial" w:eastAsia="Arial" w:hAnsi="Arial"/>
          <w:sz w:val="22"/>
          <w:szCs w:val="22"/>
          <w:b w:val="1"/>
          <w:bCs w:val="1"/>
          <w:color w:val="FFFFFF"/>
        </w:rPr>
        <w:t>No Data</w:t>
      </w:r>
      <w:r>
        <w:rPr>
          <w:sz w:val="20"/>
          <w:szCs w:val="20"/>
          <w:color w:val="auto"/>
        </w:rPr>
        <w:tab/>
      </w:r>
      <w:r>
        <w:rPr>
          <w:rFonts w:ascii="Arial" w:cs="Arial" w:eastAsia="Arial" w:hAnsi="Arial"/>
          <w:sz w:val="22"/>
          <w:szCs w:val="22"/>
          <w:b w:val="1"/>
          <w:bCs w:val="1"/>
          <w:color w:val="FFFFFF"/>
        </w:rPr>
        <w:t>&lt;10%</w:t>
      </w:r>
      <w:r>
        <w:rPr>
          <w:sz w:val="20"/>
          <w:szCs w:val="20"/>
          <w:color w:val="auto"/>
        </w:rPr>
        <w:tab/>
      </w:r>
      <w:r>
        <w:rPr>
          <w:rFonts w:ascii="Arial" w:cs="Arial" w:eastAsia="Arial" w:hAnsi="Arial"/>
          <w:sz w:val="22"/>
          <w:szCs w:val="22"/>
          <w:b w:val="1"/>
          <w:bCs w:val="1"/>
          <w:color w:val="FFFFFF"/>
        </w:rPr>
        <w:t>10%–14%15%–19%</w:t>
      </w:r>
      <w:r>
        <w:rPr>
          <w:sz w:val="20"/>
          <w:szCs w:val="20"/>
          <w:color w:val="auto"/>
        </w:rPr>
        <w:tab/>
      </w:r>
      <w:r>
        <w:rPr>
          <w:rFonts w:ascii="Arial" w:cs="Arial" w:eastAsia="Arial" w:hAnsi="Arial"/>
          <w:sz w:val="22"/>
          <w:szCs w:val="22"/>
          <w:b w:val="1"/>
          <w:bCs w:val="1"/>
          <w:color w:val="FFFFFF"/>
        </w:rPr>
        <w:t>20%–24%</w:t>
      </w:r>
      <w:r>
        <w:rPr>
          <w:sz w:val="20"/>
          <w:szCs w:val="20"/>
          <w:color w:val="auto"/>
        </w:rPr>
        <w:tab/>
      </w:r>
      <w:r>
        <w:rPr>
          <w:rFonts w:ascii="Arial" w:cs="Arial" w:eastAsia="Arial" w:hAnsi="Arial"/>
          <w:sz w:val="20"/>
          <w:szCs w:val="20"/>
          <w:b w:val="1"/>
          <w:bCs w:val="1"/>
          <w:color w:val="FFFFFF"/>
        </w:rPr>
        <w:t>25%–29%30%</w:t>
      </w:r>
    </w:p>
    <w:p>
      <w:pPr>
        <w:spacing w:after="0" w:line="225" w:lineRule="exact"/>
        <w:rPr>
          <w:sz w:val="20"/>
          <w:szCs w:val="20"/>
          <w:color w:val="auto"/>
        </w:rPr>
      </w:pPr>
    </w:p>
    <w:p>
      <w:pPr>
        <w:ind w:left="9400"/>
        <w:spacing w:after="0"/>
        <w:rPr>
          <w:sz w:val="20"/>
          <w:szCs w:val="20"/>
          <w:color w:val="auto"/>
        </w:rPr>
      </w:pPr>
      <w:r>
        <w:rPr>
          <w:rFonts w:ascii="Arial" w:cs="Arial" w:eastAsia="Arial" w:hAnsi="Arial"/>
          <w:sz w:val="13"/>
          <w:szCs w:val="13"/>
          <w:color w:val="FFFFFF"/>
        </w:rPr>
        <w:t>Source: CDC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p>
      <w:pPr>
        <w:sectPr>
          <w:pgSz w:w="11900" w:h="16838" w:orient="portrait"/>
          <w:cols w:equalWidth="0" w:num="1">
            <w:col w:w="10480"/>
          </w:cols>
          <w:pgMar w:left="960" w:top="632" w:right="459" w:bottom="1440" w:gutter="0" w:footer="0" w:header="0"/>
        </w:sectPr>
      </w:pPr>
    </w:p>
    <w:bookmarkStart w:id="6" w:name="page7"/>
    <w:bookmarkEnd w:id="6"/>
    <w:p>
      <w:pPr>
        <w:ind w:left="752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2009 Goals</w:t>
      </w:r>
    </w:p>
    <w:p>
      <w:pPr>
        <w:spacing w:after="0" w:line="175" w:lineRule="exact"/>
        <w:rPr>
          <w:sz w:val="20"/>
          <w:szCs w:val="20"/>
          <w:color w:val="auto"/>
        </w:rPr>
      </w:pPr>
    </w:p>
    <w:p>
      <w:pPr>
        <w:ind w:left="420" w:hanging="417"/>
        <w:spacing w:after="0"/>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Optimize Free Cash Flow projected $15 million</w:t>
      </w:r>
    </w:p>
    <w:p>
      <w:pPr>
        <w:spacing w:after="0" w:line="103" w:lineRule="exact"/>
        <w:rPr>
          <w:rFonts w:ascii="Arial" w:cs="Arial" w:eastAsia="Arial" w:hAnsi="Arial"/>
          <w:sz w:val="38"/>
          <w:szCs w:val="38"/>
          <w:color w:val="E75518"/>
        </w:rPr>
      </w:pPr>
    </w:p>
    <w:p>
      <w:pPr>
        <w:ind w:left="420" w:right="1700" w:hanging="417"/>
        <w:spacing w:after="0" w:line="260" w:lineRule="auto"/>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Maximize liquidity of our Revolver and paying down balance to $25- $30 million at year end</w:t>
      </w:r>
    </w:p>
    <w:p>
      <w:pPr>
        <w:spacing w:after="0" w:line="52" w:lineRule="exact"/>
        <w:rPr>
          <w:rFonts w:ascii="Arial" w:cs="Arial" w:eastAsia="Arial" w:hAnsi="Arial"/>
          <w:sz w:val="38"/>
          <w:szCs w:val="38"/>
          <w:color w:val="E75518"/>
        </w:rPr>
      </w:pPr>
    </w:p>
    <w:p>
      <w:pPr>
        <w:ind w:left="420" w:right="1820" w:hanging="417"/>
        <w:spacing w:after="0" w:line="253" w:lineRule="auto"/>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Managing inventory levels and reducing by 10% or $10 million</w:t>
      </w:r>
    </w:p>
    <w:p>
      <w:pPr>
        <w:spacing w:after="0" w:line="66" w:lineRule="exact"/>
        <w:rPr>
          <w:rFonts w:ascii="Arial" w:cs="Arial" w:eastAsia="Arial" w:hAnsi="Arial"/>
          <w:sz w:val="38"/>
          <w:szCs w:val="38"/>
          <w:color w:val="E75518"/>
        </w:rPr>
      </w:pPr>
    </w:p>
    <w:p>
      <w:pPr>
        <w:ind w:left="420" w:hanging="417"/>
        <w:spacing w:after="0"/>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Reducing SGA by 9% to $162.5 million</w:t>
      </w:r>
    </w:p>
    <w:p>
      <w:pPr>
        <w:spacing w:after="0" w:line="103" w:lineRule="exact"/>
        <w:rPr>
          <w:rFonts w:ascii="Arial" w:cs="Arial" w:eastAsia="Arial" w:hAnsi="Arial"/>
          <w:sz w:val="38"/>
          <w:szCs w:val="38"/>
          <w:color w:val="E75518"/>
        </w:rPr>
      </w:pPr>
    </w:p>
    <w:p>
      <w:pPr>
        <w:ind w:left="420" w:hanging="417"/>
        <w:spacing w:after="0"/>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Cutting Capital Expenditures to $5 million</w:t>
      </w:r>
    </w:p>
    <w:p>
      <w:pPr>
        <w:spacing w:after="0" w:line="103" w:lineRule="exact"/>
        <w:rPr>
          <w:rFonts w:ascii="Arial" w:cs="Arial" w:eastAsia="Arial" w:hAnsi="Arial"/>
          <w:sz w:val="38"/>
          <w:szCs w:val="38"/>
          <w:color w:val="E75518"/>
        </w:rPr>
      </w:pPr>
    </w:p>
    <w:p>
      <w:pPr>
        <w:ind w:left="420" w:right="1540" w:hanging="417"/>
        <w:spacing w:after="0" w:line="253" w:lineRule="auto"/>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Improving Merchandise Margins by 225 to 275 basis points</w:t>
      </w:r>
    </w:p>
    <w:p>
      <w:pPr>
        <w:spacing w:after="0" w:line="66" w:lineRule="exact"/>
        <w:rPr>
          <w:rFonts w:ascii="Arial" w:cs="Arial" w:eastAsia="Arial" w:hAnsi="Arial"/>
          <w:sz w:val="38"/>
          <w:szCs w:val="38"/>
          <w:color w:val="E75518"/>
        </w:rPr>
      </w:pPr>
    </w:p>
    <w:p>
      <w:pPr>
        <w:ind w:left="420" w:right="2020" w:hanging="417"/>
        <w:spacing w:after="0" w:line="260" w:lineRule="auto"/>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Implement a store customer service improvement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4</w:t>
      </w:r>
    </w:p>
    <w:p>
      <w:pPr>
        <w:sectPr>
          <w:pgSz w:w="11900" w:h="16838" w:orient="portrait"/>
          <w:cols w:equalWidth="0" w:num="1">
            <w:col w:w="10680"/>
          </w:cols>
          <w:pgMar w:left="760" w:top="850"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Selected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329"/>
        </w:trPr>
        <w:tc>
          <w:tcPr>
            <w:tcW w:w="2960" w:type="dxa"/>
            <w:vAlign w:val="bottom"/>
          </w:tcPr>
          <w:p>
            <w:pPr>
              <w:spacing w:after="0"/>
              <w:rPr>
                <w:sz w:val="24"/>
                <w:szCs w:val="24"/>
                <w:color w:val="auto"/>
              </w:rPr>
            </w:pPr>
          </w:p>
        </w:tc>
        <w:tc>
          <w:tcPr>
            <w:tcW w:w="2520" w:type="dxa"/>
            <w:vAlign w:val="bottom"/>
          </w:tcPr>
          <w:p>
            <w:pPr>
              <w:jc w:val="right"/>
              <w:ind w:right="739"/>
              <w:spacing w:after="0"/>
              <w:rPr>
                <w:sz w:val="20"/>
                <w:szCs w:val="20"/>
                <w:color w:val="auto"/>
              </w:rPr>
            </w:pPr>
            <w:r>
              <w:rPr>
                <w:rFonts w:ascii="Arial" w:cs="Arial" w:eastAsia="Arial" w:hAnsi="Arial"/>
                <w:sz w:val="28"/>
                <w:szCs w:val="28"/>
                <w:b w:val="1"/>
                <w:bCs w:val="1"/>
                <w:i w:val="1"/>
                <w:iCs w:val="1"/>
                <w:color w:val="FFFFFF"/>
              </w:rPr>
              <w:t>2009</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3"/>
        </w:trPr>
        <w:tc>
          <w:tcPr>
            <w:tcW w:w="29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Projected</w:t>
            </w:r>
          </w:p>
        </w:tc>
        <w:tc>
          <w:tcPr>
            <w:tcW w:w="1940" w:type="dxa"/>
            <w:vAlign w:val="bottom"/>
          </w:tcPr>
          <w:p>
            <w:pPr>
              <w:jc w:val="right"/>
              <w:ind w:right="599"/>
              <w:spacing w:after="0"/>
              <w:rPr>
                <w:sz w:val="20"/>
                <w:szCs w:val="20"/>
                <w:color w:val="auto"/>
              </w:rPr>
            </w:pPr>
            <w:r>
              <w:rPr>
                <w:rFonts w:ascii="Arial" w:cs="Arial" w:eastAsia="Arial" w:hAnsi="Arial"/>
                <w:sz w:val="28"/>
                <w:szCs w:val="28"/>
                <w:b w:val="1"/>
                <w:bCs w:val="1"/>
                <w:i w:val="1"/>
                <w:iCs w:val="1"/>
                <w:color w:val="FFFFFF"/>
              </w:rPr>
              <w:t>2008</w:t>
            </w:r>
          </w:p>
        </w:tc>
        <w:tc>
          <w:tcPr>
            <w:tcW w:w="1420" w:type="dxa"/>
            <w:vAlign w:val="bottom"/>
          </w:tcPr>
          <w:p>
            <w:pPr>
              <w:jc w:val="right"/>
              <w:spacing w:after="0"/>
              <w:rPr>
                <w:sz w:val="20"/>
                <w:szCs w:val="20"/>
                <w:color w:val="auto"/>
              </w:rPr>
            </w:pPr>
            <w:r>
              <w:rPr>
                <w:rFonts w:ascii="Arial" w:cs="Arial" w:eastAsia="Arial" w:hAnsi="Arial"/>
                <w:sz w:val="28"/>
                <w:szCs w:val="28"/>
                <w:b w:val="1"/>
                <w:bCs w:val="1"/>
                <w:i w:val="1"/>
                <w:iCs w:val="1"/>
                <w:color w:val="FFFFFF"/>
              </w:rPr>
              <w:t>2007</w:t>
            </w:r>
          </w:p>
        </w:tc>
      </w:tr>
      <w:tr>
        <w:trPr>
          <w:trHeight w:val="776"/>
        </w:trPr>
        <w:tc>
          <w:tcPr>
            <w:tcW w:w="2960" w:type="dxa"/>
            <w:vAlign w:val="bottom"/>
          </w:tcPr>
          <w:p>
            <w:pPr>
              <w:jc w:val="center"/>
              <w:ind w:right="439"/>
              <w:spacing w:after="0"/>
              <w:rPr>
                <w:sz w:val="20"/>
                <w:szCs w:val="20"/>
                <w:color w:val="auto"/>
              </w:rPr>
            </w:pPr>
            <w:r>
              <w:rPr>
                <w:rFonts w:ascii="Arial" w:cs="Arial" w:eastAsia="Arial" w:hAnsi="Arial"/>
                <w:sz w:val="28"/>
                <w:szCs w:val="28"/>
                <w:b w:val="1"/>
                <w:bCs w:val="1"/>
                <w:i w:val="1"/>
                <w:iCs w:val="1"/>
                <w:color w:val="FFFFFF"/>
                <w:w w:val="99"/>
              </w:rPr>
              <w:t>Inventory</w:t>
            </w:r>
          </w:p>
        </w:tc>
        <w:tc>
          <w:tcPr>
            <w:tcW w:w="2520" w:type="dxa"/>
            <w:vAlign w:val="bottom"/>
          </w:tcPr>
          <w:p>
            <w:pPr>
              <w:jc w:val="right"/>
              <w:ind w:right="679"/>
              <w:spacing w:after="0"/>
              <w:rPr>
                <w:sz w:val="20"/>
                <w:szCs w:val="20"/>
                <w:color w:val="auto"/>
              </w:rPr>
            </w:pPr>
            <w:r>
              <w:rPr>
                <w:rFonts w:ascii="Arial" w:cs="Arial" w:eastAsia="Arial" w:hAnsi="Arial"/>
                <w:sz w:val="28"/>
                <w:szCs w:val="28"/>
                <w:color w:val="FFFFFF"/>
              </w:rPr>
              <w:t>88.6</w:t>
            </w:r>
          </w:p>
        </w:tc>
        <w:tc>
          <w:tcPr>
            <w:tcW w:w="1940" w:type="dxa"/>
            <w:vAlign w:val="bottom"/>
          </w:tcPr>
          <w:p>
            <w:pPr>
              <w:jc w:val="right"/>
              <w:ind w:right="559"/>
              <w:spacing w:after="0"/>
              <w:rPr>
                <w:sz w:val="20"/>
                <w:szCs w:val="20"/>
                <w:color w:val="auto"/>
              </w:rPr>
            </w:pPr>
            <w:r>
              <w:rPr>
                <w:rFonts w:ascii="Arial" w:cs="Arial" w:eastAsia="Arial" w:hAnsi="Arial"/>
                <w:sz w:val="28"/>
                <w:szCs w:val="28"/>
                <w:color w:val="FFFFFF"/>
              </w:rPr>
              <w:t>98.6</w:t>
            </w:r>
          </w:p>
        </w:tc>
        <w:tc>
          <w:tcPr>
            <w:tcW w:w="1420" w:type="dxa"/>
            <w:vAlign w:val="bottom"/>
          </w:tcPr>
          <w:p>
            <w:pPr>
              <w:jc w:val="right"/>
              <w:spacing w:after="0"/>
              <w:rPr>
                <w:sz w:val="20"/>
                <w:szCs w:val="20"/>
                <w:color w:val="auto"/>
              </w:rPr>
            </w:pPr>
            <w:r>
              <w:rPr>
                <w:rFonts w:ascii="Arial" w:cs="Arial" w:eastAsia="Arial" w:hAnsi="Arial"/>
                <w:sz w:val="28"/>
                <w:szCs w:val="28"/>
                <w:color w:val="FFFFFF"/>
              </w:rPr>
              <w:t>117.8</w:t>
            </w:r>
          </w:p>
        </w:tc>
      </w:tr>
      <w:tr>
        <w:trPr>
          <w:trHeight w:val="379"/>
        </w:trPr>
        <w:tc>
          <w:tcPr>
            <w:tcW w:w="2960" w:type="dxa"/>
            <w:vAlign w:val="bottom"/>
          </w:tcPr>
          <w:p>
            <w:pPr>
              <w:spacing w:after="0"/>
              <w:rPr>
                <w:sz w:val="20"/>
                <w:szCs w:val="20"/>
                <w:color w:val="auto"/>
              </w:rPr>
            </w:pPr>
            <w:r>
              <w:rPr>
                <w:rFonts w:ascii="Arial" w:cs="Arial" w:eastAsia="Arial" w:hAnsi="Arial"/>
                <w:sz w:val="28"/>
                <w:szCs w:val="28"/>
                <w:b w:val="1"/>
                <w:bCs w:val="1"/>
                <w:i w:val="1"/>
                <w:iCs w:val="1"/>
                <w:color w:val="FFFFFF"/>
              </w:rPr>
              <w:t>Borrowing Under</w:t>
            </w:r>
          </w:p>
        </w:tc>
        <w:tc>
          <w:tcPr>
            <w:tcW w:w="2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9"/>
        </w:trPr>
        <w:tc>
          <w:tcPr>
            <w:tcW w:w="2960" w:type="dxa"/>
            <w:vAlign w:val="bottom"/>
          </w:tcPr>
          <w:p>
            <w:pPr>
              <w:ind w:left="660"/>
              <w:spacing w:after="0"/>
              <w:rPr>
                <w:sz w:val="20"/>
                <w:szCs w:val="20"/>
                <w:color w:val="auto"/>
              </w:rPr>
            </w:pPr>
            <w:r>
              <w:rPr>
                <w:rFonts w:ascii="Arial" w:cs="Arial" w:eastAsia="Arial" w:hAnsi="Arial"/>
                <w:sz w:val="28"/>
                <w:szCs w:val="28"/>
                <w:b w:val="1"/>
                <w:bCs w:val="1"/>
                <w:i w:val="1"/>
                <w:iCs w:val="1"/>
                <w:color w:val="FFFFFF"/>
              </w:rPr>
              <w:t>Revolver</w:t>
            </w:r>
          </w:p>
        </w:tc>
        <w:tc>
          <w:tcPr>
            <w:tcW w:w="2520" w:type="dxa"/>
            <w:vAlign w:val="bottom"/>
          </w:tcPr>
          <w:p>
            <w:pPr>
              <w:jc w:val="right"/>
              <w:ind w:right="599"/>
              <w:spacing w:after="0"/>
              <w:rPr>
                <w:sz w:val="20"/>
                <w:szCs w:val="20"/>
                <w:color w:val="auto"/>
              </w:rPr>
            </w:pPr>
            <w:r>
              <w:rPr>
                <w:rFonts w:ascii="Arial" w:cs="Arial" w:eastAsia="Arial" w:hAnsi="Arial"/>
                <w:sz w:val="28"/>
                <w:szCs w:val="28"/>
                <w:color w:val="FFFFFF"/>
              </w:rPr>
              <w:t>25-30</w:t>
            </w:r>
          </w:p>
        </w:tc>
        <w:tc>
          <w:tcPr>
            <w:tcW w:w="1940" w:type="dxa"/>
            <w:vAlign w:val="bottom"/>
          </w:tcPr>
          <w:p>
            <w:pPr>
              <w:jc w:val="right"/>
              <w:ind w:right="559"/>
              <w:spacing w:after="0"/>
              <w:rPr>
                <w:sz w:val="20"/>
                <w:szCs w:val="20"/>
                <w:color w:val="auto"/>
              </w:rPr>
            </w:pPr>
            <w:r>
              <w:rPr>
                <w:rFonts w:ascii="Arial" w:cs="Arial" w:eastAsia="Arial" w:hAnsi="Arial"/>
                <w:sz w:val="28"/>
                <w:szCs w:val="28"/>
                <w:color w:val="FFFFFF"/>
              </w:rPr>
              <w:t>38.7</w:t>
            </w:r>
          </w:p>
        </w:tc>
        <w:tc>
          <w:tcPr>
            <w:tcW w:w="1420" w:type="dxa"/>
            <w:vAlign w:val="bottom"/>
          </w:tcPr>
          <w:p>
            <w:pPr>
              <w:jc w:val="right"/>
              <w:spacing w:after="0"/>
              <w:rPr>
                <w:sz w:val="20"/>
                <w:szCs w:val="20"/>
                <w:color w:val="auto"/>
              </w:rPr>
            </w:pPr>
            <w:r>
              <w:rPr>
                <w:rFonts w:ascii="Arial" w:cs="Arial" w:eastAsia="Arial" w:hAnsi="Arial"/>
                <w:sz w:val="28"/>
                <w:szCs w:val="28"/>
                <w:color w:val="FFFFFF"/>
              </w:rPr>
              <w:t>41.0</w:t>
            </w:r>
          </w:p>
        </w:tc>
      </w:tr>
      <w:tr>
        <w:trPr>
          <w:trHeight w:val="576"/>
        </w:trPr>
        <w:tc>
          <w:tcPr>
            <w:tcW w:w="2960" w:type="dxa"/>
            <w:vAlign w:val="bottom"/>
          </w:tcPr>
          <w:p>
            <w:pPr>
              <w:jc w:val="center"/>
              <w:ind w:right="499"/>
              <w:spacing w:after="0"/>
              <w:rPr>
                <w:sz w:val="20"/>
                <w:szCs w:val="20"/>
                <w:color w:val="auto"/>
              </w:rPr>
            </w:pPr>
            <w:r>
              <w:rPr>
                <w:rFonts w:ascii="Arial" w:cs="Arial" w:eastAsia="Arial" w:hAnsi="Arial"/>
                <w:sz w:val="28"/>
                <w:szCs w:val="28"/>
                <w:b w:val="1"/>
                <w:bCs w:val="1"/>
                <w:i w:val="1"/>
                <w:iCs w:val="1"/>
                <w:color w:val="FFFFFF"/>
                <w:w w:val="99"/>
              </w:rPr>
              <w:t>Fixed Term Loan</w:t>
            </w:r>
          </w:p>
        </w:tc>
        <w:tc>
          <w:tcPr>
            <w:tcW w:w="2520" w:type="dxa"/>
            <w:vAlign w:val="bottom"/>
          </w:tcPr>
          <w:p>
            <w:pPr>
              <w:jc w:val="right"/>
              <w:ind w:right="759"/>
              <w:spacing w:after="0"/>
              <w:rPr>
                <w:sz w:val="20"/>
                <w:szCs w:val="20"/>
                <w:color w:val="auto"/>
              </w:rPr>
            </w:pPr>
            <w:r>
              <w:rPr>
                <w:rFonts w:ascii="Arial" w:cs="Arial" w:eastAsia="Arial" w:hAnsi="Arial"/>
                <w:sz w:val="28"/>
                <w:szCs w:val="28"/>
                <w:color w:val="FFFFFF"/>
              </w:rPr>
              <w:t>7.6</w:t>
            </w:r>
          </w:p>
        </w:tc>
        <w:tc>
          <w:tcPr>
            <w:tcW w:w="1940" w:type="dxa"/>
            <w:vAlign w:val="bottom"/>
          </w:tcPr>
          <w:p>
            <w:pPr>
              <w:jc w:val="right"/>
              <w:ind w:right="599"/>
              <w:spacing w:after="0"/>
              <w:rPr>
                <w:sz w:val="20"/>
                <w:szCs w:val="20"/>
                <w:color w:val="auto"/>
              </w:rPr>
            </w:pPr>
            <w:r>
              <w:rPr>
                <w:rFonts w:ascii="Arial" w:cs="Arial" w:eastAsia="Arial" w:hAnsi="Arial"/>
                <w:sz w:val="28"/>
                <w:szCs w:val="28"/>
                <w:color w:val="FFFFFF"/>
              </w:rPr>
              <w:t>12.5</w:t>
            </w:r>
          </w:p>
        </w:tc>
        <w:tc>
          <w:tcPr>
            <w:tcW w:w="1420" w:type="dxa"/>
            <w:vAlign w:val="bottom"/>
          </w:tcPr>
          <w:p>
            <w:pPr>
              <w:jc w:val="right"/>
              <w:spacing w:after="0"/>
              <w:rPr>
                <w:sz w:val="20"/>
                <w:szCs w:val="20"/>
                <w:color w:val="auto"/>
              </w:rPr>
            </w:pPr>
            <w:r>
              <w:rPr>
                <w:rFonts w:ascii="Arial" w:cs="Arial" w:eastAsia="Arial" w:hAnsi="Arial"/>
                <w:sz w:val="28"/>
                <w:szCs w:val="28"/>
                <w:color w:val="FFFFFF"/>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5</w:t>
      </w:r>
    </w:p>
    <w:p>
      <w:pPr>
        <w:sectPr>
          <w:pgSz w:w="11900" w:h="16838" w:orient="portrait"/>
          <w:cols w:equalWidth="0" w:num="1">
            <w:col w:w="10000"/>
          </w:cols>
          <w:pgMar w:left="1440" w:top="891" w:right="459" w:bottom="1440" w:gutter="0" w:footer="0" w:header="0"/>
        </w:sectPr>
      </w:pPr>
    </w:p>
    <w:bookmarkStart w:id="8" w:name="page9"/>
    <w:bookmarkEnd w:id="8"/>
    <w:p>
      <w:pPr>
        <w:ind w:left="140"/>
        <w:spacing w:after="0"/>
        <w:rPr>
          <w:sz w:val="20"/>
          <w:szCs w:val="20"/>
          <w:color w:val="auto"/>
        </w:rPr>
      </w:pPr>
      <w:r>
        <w:rPr>
          <w:rFonts w:ascii="Arial" w:cs="Arial" w:eastAsia="Arial" w:hAnsi="Arial"/>
          <w:sz w:val="50"/>
          <w:szCs w:val="50"/>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Selected Income Statement Information</w:t>
      </w:r>
    </w:p>
    <w:p>
      <w:pPr>
        <w:sectPr>
          <w:pgSz w:w="11900" w:h="16838" w:orient="portrait"/>
          <w:cols w:equalWidth="0" w:num="1">
            <w:col w:w="10280"/>
          </w:cols>
          <w:pgMar w:left="1160" w:top="89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40"/>
        <w:spacing w:after="0"/>
        <w:rPr>
          <w:sz w:val="20"/>
          <w:szCs w:val="20"/>
          <w:color w:val="auto"/>
        </w:rPr>
      </w:pPr>
      <w:r>
        <w:rPr>
          <w:rFonts w:ascii="Arial" w:cs="Arial" w:eastAsia="Arial" w:hAnsi="Arial"/>
          <w:sz w:val="28"/>
          <w:szCs w:val="28"/>
          <w:b w:val="1"/>
          <w:bCs w:val="1"/>
          <w:i w:val="1"/>
          <w:iCs w:val="1"/>
          <w:color w:val="FFFFFF"/>
        </w:rPr>
        <w:t>Sales</w:t>
      </w:r>
    </w:p>
    <w:p>
      <w:pPr>
        <w:spacing w:after="0" w:line="301" w:lineRule="exact"/>
        <w:rPr>
          <w:sz w:val="20"/>
          <w:szCs w:val="20"/>
          <w:color w:val="auto"/>
        </w:rPr>
      </w:pPr>
    </w:p>
    <w:p>
      <w:pPr>
        <w:ind w:left="1220"/>
        <w:spacing w:after="0"/>
        <w:rPr>
          <w:sz w:val="20"/>
          <w:szCs w:val="20"/>
          <w:color w:val="auto"/>
        </w:rPr>
      </w:pPr>
      <w:r>
        <w:rPr>
          <w:rFonts w:ascii="Arial" w:cs="Arial" w:eastAsia="Arial" w:hAnsi="Arial"/>
          <w:sz w:val="28"/>
          <w:szCs w:val="28"/>
          <w:b w:val="1"/>
          <w:bCs w:val="1"/>
          <w:i w:val="1"/>
          <w:iCs w:val="1"/>
          <w:color w:val="FFFFFF"/>
        </w:rPr>
        <w:t>SGA</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28"/>
          <w:szCs w:val="28"/>
          <w:b w:val="1"/>
          <w:bCs w:val="1"/>
          <w:i w:val="1"/>
          <w:iCs w:val="1"/>
          <w:color w:val="FFFFFF"/>
        </w:rPr>
        <w:t>Gross Margin</w:t>
      </w: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i w:val="1"/>
          <w:iCs w:val="1"/>
          <w:color w:val="FFFFFF"/>
        </w:rPr>
        <w:t>Capital Expenditure</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28"/>
          <w:szCs w:val="28"/>
          <w:b w:val="1"/>
          <w:bCs w:val="1"/>
          <w:i w:val="1"/>
          <w:iCs w:val="1"/>
          <w:color w:val="FFFFFF"/>
        </w:rPr>
        <w:t>Marketing Expense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28"/>
          <w:szCs w:val="28"/>
          <w:b w:val="1"/>
          <w:bCs w:val="1"/>
          <w:i w:val="1"/>
          <w:iCs w:val="1"/>
          <w:color w:val="FFFFFF"/>
        </w:rPr>
        <w:t>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9"/>
        </w:trPr>
        <w:tc>
          <w:tcPr>
            <w:tcW w:w="2060" w:type="dxa"/>
            <w:vAlign w:val="bottom"/>
          </w:tcPr>
          <w:p>
            <w:pPr>
              <w:jc w:val="right"/>
              <w:ind w:right="941"/>
              <w:spacing w:after="0"/>
              <w:rPr>
                <w:sz w:val="20"/>
                <w:szCs w:val="20"/>
                <w:color w:val="auto"/>
              </w:rPr>
            </w:pPr>
            <w:r>
              <w:rPr>
                <w:rFonts w:ascii="Arial" w:cs="Arial" w:eastAsia="Arial" w:hAnsi="Arial"/>
                <w:sz w:val="28"/>
                <w:szCs w:val="28"/>
                <w:b w:val="1"/>
                <w:bCs w:val="1"/>
                <w:i w:val="1"/>
                <w:iCs w:val="1"/>
                <w:color w:val="FFFFFF"/>
              </w:rPr>
              <w:t>2009</w:t>
            </w:r>
          </w:p>
        </w:tc>
        <w:tc>
          <w:tcPr>
            <w:tcW w:w="2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3"/>
        </w:trPr>
        <w:tc>
          <w:tcPr>
            <w:tcW w:w="2060" w:type="dxa"/>
            <w:vAlign w:val="bottom"/>
          </w:tcPr>
          <w:p>
            <w:pPr>
              <w:jc w:val="right"/>
              <w:ind w:right="661"/>
              <w:spacing w:after="0"/>
              <w:rPr>
                <w:sz w:val="20"/>
                <w:szCs w:val="20"/>
                <w:color w:val="auto"/>
              </w:rPr>
            </w:pPr>
            <w:r>
              <w:rPr>
                <w:rFonts w:ascii="Arial" w:cs="Arial" w:eastAsia="Arial" w:hAnsi="Arial"/>
                <w:sz w:val="28"/>
                <w:szCs w:val="28"/>
                <w:b w:val="1"/>
                <w:bCs w:val="1"/>
                <w:i w:val="1"/>
                <w:iCs w:val="1"/>
                <w:color w:val="FFFFFF"/>
                <w:w w:val="98"/>
              </w:rPr>
              <w:t>Projected</w:t>
            </w:r>
          </w:p>
        </w:tc>
        <w:tc>
          <w:tcPr>
            <w:tcW w:w="2180" w:type="dxa"/>
            <w:vAlign w:val="bottom"/>
          </w:tcPr>
          <w:p>
            <w:pPr>
              <w:jc w:val="right"/>
              <w:ind w:right="684"/>
              <w:spacing w:after="0"/>
              <w:rPr>
                <w:sz w:val="20"/>
                <w:szCs w:val="20"/>
                <w:color w:val="auto"/>
              </w:rPr>
            </w:pPr>
            <w:r>
              <w:rPr>
                <w:rFonts w:ascii="Arial" w:cs="Arial" w:eastAsia="Arial" w:hAnsi="Arial"/>
                <w:sz w:val="28"/>
                <w:szCs w:val="28"/>
                <w:b w:val="1"/>
                <w:bCs w:val="1"/>
                <w:i w:val="1"/>
                <w:iCs w:val="1"/>
                <w:color w:val="FFFFFF"/>
              </w:rPr>
              <w:t>2008</w:t>
            </w:r>
          </w:p>
        </w:tc>
        <w:tc>
          <w:tcPr>
            <w:tcW w:w="1420" w:type="dxa"/>
            <w:vAlign w:val="bottom"/>
          </w:tcPr>
          <w:p>
            <w:pPr>
              <w:jc w:val="right"/>
              <w:spacing w:after="0"/>
              <w:rPr>
                <w:sz w:val="20"/>
                <w:szCs w:val="20"/>
                <w:color w:val="auto"/>
              </w:rPr>
            </w:pPr>
            <w:r>
              <w:rPr>
                <w:rFonts w:ascii="Arial" w:cs="Arial" w:eastAsia="Arial" w:hAnsi="Arial"/>
                <w:sz w:val="28"/>
                <w:szCs w:val="28"/>
                <w:b w:val="1"/>
                <w:bCs w:val="1"/>
                <w:i w:val="1"/>
                <w:iCs w:val="1"/>
                <w:color w:val="FFFFFF"/>
              </w:rPr>
              <w:t>2007</w:t>
            </w:r>
          </w:p>
        </w:tc>
      </w:tr>
      <w:tr>
        <w:trPr>
          <w:trHeight w:val="617"/>
        </w:trPr>
        <w:tc>
          <w:tcPr>
            <w:tcW w:w="2060" w:type="dxa"/>
            <w:vAlign w:val="bottom"/>
          </w:tcPr>
          <w:p>
            <w:pPr>
              <w:jc w:val="right"/>
              <w:ind w:right="941"/>
              <w:spacing w:after="0"/>
              <w:rPr>
                <w:sz w:val="20"/>
                <w:szCs w:val="20"/>
                <w:color w:val="auto"/>
              </w:rPr>
            </w:pPr>
            <w:r>
              <w:rPr>
                <w:rFonts w:ascii="Arial" w:cs="Arial" w:eastAsia="Arial" w:hAnsi="Arial"/>
                <w:sz w:val="22"/>
                <w:szCs w:val="22"/>
                <w:color w:val="FFFFFF"/>
              </w:rPr>
              <w:t>400.0</w:t>
            </w:r>
          </w:p>
        </w:tc>
        <w:tc>
          <w:tcPr>
            <w:tcW w:w="2180" w:type="dxa"/>
            <w:vAlign w:val="bottom"/>
          </w:tcPr>
          <w:p>
            <w:pPr>
              <w:jc w:val="right"/>
              <w:ind w:right="684"/>
              <w:spacing w:after="0"/>
              <w:rPr>
                <w:sz w:val="20"/>
                <w:szCs w:val="20"/>
                <w:color w:val="auto"/>
              </w:rPr>
            </w:pPr>
            <w:r>
              <w:rPr>
                <w:rFonts w:ascii="Arial" w:cs="Arial" w:eastAsia="Arial" w:hAnsi="Arial"/>
                <w:sz w:val="22"/>
                <w:szCs w:val="22"/>
                <w:color w:val="FFFFFF"/>
              </w:rPr>
              <w:t>444.2</w:t>
            </w:r>
          </w:p>
        </w:tc>
        <w:tc>
          <w:tcPr>
            <w:tcW w:w="1420" w:type="dxa"/>
            <w:vAlign w:val="bottom"/>
          </w:tcPr>
          <w:p>
            <w:pPr>
              <w:jc w:val="right"/>
              <w:spacing w:after="0"/>
              <w:rPr>
                <w:sz w:val="20"/>
                <w:szCs w:val="20"/>
                <w:color w:val="auto"/>
              </w:rPr>
            </w:pPr>
            <w:r>
              <w:rPr>
                <w:rFonts w:ascii="Arial" w:cs="Arial" w:eastAsia="Arial" w:hAnsi="Arial"/>
                <w:sz w:val="22"/>
                <w:szCs w:val="22"/>
                <w:color w:val="FFFFFF"/>
              </w:rPr>
              <w:t>464.1</w:t>
            </w:r>
          </w:p>
        </w:tc>
      </w:tr>
      <w:tr>
        <w:trPr>
          <w:trHeight w:val="623"/>
        </w:trPr>
        <w:tc>
          <w:tcPr>
            <w:tcW w:w="2060" w:type="dxa"/>
            <w:vAlign w:val="bottom"/>
          </w:tcPr>
          <w:p>
            <w:pPr>
              <w:jc w:val="right"/>
              <w:ind w:right="941"/>
              <w:spacing w:after="0"/>
              <w:rPr>
                <w:sz w:val="20"/>
                <w:szCs w:val="20"/>
                <w:color w:val="auto"/>
              </w:rPr>
            </w:pPr>
            <w:r>
              <w:rPr>
                <w:rFonts w:ascii="Arial" w:cs="Arial" w:eastAsia="Arial" w:hAnsi="Arial"/>
                <w:sz w:val="22"/>
                <w:szCs w:val="22"/>
                <w:color w:val="FFFFFF"/>
              </w:rPr>
              <w:t>162.5</w:t>
            </w:r>
          </w:p>
        </w:tc>
        <w:tc>
          <w:tcPr>
            <w:tcW w:w="2180" w:type="dxa"/>
            <w:vAlign w:val="bottom"/>
          </w:tcPr>
          <w:p>
            <w:pPr>
              <w:jc w:val="right"/>
              <w:ind w:right="684"/>
              <w:spacing w:after="0"/>
              <w:rPr>
                <w:sz w:val="20"/>
                <w:szCs w:val="20"/>
                <w:color w:val="auto"/>
              </w:rPr>
            </w:pPr>
            <w:r>
              <w:rPr>
                <w:rFonts w:ascii="Arial" w:cs="Arial" w:eastAsia="Arial" w:hAnsi="Arial"/>
                <w:sz w:val="22"/>
                <w:szCs w:val="22"/>
                <w:color w:val="FFFFFF"/>
              </w:rPr>
              <w:t>178.1</w:t>
            </w:r>
          </w:p>
        </w:tc>
        <w:tc>
          <w:tcPr>
            <w:tcW w:w="1420" w:type="dxa"/>
            <w:vAlign w:val="bottom"/>
          </w:tcPr>
          <w:p>
            <w:pPr>
              <w:jc w:val="right"/>
              <w:spacing w:after="0"/>
              <w:rPr>
                <w:sz w:val="20"/>
                <w:szCs w:val="20"/>
                <w:color w:val="auto"/>
              </w:rPr>
            </w:pPr>
            <w:r>
              <w:rPr>
                <w:rFonts w:ascii="Arial" w:cs="Arial" w:eastAsia="Arial" w:hAnsi="Arial"/>
                <w:sz w:val="22"/>
                <w:szCs w:val="22"/>
                <w:color w:val="FFFFFF"/>
              </w:rPr>
              <w:t>178.1</w:t>
            </w:r>
          </w:p>
        </w:tc>
      </w:tr>
      <w:tr>
        <w:trPr>
          <w:trHeight w:val="611"/>
        </w:trPr>
        <w:tc>
          <w:tcPr>
            <w:tcW w:w="2060" w:type="dxa"/>
            <w:vAlign w:val="bottom"/>
          </w:tcPr>
          <w:p>
            <w:pPr>
              <w:jc w:val="center"/>
              <w:ind w:right="521"/>
              <w:spacing w:after="0"/>
              <w:rPr>
                <w:sz w:val="20"/>
                <w:szCs w:val="20"/>
                <w:color w:val="auto"/>
              </w:rPr>
            </w:pPr>
            <w:r>
              <w:rPr>
                <w:rFonts w:ascii="Arial" w:cs="Arial" w:eastAsia="Arial" w:hAnsi="Arial"/>
                <w:sz w:val="22"/>
                <w:szCs w:val="22"/>
                <w:color w:val="FFFFFF"/>
                <w:w w:val="99"/>
              </w:rPr>
              <w:t>45.2%</w:t>
            </w:r>
          </w:p>
        </w:tc>
        <w:tc>
          <w:tcPr>
            <w:tcW w:w="2180" w:type="dxa"/>
            <w:vAlign w:val="bottom"/>
          </w:tcPr>
          <w:p>
            <w:pPr>
              <w:jc w:val="center"/>
              <w:spacing w:after="0"/>
              <w:rPr>
                <w:sz w:val="20"/>
                <w:szCs w:val="20"/>
                <w:color w:val="auto"/>
              </w:rPr>
            </w:pPr>
            <w:r>
              <w:rPr>
                <w:rFonts w:ascii="Arial" w:cs="Arial" w:eastAsia="Arial" w:hAnsi="Arial"/>
                <w:sz w:val="22"/>
                <w:szCs w:val="22"/>
                <w:color w:val="FFFFFF"/>
              </w:rPr>
              <w:t>42.7%</w:t>
            </w:r>
          </w:p>
        </w:tc>
        <w:tc>
          <w:tcPr>
            <w:tcW w:w="1420" w:type="dxa"/>
            <w:vAlign w:val="bottom"/>
          </w:tcPr>
          <w:p>
            <w:pPr>
              <w:jc w:val="right"/>
              <w:spacing w:after="0"/>
              <w:rPr>
                <w:sz w:val="20"/>
                <w:szCs w:val="20"/>
                <w:color w:val="auto"/>
              </w:rPr>
            </w:pPr>
            <w:r>
              <w:rPr>
                <w:rFonts w:ascii="Arial" w:cs="Arial" w:eastAsia="Arial" w:hAnsi="Arial"/>
                <w:sz w:val="22"/>
                <w:szCs w:val="22"/>
                <w:color w:val="FFFFFF"/>
              </w:rPr>
              <w:t>44.4%</w:t>
            </w:r>
          </w:p>
        </w:tc>
      </w:tr>
      <w:tr>
        <w:trPr>
          <w:trHeight w:val="623"/>
        </w:trPr>
        <w:tc>
          <w:tcPr>
            <w:tcW w:w="2060" w:type="dxa"/>
            <w:vAlign w:val="bottom"/>
          </w:tcPr>
          <w:p>
            <w:pPr>
              <w:jc w:val="center"/>
              <w:ind w:right="461"/>
              <w:spacing w:after="0"/>
              <w:rPr>
                <w:sz w:val="20"/>
                <w:szCs w:val="20"/>
                <w:color w:val="auto"/>
              </w:rPr>
            </w:pPr>
            <w:r>
              <w:rPr>
                <w:rFonts w:ascii="Arial" w:cs="Arial" w:eastAsia="Arial" w:hAnsi="Arial"/>
                <w:sz w:val="22"/>
                <w:szCs w:val="22"/>
                <w:color w:val="FFFFFF"/>
              </w:rPr>
              <w:t>5.0</w:t>
            </w:r>
          </w:p>
        </w:tc>
        <w:tc>
          <w:tcPr>
            <w:tcW w:w="2180" w:type="dxa"/>
            <w:vAlign w:val="bottom"/>
          </w:tcPr>
          <w:p>
            <w:pPr>
              <w:jc w:val="center"/>
              <w:spacing w:after="0"/>
              <w:rPr>
                <w:sz w:val="20"/>
                <w:szCs w:val="20"/>
                <w:color w:val="auto"/>
              </w:rPr>
            </w:pPr>
            <w:r>
              <w:rPr>
                <w:rFonts w:ascii="Arial" w:cs="Arial" w:eastAsia="Arial" w:hAnsi="Arial"/>
                <w:sz w:val="22"/>
                <w:szCs w:val="22"/>
                <w:color w:val="FFFFFF"/>
                <w:w w:val="97"/>
              </w:rPr>
              <w:t>12.6</w:t>
            </w:r>
          </w:p>
        </w:tc>
        <w:tc>
          <w:tcPr>
            <w:tcW w:w="1420" w:type="dxa"/>
            <w:vAlign w:val="bottom"/>
          </w:tcPr>
          <w:p>
            <w:pPr>
              <w:jc w:val="center"/>
              <w:ind w:left="744"/>
              <w:spacing w:after="0"/>
              <w:rPr>
                <w:sz w:val="20"/>
                <w:szCs w:val="20"/>
                <w:color w:val="auto"/>
              </w:rPr>
            </w:pPr>
            <w:r>
              <w:rPr>
                <w:rFonts w:ascii="Arial" w:cs="Arial" w:eastAsia="Arial" w:hAnsi="Arial"/>
                <w:sz w:val="22"/>
                <w:szCs w:val="22"/>
                <w:color w:val="FFFFFF"/>
              </w:rPr>
              <w:t>21.4</w:t>
            </w:r>
          </w:p>
        </w:tc>
      </w:tr>
      <w:tr>
        <w:trPr>
          <w:trHeight w:val="611"/>
        </w:trPr>
        <w:tc>
          <w:tcPr>
            <w:tcW w:w="2060" w:type="dxa"/>
            <w:vAlign w:val="bottom"/>
          </w:tcPr>
          <w:p>
            <w:pPr>
              <w:jc w:val="center"/>
              <w:ind w:right="501"/>
              <w:spacing w:after="0"/>
              <w:rPr>
                <w:sz w:val="20"/>
                <w:szCs w:val="20"/>
                <w:color w:val="auto"/>
              </w:rPr>
            </w:pPr>
            <w:r>
              <w:rPr>
                <w:rFonts w:ascii="Arial" w:cs="Arial" w:eastAsia="Arial" w:hAnsi="Arial"/>
                <w:sz w:val="22"/>
                <w:szCs w:val="22"/>
                <w:color w:val="FFFFFF"/>
              </w:rPr>
              <w:t>26.6</w:t>
            </w:r>
          </w:p>
        </w:tc>
        <w:tc>
          <w:tcPr>
            <w:tcW w:w="2180" w:type="dxa"/>
            <w:vAlign w:val="bottom"/>
          </w:tcPr>
          <w:p>
            <w:pPr>
              <w:jc w:val="center"/>
              <w:spacing w:after="0"/>
              <w:rPr>
                <w:sz w:val="20"/>
                <w:szCs w:val="20"/>
                <w:color w:val="auto"/>
              </w:rPr>
            </w:pPr>
            <w:r>
              <w:rPr>
                <w:rFonts w:ascii="Arial" w:cs="Arial" w:eastAsia="Arial" w:hAnsi="Arial"/>
                <w:sz w:val="22"/>
                <w:szCs w:val="22"/>
                <w:color w:val="FFFFFF"/>
                <w:w w:val="97"/>
              </w:rPr>
              <w:t>34.1</w:t>
            </w:r>
          </w:p>
        </w:tc>
        <w:tc>
          <w:tcPr>
            <w:tcW w:w="1420" w:type="dxa"/>
            <w:vAlign w:val="bottom"/>
          </w:tcPr>
          <w:p>
            <w:pPr>
              <w:jc w:val="center"/>
              <w:ind w:left="744"/>
              <w:spacing w:after="0"/>
              <w:rPr>
                <w:sz w:val="20"/>
                <w:szCs w:val="20"/>
                <w:color w:val="auto"/>
              </w:rPr>
            </w:pPr>
            <w:r>
              <w:rPr>
                <w:rFonts w:ascii="Arial" w:cs="Arial" w:eastAsia="Arial" w:hAnsi="Arial"/>
                <w:sz w:val="22"/>
                <w:szCs w:val="22"/>
                <w:color w:val="FFFFFF"/>
              </w:rPr>
              <w:t>33.9</w:t>
            </w:r>
          </w:p>
        </w:tc>
      </w:tr>
      <w:tr>
        <w:trPr>
          <w:trHeight w:val="623"/>
        </w:trPr>
        <w:tc>
          <w:tcPr>
            <w:tcW w:w="2060" w:type="dxa"/>
            <w:vAlign w:val="bottom"/>
          </w:tcPr>
          <w:p>
            <w:pPr>
              <w:jc w:val="center"/>
              <w:ind w:right="461"/>
              <w:spacing w:after="0"/>
              <w:rPr>
                <w:sz w:val="20"/>
                <w:szCs w:val="20"/>
                <w:color w:val="auto"/>
              </w:rPr>
            </w:pPr>
            <w:r>
              <w:rPr>
                <w:rFonts w:ascii="Arial" w:cs="Arial" w:eastAsia="Arial" w:hAnsi="Arial"/>
                <w:sz w:val="22"/>
                <w:szCs w:val="22"/>
                <w:color w:val="FFFFFF"/>
              </w:rPr>
              <w:t>1.5</w:t>
            </w:r>
          </w:p>
        </w:tc>
        <w:tc>
          <w:tcPr>
            <w:tcW w:w="2180" w:type="dxa"/>
            <w:vAlign w:val="bottom"/>
          </w:tcPr>
          <w:p>
            <w:pPr>
              <w:jc w:val="center"/>
              <w:spacing w:after="0"/>
              <w:rPr>
                <w:sz w:val="20"/>
                <w:szCs w:val="20"/>
                <w:color w:val="auto"/>
              </w:rPr>
            </w:pPr>
            <w:r>
              <w:rPr>
                <w:rFonts w:ascii="Arial" w:cs="Arial" w:eastAsia="Arial" w:hAnsi="Arial"/>
                <w:sz w:val="22"/>
                <w:szCs w:val="22"/>
                <w:color w:val="FFFFFF"/>
              </w:rPr>
              <w:t>3.0</w:t>
            </w:r>
          </w:p>
        </w:tc>
        <w:tc>
          <w:tcPr>
            <w:tcW w:w="1420" w:type="dxa"/>
            <w:vAlign w:val="bottom"/>
          </w:tcPr>
          <w:p>
            <w:pPr>
              <w:jc w:val="center"/>
              <w:ind w:left="764"/>
              <w:spacing w:after="0"/>
              <w:rPr>
                <w:sz w:val="20"/>
                <w:szCs w:val="20"/>
                <w:color w:val="auto"/>
              </w:rPr>
            </w:pPr>
            <w:r>
              <w:rPr>
                <w:rFonts w:ascii="Arial" w:cs="Arial" w:eastAsia="Arial" w:hAnsi="Arial"/>
                <w:sz w:val="22"/>
                <w:szCs w:val="22"/>
                <w:color w:val="FFFFFF"/>
                <w:w w:val="97"/>
              </w:rPr>
              <w:t>4.3</w:t>
            </w:r>
          </w:p>
        </w:tc>
      </w:tr>
    </w:tbl>
    <w:p>
      <w:pPr>
        <w:spacing w:after="0" w:line="200" w:lineRule="exact"/>
        <w:rPr>
          <w:sz w:val="20"/>
          <w:szCs w:val="20"/>
          <w:color w:val="auto"/>
        </w:rPr>
      </w:pPr>
    </w:p>
    <w:p>
      <w:pPr>
        <w:sectPr>
          <w:pgSz w:w="11900" w:h="16838" w:orient="portrait"/>
          <w:cols w:equalWidth="0" w:num="2">
            <w:col w:w="3300" w:space="720"/>
            <w:col w:w="6260"/>
          </w:cols>
          <w:pgMar w:left="1160" w:top="89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180"/>
        <w:spacing w:after="0"/>
        <w:rPr>
          <w:sz w:val="20"/>
          <w:szCs w:val="20"/>
          <w:color w:val="auto"/>
        </w:rPr>
      </w:pPr>
      <w:r>
        <w:rPr>
          <w:rFonts w:ascii="Arial" w:cs="Arial" w:eastAsia="Arial" w:hAnsi="Arial"/>
          <w:sz w:val="17"/>
          <w:szCs w:val="17"/>
          <w:color w:val="003366"/>
        </w:rPr>
        <w:t>6</w:t>
      </w:r>
    </w:p>
    <w:p>
      <w:pPr>
        <w:sectPr>
          <w:pgSz w:w="11900" w:h="16838" w:orient="portrait"/>
          <w:cols w:equalWidth="0" w:num="1">
            <w:col w:w="10280"/>
          </w:cols>
          <w:pgMar w:left="1160" w:top="891" w:right="459" w:bottom="1440" w:gutter="0" w:footer="0" w:header="0"/>
          <w:type w:val="continuous"/>
        </w:sectPr>
      </w:pPr>
    </w:p>
    <w:bookmarkStart w:id="9" w:name="page10"/>
    <w:bookmarkEnd w:id="9"/>
    <w:p>
      <w:pPr>
        <w:ind w:left="564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Cash Flow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right="1500" w:hanging="419"/>
        <w:spacing w:after="0" w:line="260" w:lineRule="auto"/>
        <w:tabs>
          <w:tab w:leader="none" w:pos="420" w:val="left"/>
        </w:tabs>
        <w:numPr>
          <w:ilvl w:val="0"/>
          <w:numId w:val="5"/>
        </w:numPr>
        <w:rPr>
          <w:rFonts w:ascii="Arial" w:cs="Arial" w:eastAsia="Arial" w:hAnsi="Arial"/>
          <w:sz w:val="38"/>
          <w:szCs w:val="38"/>
          <w:color w:val="E75518"/>
        </w:rPr>
      </w:pPr>
      <w:r>
        <w:rPr>
          <w:rFonts w:ascii="Arial" w:cs="Arial" w:eastAsia="Arial" w:hAnsi="Arial"/>
          <w:sz w:val="38"/>
          <w:szCs w:val="38"/>
          <w:color w:val="FFFFFF"/>
        </w:rPr>
        <w:t>Generate Free Cash Flow in the amount of $15 million with total sales down 10%</w:t>
      </w:r>
    </w:p>
    <w:p>
      <w:pPr>
        <w:spacing w:after="0" w:line="200" w:lineRule="exact"/>
        <w:rPr>
          <w:rFonts w:ascii="Arial" w:cs="Arial" w:eastAsia="Arial" w:hAnsi="Arial"/>
          <w:sz w:val="38"/>
          <w:szCs w:val="38"/>
          <w:color w:val="E75518"/>
        </w:rPr>
      </w:pPr>
    </w:p>
    <w:p>
      <w:pPr>
        <w:spacing w:after="0" w:line="393" w:lineRule="exact"/>
        <w:rPr>
          <w:rFonts w:ascii="Arial" w:cs="Arial" w:eastAsia="Arial" w:hAnsi="Arial"/>
          <w:sz w:val="38"/>
          <w:szCs w:val="38"/>
          <w:color w:val="E75518"/>
        </w:rPr>
      </w:pPr>
    </w:p>
    <w:p>
      <w:pPr>
        <w:ind w:left="420" w:right="1460" w:hanging="419"/>
        <w:spacing w:after="0" w:line="253" w:lineRule="auto"/>
        <w:tabs>
          <w:tab w:leader="none" w:pos="420" w:val="left"/>
        </w:tabs>
        <w:numPr>
          <w:ilvl w:val="0"/>
          <w:numId w:val="5"/>
        </w:numPr>
        <w:rPr>
          <w:rFonts w:ascii="Arial" w:cs="Arial" w:eastAsia="Arial" w:hAnsi="Arial"/>
          <w:sz w:val="38"/>
          <w:szCs w:val="38"/>
          <w:color w:val="E75518"/>
        </w:rPr>
      </w:pPr>
      <w:r>
        <w:rPr>
          <w:rFonts w:ascii="Arial" w:cs="Arial" w:eastAsia="Arial" w:hAnsi="Arial"/>
          <w:sz w:val="38"/>
          <w:szCs w:val="38"/>
          <w:color w:val="FFFFFF"/>
        </w:rPr>
        <w:t>Cash Flow is Neutral with total sales decline in the mid to high double digits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7</w:t>
      </w:r>
    </w:p>
    <w:p>
      <w:pPr>
        <w:sectPr>
          <w:pgSz w:w="11900" w:h="16838" w:orient="portrait"/>
          <w:cols w:equalWidth="0" w:num="1">
            <w:col w:w="10960"/>
          </w:cols>
          <w:pgMar w:left="480" w:top="850" w:right="459" w:bottom="1440" w:gutter="0" w:footer="0" w:header="0"/>
        </w:sectPr>
      </w:pPr>
    </w:p>
    <w:bookmarkStart w:id="10" w:name="page11"/>
    <w:bookmarkEnd w:id="10"/>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56"/>
          <w:szCs w:val="56"/>
          <w:i w:val="1"/>
          <w:iCs w:val="1"/>
          <w:color w:val="FFFFFF"/>
        </w:rPr>
        <w:t>Our Store Concepts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8</w:t>
      </w:r>
    </w:p>
    <w:p>
      <w:pPr>
        <w:sectPr>
          <w:pgSz w:w="11900" w:h="16838" w:orient="portrait"/>
          <w:cols w:equalWidth="0" w:num="1">
            <w:col w:w="10100"/>
          </w:cols>
          <w:pgMar w:left="1440" w:top="1440" w:right="359" w:bottom="1440" w:gutter="0" w:footer="0" w:header="0"/>
        </w:sectPr>
      </w:pPr>
    </w:p>
    <w:bookmarkStart w:id="11" w:name="page12"/>
    <w:bookmarkEnd w:id="11"/>
    <w:p>
      <w:pPr>
        <w:ind w:left="560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Stores</w:t>
      </w:r>
    </w:p>
    <w:p>
      <w:pPr>
        <w:spacing w:after="0" w:line="22" w:lineRule="exact"/>
        <w:rPr>
          <w:sz w:val="20"/>
          <w:szCs w:val="20"/>
          <w:color w:val="auto"/>
        </w:rPr>
      </w:pPr>
    </w:p>
    <w:p>
      <w:pPr>
        <w:ind w:left="420" w:right="3460" w:hanging="419"/>
        <w:spacing w:after="0" w:line="236" w:lineRule="auto"/>
        <w:tabs>
          <w:tab w:leader="none" w:pos="420" w:val="left"/>
        </w:tabs>
        <w:numPr>
          <w:ilvl w:val="0"/>
          <w:numId w:val="6"/>
        </w:numPr>
        <w:rPr>
          <w:rFonts w:ascii="Arial" w:cs="Arial" w:eastAsia="Arial" w:hAnsi="Arial"/>
          <w:sz w:val="38"/>
          <w:szCs w:val="38"/>
          <w:color w:val="E75518"/>
        </w:rPr>
      </w:pPr>
      <w:r>
        <w:rPr>
          <w:rFonts w:ascii="Arial" w:cs="Arial" w:eastAsia="Arial" w:hAnsi="Arial"/>
          <w:sz w:val="38"/>
          <w:szCs w:val="38"/>
          <w:color w:val="FFFFFF"/>
        </w:rPr>
        <w:t>Casual Male XL is the nation’s largest specialty retailer of big &amp; tall clothing with 401 full price stores and 66 outlet stores in 47 states</w:t>
      </w: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ind w:left="340"/>
              <w:spacing w:after="0" w:line="203" w:lineRule="exact"/>
              <w:rPr>
                <w:sz w:val="20"/>
                <w:szCs w:val="20"/>
                <w:color w:val="auto"/>
              </w:rPr>
            </w:pPr>
            <w:r>
              <w:rPr>
                <w:rFonts w:ascii="Arial" w:cs="Arial" w:eastAsia="Arial" w:hAnsi="Arial"/>
                <w:sz w:val="19"/>
                <w:szCs w:val="19"/>
                <w:b w:val="1"/>
                <w:bCs w:val="1"/>
                <w:color w:val="FFFFFF"/>
              </w:rPr>
              <w:t>CT-10</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DE-3</w:t>
            </w:r>
          </w:p>
        </w:tc>
        <w:tc>
          <w:tcPr>
            <w:tcW w:w="0" w:type="dxa"/>
            <w:vAlign w:val="bottom"/>
          </w:tcPr>
          <w:p>
            <w:pPr>
              <w:spacing w:after="0"/>
              <w:rPr>
                <w:sz w:val="1"/>
                <w:szCs w:val="1"/>
                <w:color w:val="auto"/>
              </w:rPr>
            </w:pPr>
          </w:p>
        </w:tc>
      </w:tr>
      <w:tr>
        <w:trPr>
          <w:trHeight w:val="223"/>
        </w:trPr>
        <w:tc>
          <w:tcPr>
            <w:tcW w:w="2760" w:type="dxa"/>
            <w:vAlign w:val="bottom"/>
          </w:tcPr>
          <w:p>
            <w:pPr>
              <w:ind w:left="2480"/>
              <w:spacing w:after="0"/>
              <w:rPr>
                <w:sz w:val="20"/>
                <w:szCs w:val="20"/>
                <w:color w:val="auto"/>
              </w:rPr>
            </w:pPr>
            <w:r>
              <w:rPr>
                <w:rFonts w:ascii="Arial" w:cs="Arial" w:eastAsia="Arial" w:hAnsi="Arial"/>
                <w:sz w:val="15"/>
                <w:szCs w:val="15"/>
                <w:b w:val="1"/>
                <w:bCs w:val="1"/>
                <w:color w:val="FFFFFF"/>
              </w:rPr>
              <w:t>7</w:t>
            </w:r>
          </w:p>
        </w:tc>
        <w:tc>
          <w:tcPr>
            <w:tcW w:w="760" w:type="dxa"/>
            <w:vAlign w:val="bottom"/>
          </w:tcPr>
          <w:p>
            <w:pPr>
              <w:spacing w:after="0"/>
              <w:rPr>
                <w:sz w:val="19"/>
                <w:szCs w:val="19"/>
                <w:color w:val="auto"/>
              </w:rPr>
            </w:pPr>
          </w:p>
        </w:tc>
        <w:tc>
          <w:tcPr>
            <w:tcW w:w="5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1</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FFFFFF"/>
              </w:rPr>
              <w:t>2</w:t>
            </w: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RI-1</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0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FFFFFF"/>
              </w:rPr>
              <w:t>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w w:val="94"/>
              </w:rPr>
              <w:t>MA-13</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8</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60" w:type="dxa"/>
            <w:vAlign w:val="bottom"/>
            <w:vMerge w:val="restart"/>
          </w:tcPr>
          <w:p>
            <w:pPr>
              <w:jc w:val="right"/>
              <w:ind w:right="397"/>
              <w:spacing w:after="0"/>
              <w:rPr>
                <w:sz w:val="20"/>
                <w:szCs w:val="20"/>
                <w:color w:val="auto"/>
              </w:rPr>
            </w:pPr>
            <w:r>
              <w:rPr>
                <w:rFonts w:ascii="Arial" w:cs="Arial" w:eastAsia="Arial" w:hAnsi="Arial"/>
                <w:sz w:val="15"/>
                <w:szCs w:val="15"/>
                <w:b w:val="1"/>
                <w:bCs w:val="1"/>
                <w:color w:val="FFFFFF"/>
              </w:rPr>
              <w:t>5</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vMerge w:val="restart"/>
          </w:tcPr>
          <w:p>
            <w:pPr>
              <w:ind w:left="340"/>
              <w:spacing w:after="0" w:line="217" w:lineRule="exact"/>
              <w:rPr>
                <w:sz w:val="20"/>
                <w:szCs w:val="20"/>
                <w:color w:val="auto"/>
              </w:rPr>
            </w:pPr>
            <w:r>
              <w:rPr>
                <w:rFonts w:ascii="Arial" w:cs="Arial" w:eastAsia="Arial" w:hAnsi="Arial"/>
                <w:sz w:val="19"/>
                <w:szCs w:val="19"/>
                <w:b w:val="1"/>
                <w:bCs w:val="1"/>
                <w:color w:val="FFFFFF"/>
                <w:w w:val="94"/>
              </w:rPr>
              <w:t>MD-13</w:t>
            </w:r>
          </w:p>
        </w:tc>
        <w:tc>
          <w:tcPr>
            <w:tcW w:w="0" w:type="dxa"/>
            <w:vAlign w:val="bottom"/>
          </w:tcPr>
          <w:p>
            <w:pPr>
              <w:spacing w:after="0"/>
              <w:rPr>
                <w:sz w:val="1"/>
                <w:szCs w:val="1"/>
                <w:color w:val="auto"/>
              </w:rPr>
            </w:pPr>
          </w:p>
        </w:tc>
      </w:tr>
      <w:tr>
        <w:trPr>
          <w:trHeight w:val="101"/>
        </w:trPr>
        <w:tc>
          <w:tcPr>
            <w:tcW w:w="2760" w:type="dxa"/>
            <w:vAlign w:val="bottom"/>
            <w:vMerge w:val="continue"/>
          </w:tcPr>
          <w:p>
            <w:pPr>
              <w:spacing w:after="0"/>
              <w:rPr>
                <w:sz w:val="8"/>
                <w:szCs w:val="8"/>
                <w:color w:val="auto"/>
              </w:rPr>
            </w:pPr>
          </w:p>
        </w:tc>
        <w:tc>
          <w:tcPr>
            <w:tcW w:w="76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FFFFFF"/>
              </w:rPr>
              <w:t>1</w:t>
            </w: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FFFFFF"/>
              </w:rPr>
              <w:t>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33</w:t>
            </w:r>
          </w:p>
        </w:tc>
        <w:tc>
          <w:tcPr>
            <w:tcW w:w="70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NH-3</w:t>
            </w:r>
          </w:p>
        </w:tc>
        <w:tc>
          <w:tcPr>
            <w:tcW w:w="0" w:type="dxa"/>
            <w:vAlign w:val="bottom"/>
          </w:tcPr>
          <w:p>
            <w:pPr>
              <w:spacing w:after="0"/>
              <w:rPr>
                <w:sz w:val="1"/>
                <w:szCs w:val="1"/>
                <w:color w:val="auto"/>
              </w:rPr>
            </w:pPr>
          </w:p>
        </w:tc>
      </w:tr>
      <w:tr>
        <w:trPr>
          <w:trHeight w:val="77"/>
        </w:trPr>
        <w:tc>
          <w:tcPr>
            <w:tcW w:w="2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w w:val="95"/>
              </w:rPr>
              <w:t>20</w:t>
            </w: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80" w:type="dxa"/>
            <w:vAlign w:val="bottom"/>
            <w:vMerge w:val="restart"/>
          </w:tcPr>
          <w:p>
            <w:pPr>
              <w:jc w:val="right"/>
              <w:ind w:right="544"/>
              <w:spacing w:after="0"/>
              <w:rPr>
                <w:sz w:val="20"/>
                <w:szCs w:val="20"/>
                <w:color w:val="auto"/>
              </w:rPr>
            </w:pPr>
            <w:r>
              <w:rPr>
                <w:rFonts w:ascii="Arial" w:cs="Arial" w:eastAsia="Arial" w:hAnsi="Arial"/>
                <w:sz w:val="15"/>
                <w:szCs w:val="15"/>
                <w:b w:val="1"/>
                <w:bCs w:val="1"/>
                <w:color w:val="FFFFFF"/>
              </w:rPr>
              <w:t>25</w:t>
            </w:r>
          </w:p>
        </w:tc>
        <w:tc>
          <w:tcPr>
            <w:tcW w:w="7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NJ-20</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4</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VT-1</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480"/>
              <w:spacing w:after="0"/>
              <w:rPr>
                <w:sz w:val="20"/>
                <w:szCs w:val="20"/>
                <w:color w:val="auto"/>
              </w:rPr>
            </w:pPr>
            <w:r>
              <w:rPr>
                <w:rFonts w:ascii="Arial" w:cs="Arial" w:eastAsia="Arial" w:hAnsi="Arial"/>
                <w:sz w:val="15"/>
                <w:szCs w:val="15"/>
                <w:b w:val="1"/>
                <w:bCs w:val="1"/>
                <w:color w:val="FFFFFF"/>
              </w:rPr>
              <w:t>6</w:t>
            </w: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3</w:t>
            </w:r>
          </w:p>
        </w:tc>
        <w:tc>
          <w:tcPr>
            <w:tcW w:w="5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FFFFFF"/>
              </w:rPr>
              <w:t>23</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12</w:t>
            </w:r>
          </w:p>
        </w:tc>
        <w:tc>
          <w:tcPr>
            <w:tcW w:w="3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19</w:t>
            </w: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vMerge w:val="restart"/>
          </w:tcPr>
          <w:p>
            <w:pPr>
              <w:jc w:val="right"/>
              <w:ind w:right="824"/>
              <w:spacing w:after="0"/>
              <w:rPr>
                <w:sz w:val="20"/>
                <w:szCs w:val="20"/>
                <w:color w:val="auto"/>
              </w:rPr>
            </w:pPr>
            <w:r>
              <w:rPr>
                <w:rFonts w:ascii="Arial" w:cs="Arial" w:eastAsia="Arial" w:hAnsi="Arial"/>
                <w:sz w:val="15"/>
                <w:szCs w:val="15"/>
                <w:b w:val="1"/>
                <w:bCs w:val="1"/>
                <w:color w:val="FFFFFF"/>
              </w:rPr>
              <w:t>5</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restart"/>
          </w:tcPr>
          <w:p>
            <w:pPr>
              <w:jc w:val="right"/>
              <w:ind w:right="864"/>
              <w:spacing w:after="0"/>
              <w:rPr>
                <w:sz w:val="20"/>
                <w:szCs w:val="20"/>
                <w:color w:val="auto"/>
              </w:rPr>
            </w:pPr>
            <w:r>
              <w:rPr>
                <w:rFonts w:ascii="Arial" w:cs="Arial" w:eastAsia="Arial" w:hAnsi="Arial"/>
                <w:sz w:val="15"/>
                <w:szCs w:val="15"/>
                <w:b w:val="1"/>
                <w:bCs w:val="1"/>
                <w:color w:val="FFFFFF"/>
              </w:rPr>
              <w:t>1</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760" w:type="dxa"/>
            <w:vAlign w:val="bottom"/>
            <w:vMerge w:val="restart"/>
          </w:tcPr>
          <w:p>
            <w:pPr>
              <w:jc w:val="right"/>
              <w:ind w:right="577"/>
              <w:spacing w:after="0"/>
              <w:rPr>
                <w:sz w:val="20"/>
                <w:szCs w:val="20"/>
                <w:color w:val="auto"/>
              </w:rPr>
            </w:pPr>
            <w:r>
              <w:rPr>
                <w:rFonts w:ascii="Arial" w:cs="Arial" w:eastAsia="Arial" w:hAnsi="Arial"/>
                <w:sz w:val="15"/>
                <w:szCs w:val="15"/>
                <w:b w:val="1"/>
                <w:bCs w:val="1"/>
                <w:color w:val="FFFFFF"/>
              </w:rPr>
              <w:t>55</w:t>
            </w: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3</w:t>
            </w: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10</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5</w:t>
            </w:r>
          </w:p>
        </w:tc>
        <w:tc>
          <w:tcPr>
            <w:tcW w:w="1280" w:type="dxa"/>
            <w:vAlign w:val="bottom"/>
          </w:tcPr>
          <w:p>
            <w:pPr>
              <w:jc w:val="right"/>
              <w:ind w:right="544"/>
              <w:spacing w:after="0"/>
              <w:rPr>
                <w:sz w:val="20"/>
                <w:szCs w:val="20"/>
                <w:color w:val="auto"/>
              </w:rPr>
            </w:pPr>
            <w:r>
              <w:rPr>
                <w:rFonts w:ascii="Arial" w:cs="Arial" w:eastAsia="Arial" w:hAnsi="Arial"/>
                <w:sz w:val="15"/>
                <w:szCs w:val="15"/>
                <w:b w:val="1"/>
                <w:bCs w:val="1"/>
                <w:color w:val="FFFFFF"/>
              </w:rPr>
              <w:t>13</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10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8</w:t>
            </w:r>
          </w:p>
        </w:tc>
        <w:tc>
          <w:tcPr>
            <w:tcW w:w="360" w:type="dxa"/>
            <w:vAlign w:val="bottom"/>
          </w:tcPr>
          <w:p>
            <w:pPr>
              <w:spacing w:after="0"/>
              <w:rPr>
                <w:sz w:val="19"/>
                <w:szCs w:val="19"/>
                <w:color w:val="auto"/>
              </w:rPr>
            </w:pPr>
          </w:p>
        </w:tc>
        <w:tc>
          <w:tcPr>
            <w:tcW w:w="1280" w:type="dxa"/>
            <w:vAlign w:val="bottom"/>
          </w:tcPr>
          <w:p>
            <w:pPr>
              <w:jc w:val="right"/>
              <w:ind w:right="444"/>
              <w:spacing w:after="0"/>
              <w:rPr>
                <w:sz w:val="20"/>
                <w:szCs w:val="20"/>
                <w:color w:val="auto"/>
              </w:rPr>
            </w:pPr>
            <w:r>
              <w:rPr>
                <w:rFonts w:ascii="Arial" w:cs="Arial" w:eastAsia="Arial" w:hAnsi="Arial"/>
                <w:sz w:val="15"/>
                <w:szCs w:val="15"/>
                <w:b w:val="1"/>
                <w:bCs w:val="1"/>
                <w:color w:val="FFFFFF"/>
              </w:rPr>
              <w:t>11</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FFFFFF"/>
              </w:rPr>
              <w:t>2</w:t>
            </w: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w w:val="71"/>
              </w:rPr>
              <w:t>3</w:t>
            </w: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2</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vMerge w:val="restart"/>
          </w:tcPr>
          <w:p>
            <w:pPr>
              <w:jc w:val="right"/>
              <w:ind w:right="684"/>
              <w:spacing w:after="0"/>
              <w:rPr>
                <w:sz w:val="20"/>
                <w:szCs w:val="20"/>
                <w:color w:val="auto"/>
              </w:rPr>
            </w:pPr>
            <w:r>
              <w:rPr>
                <w:rFonts w:ascii="Arial" w:cs="Arial" w:eastAsia="Arial" w:hAnsi="Arial"/>
                <w:sz w:val="15"/>
                <w:szCs w:val="15"/>
                <w:b w:val="1"/>
                <w:bCs w:val="1"/>
                <w:color w:val="FFFFFF"/>
              </w:rPr>
              <w:t>5</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60" w:type="dxa"/>
            <w:vAlign w:val="bottom"/>
            <w:vMerge w:val="restart"/>
          </w:tcPr>
          <w:p>
            <w:pPr>
              <w:spacing w:after="0"/>
              <w:rPr>
                <w:sz w:val="20"/>
                <w:szCs w:val="20"/>
                <w:color w:val="auto"/>
              </w:rPr>
            </w:pPr>
            <w:r>
              <w:rPr>
                <w:rFonts w:ascii="Arial" w:cs="Arial" w:eastAsia="Arial" w:hAnsi="Arial"/>
                <w:sz w:val="22"/>
                <w:szCs w:val="22"/>
                <w:color w:val="FFFFFF"/>
              </w:rPr>
              <w:t>Long term potential –</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rPr>
              <w:t>2</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4</w:t>
            </w:r>
          </w:p>
        </w:tc>
        <w:tc>
          <w:tcPr>
            <w:tcW w:w="360" w:type="dxa"/>
            <w:vAlign w:val="bottom"/>
          </w:tcPr>
          <w:p>
            <w:pPr>
              <w:spacing w:after="0"/>
              <w:rPr>
                <w:sz w:val="19"/>
                <w:szCs w:val="19"/>
                <w:color w:val="auto"/>
              </w:rPr>
            </w:pPr>
          </w:p>
        </w:tc>
        <w:tc>
          <w:tcPr>
            <w:tcW w:w="1280" w:type="dxa"/>
            <w:vAlign w:val="bottom"/>
          </w:tcPr>
          <w:p>
            <w:pPr>
              <w:jc w:val="right"/>
              <w:ind w:right="1004"/>
              <w:spacing w:after="0"/>
              <w:rPr>
                <w:sz w:val="20"/>
                <w:szCs w:val="20"/>
                <w:color w:val="auto"/>
              </w:rPr>
            </w:pPr>
            <w:r>
              <w:rPr>
                <w:rFonts w:ascii="Arial" w:cs="Arial" w:eastAsia="Arial" w:hAnsi="Arial"/>
                <w:sz w:val="15"/>
                <w:szCs w:val="15"/>
                <w:b w:val="1"/>
                <w:bCs w:val="1"/>
                <w:color w:val="FFFFFF"/>
              </w:rPr>
              <w:t>10</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FFFFFF"/>
                <w:w w:val="71"/>
              </w:rPr>
              <w:t>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320" w:type="dxa"/>
            <w:vAlign w:val="bottom"/>
          </w:tcPr>
          <w:p>
            <w:pPr>
              <w:spacing w:after="0"/>
              <w:rPr>
                <w:sz w:val="20"/>
                <w:szCs w:val="20"/>
                <w:color w:val="auto"/>
              </w:rPr>
            </w:pPr>
            <w:r>
              <w:rPr>
                <w:rFonts w:ascii="Arial" w:cs="Arial" w:eastAsia="Arial" w:hAnsi="Arial"/>
                <w:sz w:val="22"/>
                <w:szCs w:val="22"/>
                <w:color w:val="FFFFFF"/>
              </w:rPr>
              <w:t>additional 100-130 more stores</w:t>
            </w:r>
          </w:p>
        </w:tc>
        <w:tc>
          <w:tcPr>
            <w:tcW w:w="270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29</w:t>
            </w:r>
          </w:p>
        </w:tc>
        <w:tc>
          <w:tcPr>
            <w:tcW w:w="0" w:type="dxa"/>
            <w:vAlign w:val="bottom"/>
          </w:tcPr>
          <w:p>
            <w:pPr>
              <w:spacing w:after="0"/>
              <w:rPr>
                <w:sz w:val="1"/>
                <w:szCs w:val="1"/>
                <w:color w:val="auto"/>
              </w:rPr>
            </w:pPr>
          </w:p>
        </w:tc>
      </w:tr>
      <w:tr>
        <w:trPr>
          <w:trHeight w:val="52"/>
        </w:trPr>
        <w:tc>
          <w:tcPr>
            <w:tcW w:w="532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9</w:t>
      </w:r>
    </w:p>
    <w:p>
      <w:pPr>
        <w:sectPr>
          <w:pgSz w:w="11900" w:h="16838" w:orient="portrait"/>
          <w:cols w:equalWidth="0" w:num="1">
            <w:col w:w="10960"/>
          </w:cols>
          <w:pgMar w:left="480" w:top="850" w:right="4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37" w:right="220" w:hanging="337"/>
        <w:spacing w:after="0" w:line="267" w:lineRule="auto"/>
        <w:tabs>
          <w:tab w:leader="none" w:pos="337" w:val="left"/>
        </w:tabs>
        <w:numPr>
          <w:ilvl w:val="0"/>
          <w:numId w:val="7"/>
        </w:numPr>
        <w:rPr>
          <w:rFonts w:ascii="Arial" w:cs="Arial" w:eastAsia="Arial" w:hAnsi="Arial"/>
          <w:sz w:val="28"/>
          <w:szCs w:val="28"/>
          <w:color w:val="E75518"/>
        </w:rPr>
      </w:pPr>
      <w:r>
        <w:rPr>
          <w:rFonts w:ascii="Arial" w:cs="Arial" w:eastAsia="Arial" w:hAnsi="Arial"/>
          <w:sz w:val="28"/>
          <w:szCs w:val="28"/>
          <w:color w:val="FFFFFF"/>
        </w:rPr>
        <w:t>Targets the higher income consumer within the big and tall market</w:t>
      </w:r>
    </w:p>
    <w:p>
      <w:pPr>
        <w:spacing w:after="0" w:line="24"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$100,000 per year average salary</w:t>
      </w:r>
    </w:p>
    <w:p>
      <w:pPr>
        <w:spacing w:after="0" w:line="89" w:lineRule="exact"/>
        <w:rPr>
          <w:rFonts w:ascii="Arial" w:cs="Arial" w:eastAsia="Arial" w:hAnsi="Arial"/>
          <w:sz w:val="28"/>
          <w:szCs w:val="28"/>
          <w:color w:val="E75518"/>
        </w:rPr>
      </w:pPr>
    </w:p>
    <w:p>
      <w:pPr>
        <w:ind w:left="337" w:right="920" w:hanging="337"/>
        <w:spacing w:after="0" w:line="260" w:lineRule="auto"/>
        <w:tabs>
          <w:tab w:leader="none" w:pos="337" w:val="left"/>
        </w:tabs>
        <w:numPr>
          <w:ilvl w:val="0"/>
          <w:numId w:val="7"/>
        </w:numPr>
        <w:rPr>
          <w:rFonts w:ascii="Arial" w:cs="Arial" w:eastAsia="Arial" w:hAnsi="Arial"/>
          <w:sz w:val="28"/>
          <w:szCs w:val="28"/>
          <w:color w:val="E75518"/>
        </w:rPr>
      </w:pPr>
      <w:r>
        <w:rPr>
          <w:rFonts w:ascii="Arial" w:cs="Arial" w:eastAsia="Arial" w:hAnsi="Arial"/>
          <w:sz w:val="28"/>
          <w:szCs w:val="28"/>
          <w:color w:val="FFFFFF"/>
        </w:rPr>
        <w:t>21 store locations in downtown major metropolitan areas and upscale suburbs</w:t>
      </w:r>
    </w:p>
    <w:p>
      <w:pPr>
        <w:spacing w:after="0" w:line="35" w:lineRule="exact"/>
        <w:rPr>
          <w:rFonts w:ascii="Arial" w:cs="Arial" w:eastAsia="Arial" w:hAnsi="Arial"/>
          <w:sz w:val="28"/>
          <w:szCs w:val="28"/>
          <w:color w:val="E75518"/>
        </w:rPr>
      </w:pPr>
    </w:p>
    <w:p>
      <w:pPr>
        <w:ind w:left="337" w:hanging="337"/>
        <w:spacing w:after="0"/>
        <w:tabs>
          <w:tab w:leader="none" w:pos="337" w:val="left"/>
        </w:tabs>
        <w:numPr>
          <w:ilvl w:val="0"/>
          <w:numId w:val="7"/>
        </w:numPr>
        <w:rPr>
          <w:rFonts w:ascii="Arial" w:cs="Arial" w:eastAsia="Arial" w:hAnsi="Arial"/>
          <w:sz w:val="28"/>
          <w:szCs w:val="28"/>
          <w:color w:val="E75518"/>
        </w:rPr>
      </w:pPr>
      <w:r>
        <w:rPr>
          <w:rFonts w:ascii="Arial" w:cs="Arial" w:eastAsia="Arial" w:hAnsi="Arial"/>
          <w:sz w:val="28"/>
          <w:szCs w:val="28"/>
          <w:color w:val="FFFFFF"/>
        </w:rPr>
        <w:t>Average store size: 8,192 square ft</w:t>
      </w:r>
    </w:p>
    <w:p>
      <w:pPr>
        <w:spacing w:after="0" w:line="89" w:lineRule="exact"/>
        <w:rPr>
          <w:rFonts w:ascii="Arial" w:cs="Arial" w:eastAsia="Arial" w:hAnsi="Arial"/>
          <w:sz w:val="28"/>
          <w:szCs w:val="28"/>
          <w:color w:val="E75518"/>
        </w:rPr>
      </w:pPr>
    </w:p>
    <w:p>
      <w:pPr>
        <w:ind w:left="337" w:hanging="337"/>
        <w:spacing w:after="0"/>
        <w:tabs>
          <w:tab w:leader="none" w:pos="337" w:val="left"/>
        </w:tabs>
        <w:numPr>
          <w:ilvl w:val="0"/>
          <w:numId w:val="7"/>
        </w:numPr>
        <w:rPr>
          <w:rFonts w:ascii="Arial" w:cs="Arial" w:eastAsia="Arial" w:hAnsi="Arial"/>
          <w:sz w:val="28"/>
          <w:szCs w:val="28"/>
          <w:color w:val="E75518"/>
        </w:rPr>
      </w:pPr>
      <w:r>
        <w:rPr>
          <w:rFonts w:ascii="Arial" w:cs="Arial" w:eastAsia="Arial" w:hAnsi="Arial"/>
          <w:sz w:val="28"/>
          <w:szCs w:val="28"/>
          <w:color w:val="FFFFFF"/>
        </w:rPr>
        <w:t>Average sales / square foot: $256</w:t>
      </w:r>
    </w:p>
    <w:p>
      <w:pPr>
        <w:spacing w:after="0" w:line="89" w:lineRule="exact"/>
        <w:rPr>
          <w:rFonts w:ascii="Arial" w:cs="Arial" w:eastAsia="Arial" w:hAnsi="Arial"/>
          <w:sz w:val="28"/>
          <w:szCs w:val="28"/>
          <w:color w:val="E75518"/>
        </w:rPr>
      </w:pPr>
    </w:p>
    <w:p>
      <w:pPr>
        <w:ind w:left="677" w:right="340" w:hanging="341"/>
        <w:spacing w:after="0" w:line="258" w:lineRule="auto"/>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Stores carry higher-end designer</w:t>
      </w:r>
      <w:r>
        <w:rPr>
          <w:rFonts w:ascii="Arial" w:cs="Arial" w:eastAsia="Arial" w:hAnsi="Arial"/>
          <w:sz w:val="28"/>
          <w:szCs w:val="28"/>
          <w:color w:val="E75518"/>
        </w:rPr>
        <w:t xml:space="preserve"> </w:t>
      </w:r>
      <w:r>
        <w:rPr>
          <w:rFonts w:ascii="Arial" w:cs="Arial" w:eastAsia="Arial" w:hAnsi="Arial"/>
          <w:sz w:val="28"/>
          <w:szCs w:val="28"/>
          <w:color w:val="FFFFFF"/>
        </w:rPr>
        <w:t>product</w:t>
      </w:r>
    </w:p>
    <w:p>
      <w:pPr>
        <w:spacing w:after="0" w:line="48"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Average transaction size: $300</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56"/>
          <w:szCs w:val="56"/>
          <w:color w:val="FFFFFF"/>
        </w:rPr>
        <w:t>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327"/>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ind w:left="1140"/>
              <w:spacing w:after="0"/>
              <w:rPr>
                <w:sz w:val="20"/>
                <w:szCs w:val="20"/>
                <w:color w:val="auto"/>
              </w:rPr>
            </w:pPr>
            <w:r>
              <w:rPr>
                <w:rFonts w:ascii="Arial" w:cs="Arial" w:eastAsia="Arial" w:hAnsi="Arial"/>
                <w:sz w:val="25"/>
                <w:szCs w:val="25"/>
                <w:b w:val="1"/>
                <w:bCs w:val="1"/>
                <w:color w:val="FF6600"/>
                <w:w w:val="96"/>
              </w:rPr>
              <w:t>Locations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1320" w:type="dxa"/>
            <w:vAlign w:val="bottom"/>
          </w:tcPr>
          <w:p>
            <w:pPr>
              <w:jc w:val="right"/>
              <w:ind w:right="1064"/>
              <w:spacing w:after="0"/>
              <w:rPr>
                <w:sz w:val="20"/>
                <w:szCs w:val="20"/>
                <w:color w:val="auto"/>
              </w:rPr>
            </w:pPr>
            <w:r>
              <w:rPr>
                <w:rFonts w:ascii="Arial" w:cs="Arial" w:eastAsia="Arial" w:hAnsi="Arial"/>
                <w:sz w:val="15"/>
                <w:szCs w:val="15"/>
                <w:color w:val="auto"/>
              </w:rPr>
              <w:t>1</w:t>
            </w: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tcPr>
          <w:p>
            <w:pPr>
              <w:jc w:val="right"/>
              <w:ind w:right="52"/>
              <w:spacing w:after="0"/>
              <w:rPr>
                <w:sz w:val="20"/>
                <w:szCs w:val="20"/>
                <w:color w:val="auto"/>
              </w:rPr>
            </w:pPr>
            <w:r>
              <w:rPr>
                <w:rFonts w:ascii="Arial" w:cs="Arial" w:eastAsia="Arial" w:hAnsi="Arial"/>
                <w:sz w:val="13"/>
                <w:szCs w:val="13"/>
                <w:color w:val="auto"/>
              </w:rPr>
              <w:t>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320" w:type="dxa"/>
            <w:vAlign w:val="bottom"/>
          </w:tcPr>
          <w:p>
            <w:pPr>
              <w:jc w:val="right"/>
              <w:ind w:right="1084"/>
              <w:spacing w:after="0"/>
              <w:rPr>
                <w:sz w:val="20"/>
                <w:szCs w:val="20"/>
                <w:color w:val="auto"/>
              </w:rPr>
            </w:pPr>
            <w:r>
              <w:rPr>
                <w:rFonts w:ascii="Arial" w:cs="Arial" w:eastAsia="Arial" w:hAnsi="Arial"/>
                <w:sz w:val="15"/>
                <w:szCs w:val="15"/>
                <w:color w:val="auto"/>
              </w:rPr>
              <w:t>1</w:t>
            </w:r>
          </w:p>
        </w:tc>
        <w:tc>
          <w:tcPr>
            <w:tcW w:w="2300" w:type="dxa"/>
            <w:vAlign w:val="bottom"/>
            <w:vMerge w:val="restart"/>
          </w:tcPr>
          <w:p>
            <w:pPr>
              <w:ind w:left="1140"/>
              <w:spacing w:after="0"/>
              <w:rPr>
                <w:sz w:val="20"/>
                <w:szCs w:val="20"/>
                <w:color w:val="auto"/>
              </w:rPr>
            </w:pPr>
            <w:r>
              <w:rPr>
                <w:rFonts w:ascii="Arial" w:cs="Arial" w:eastAsia="Arial" w:hAnsi="Arial"/>
                <w:sz w:val="15"/>
                <w:szCs w:val="15"/>
                <w:color w:val="auto"/>
              </w:rPr>
              <w:t>1</w:t>
            </w:r>
          </w:p>
        </w:tc>
        <w:tc>
          <w:tcPr>
            <w:tcW w:w="840" w:type="dxa"/>
            <w:vAlign w:val="bottom"/>
            <w:vMerge w:val="restart"/>
          </w:tcPr>
          <w:p>
            <w:pPr>
              <w:jc w:val="right"/>
              <w:spacing w:after="0"/>
              <w:rPr>
                <w:sz w:val="20"/>
                <w:szCs w:val="20"/>
                <w:color w:val="auto"/>
              </w:rPr>
            </w:pPr>
            <w:r>
              <w:rPr>
                <w:rFonts w:ascii="Arial" w:cs="Arial" w:eastAsia="Arial" w:hAnsi="Arial"/>
                <w:sz w:val="22"/>
                <w:szCs w:val="22"/>
                <w:color w:val="FFFFFF"/>
              </w:rPr>
              <w:t>Ma-1</w:t>
            </w:r>
          </w:p>
        </w:tc>
        <w:tc>
          <w:tcPr>
            <w:tcW w:w="0" w:type="dxa"/>
            <w:vAlign w:val="bottom"/>
          </w:tcPr>
          <w:p>
            <w:pPr>
              <w:spacing w:after="0"/>
              <w:rPr>
                <w:sz w:val="1"/>
                <w:szCs w:val="1"/>
                <w:color w:val="auto"/>
              </w:rPr>
            </w:pPr>
          </w:p>
        </w:tc>
      </w:tr>
      <w:tr>
        <w:trPr>
          <w:trHeight w:val="71"/>
        </w:trPr>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5</w:t>
            </w:r>
          </w:p>
        </w:tc>
        <w:tc>
          <w:tcPr>
            <w:tcW w:w="132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0"/>
        <w:spacing w:after="0"/>
        <w:rPr>
          <w:sz w:val="20"/>
          <w:szCs w:val="20"/>
          <w:color w:val="auto"/>
        </w:rPr>
      </w:pPr>
      <w:r>
        <w:rPr>
          <w:rFonts w:ascii="Arial" w:cs="Arial" w:eastAsia="Arial" w:hAnsi="Arial"/>
          <w:sz w:val="21"/>
          <w:szCs w:val="21"/>
          <w:color w:val="FFFFFF"/>
        </w:rPr>
        <w:t>CT-1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FFFFFF"/>
              </w:rPr>
              <w:t>DC-1</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20" w:type="dxa"/>
            <w:vAlign w:val="bottom"/>
            <w:vMerge w:val="restart"/>
          </w:tcPr>
          <w:p>
            <w:pPr>
              <w:jc w:val="right"/>
              <w:ind w:right="644"/>
              <w:spacing w:after="0"/>
              <w:rPr>
                <w:sz w:val="20"/>
                <w:szCs w:val="20"/>
                <w:color w:val="auto"/>
              </w:rPr>
            </w:pPr>
            <w:r>
              <w:rPr>
                <w:rFonts w:ascii="Arial" w:cs="Arial" w:eastAsia="Arial" w:hAnsi="Arial"/>
                <w:sz w:val="15"/>
                <w:szCs w:val="15"/>
                <w:color w:val="auto"/>
              </w:rPr>
              <w:t>2</w:t>
            </w:r>
          </w:p>
        </w:tc>
        <w:tc>
          <w:tcPr>
            <w:tcW w:w="8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vMerge w:val="restart"/>
          </w:tcPr>
          <w:p>
            <w:pPr>
              <w:spacing w:after="0"/>
              <w:rPr>
                <w:sz w:val="20"/>
                <w:szCs w:val="20"/>
                <w:color w:val="auto"/>
              </w:rPr>
            </w:pPr>
            <w:r>
              <w:rPr>
                <w:rFonts w:ascii="Arial" w:cs="Arial" w:eastAsia="Arial" w:hAnsi="Arial"/>
                <w:sz w:val="13"/>
                <w:szCs w:val="13"/>
                <w:color w:val="FFFFFF"/>
              </w:rPr>
              <w:t>Rochester</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94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9"/>
        </w:trPr>
        <w:tc>
          <w:tcPr>
            <w:tcW w:w="18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3"/>
                <w:szCs w:val="13"/>
                <w:color w:val="FFFFFF"/>
              </w:rPr>
              <w:t>* 1 London, United Kingdom</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20"/>
        <w:spacing w:after="0"/>
        <w:rPr>
          <w:sz w:val="20"/>
          <w:szCs w:val="20"/>
          <w:color w:val="auto"/>
        </w:rPr>
      </w:pPr>
      <w:r>
        <w:rPr>
          <w:rFonts w:ascii="Arial" w:cs="Arial" w:eastAsia="Arial" w:hAnsi="Arial"/>
          <w:sz w:val="19"/>
          <w:szCs w:val="19"/>
          <w:color w:val="003366"/>
        </w:rPr>
        <w:t>10</w:t>
      </w:r>
    </w:p>
    <w:p>
      <w:pPr>
        <w:sectPr>
          <w:pgSz w:w="11900" w:h="16838" w:orient="portrait"/>
          <w:cols w:equalWidth="0" w:num="2">
            <w:col w:w="5117" w:space="720"/>
            <w:col w:w="4880"/>
          </w:cols>
          <w:pgMar w:left="763" w:top="850" w:right="4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80"/>
        <w:spacing w:after="0"/>
        <w:rPr>
          <w:sz w:val="20"/>
          <w:szCs w:val="20"/>
          <w:color w:val="auto"/>
        </w:rPr>
      </w:pPr>
      <w:r>
        <w:rPr>
          <w:rFonts w:ascii="Arial" w:cs="Arial" w:eastAsia="Arial" w:hAnsi="Arial"/>
          <w:sz w:val="75"/>
          <w:szCs w:val="75"/>
          <w:b w:val="1"/>
          <w:bCs w:val="1"/>
          <w:i w:val="1"/>
          <w:iCs w:val="1"/>
          <w:color w:val="FFFFFF"/>
        </w:rPr>
        <w:t>Hybrid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11</w:t>
      </w:r>
    </w:p>
    <w:p>
      <w:pPr>
        <w:sectPr>
          <w:pgSz w:w="11900" w:h="16838" w:orient="portrait"/>
          <w:cols w:equalWidth="0" w:num="1">
            <w:col w:w="10060"/>
          </w:cols>
          <w:pgMar w:left="1440" w:top="1440" w:right="399" w:bottom="1440" w:gutter="0" w:footer="0" w:header="0"/>
        </w:sectPr>
      </w:pPr>
    </w:p>
    <w:bookmarkStart w:id="14" w:name="page15"/>
    <w:bookmarkEnd w:id="14"/>
    <w:p>
      <w:pPr>
        <w:ind w:left="83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320"/>
        <w:spacing w:after="0" w:line="226" w:lineRule="auto"/>
        <w:rPr>
          <w:sz w:val="20"/>
          <w:szCs w:val="20"/>
          <w:color w:val="auto"/>
        </w:rPr>
      </w:pPr>
      <w:r>
        <w:rPr>
          <w:rFonts w:ascii="Arial" w:cs="Arial" w:eastAsia="Arial" w:hAnsi="Arial"/>
          <w:sz w:val="38"/>
          <w:szCs w:val="38"/>
          <w:color w:val="FFFFFF"/>
        </w:rPr>
        <w:t>The Hybrid store, as conceived, is a 6,000 square ft. combination Casual Male, Rochester store featuring the lifestyle sportswear apparel wardrobe needs offered by Casual Male, but with an added lifestyle of higher end fashion apparel offered by Rochester and an enhanced Clothing section featuring the quality and fashion of Rochester Clothing and the price points of Casual Male clothing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12</w:t>
      </w:r>
    </w:p>
    <w:p>
      <w:pPr>
        <w:sectPr>
          <w:pgSz w:w="11900" w:h="16838" w:orient="portrait"/>
          <w:cols w:equalWidth="0" w:num="1">
            <w:col w:w="10600"/>
          </w:cols>
          <w:pgMar w:left="900" w:top="891" w:right="399" w:bottom="1440" w:gutter="0" w:footer="0" w:header="0"/>
        </w:sectPr>
      </w:pPr>
    </w:p>
    <w:bookmarkStart w:id="15" w:name="page16"/>
    <w:bookmarkEnd w:id="15"/>
    <w:p>
      <w:pPr>
        <w:ind w:left="88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Hybrids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right="2400" w:hanging="419"/>
        <w:spacing w:after="0" w:line="227" w:lineRule="auto"/>
        <w:tabs>
          <w:tab w:leader="none" w:pos="420" w:val="left"/>
        </w:tabs>
        <w:numPr>
          <w:ilvl w:val="0"/>
          <w:numId w:val="8"/>
        </w:numPr>
        <w:rPr>
          <w:rFonts w:ascii="Arial" w:cs="Arial" w:eastAsia="Arial" w:hAnsi="Arial"/>
          <w:sz w:val="28"/>
          <w:szCs w:val="28"/>
          <w:color w:val="E75518"/>
        </w:rPr>
      </w:pPr>
      <w:r>
        <w:rPr>
          <w:rFonts w:ascii="Arial" w:cs="Arial" w:eastAsia="Arial" w:hAnsi="Arial"/>
          <w:sz w:val="28"/>
          <w:szCs w:val="28"/>
          <w:color w:val="FFFFFF"/>
        </w:rPr>
        <w:t>Eliminated duplicative accessories/furnishings between combined Rochester and Casual Male.</w:t>
      </w:r>
    </w:p>
    <w:p>
      <w:pPr>
        <w:spacing w:after="0" w:line="343" w:lineRule="exact"/>
        <w:rPr>
          <w:rFonts w:ascii="Arial" w:cs="Arial" w:eastAsia="Arial" w:hAnsi="Arial"/>
          <w:sz w:val="28"/>
          <w:szCs w:val="28"/>
          <w:color w:val="E75518"/>
        </w:rPr>
      </w:pPr>
    </w:p>
    <w:p>
      <w:pPr>
        <w:ind w:left="420" w:right="2720" w:hanging="419"/>
        <w:spacing w:after="0" w:line="227" w:lineRule="auto"/>
        <w:tabs>
          <w:tab w:leader="none" w:pos="420" w:val="left"/>
        </w:tabs>
        <w:numPr>
          <w:ilvl w:val="0"/>
          <w:numId w:val="8"/>
        </w:numPr>
        <w:rPr>
          <w:rFonts w:ascii="Arial" w:cs="Arial" w:eastAsia="Arial" w:hAnsi="Arial"/>
          <w:sz w:val="28"/>
          <w:szCs w:val="28"/>
          <w:color w:val="E75518"/>
        </w:rPr>
      </w:pPr>
      <w:r>
        <w:rPr>
          <w:rFonts w:ascii="Arial" w:cs="Arial" w:eastAsia="Arial" w:hAnsi="Arial"/>
          <w:sz w:val="28"/>
          <w:szCs w:val="28"/>
          <w:color w:val="FFFFFF"/>
        </w:rPr>
        <w:t>Good, better, best tiered offering with most of best coming from Rochester’s good and better assortment.</w:t>
      </w:r>
    </w:p>
    <w:p>
      <w:pPr>
        <w:spacing w:after="0" w:line="331" w:lineRule="exact"/>
        <w:rPr>
          <w:rFonts w:ascii="Arial" w:cs="Arial" w:eastAsia="Arial" w:hAnsi="Arial"/>
          <w:sz w:val="28"/>
          <w:szCs w:val="28"/>
          <w:color w:val="E75518"/>
        </w:rPr>
      </w:pPr>
    </w:p>
    <w:p>
      <w:pPr>
        <w:ind w:left="420" w:right="1800" w:hanging="419"/>
        <w:spacing w:after="0" w:line="218" w:lineRule="auto"/>
        <w:tabs>
          <w:tab w:leader="none" w:pos="420" w:val="left"/>
        </w:tabs>
        <w:numPr>
          <w:ilvl w:val="0"/>
          <w:numId w:val="8"/>
        </w:numPr>
        <w:rPr>
          <w:rFonts w:ascii="Arial" w:cs="Arial" w:eastAsia="Arial" w:hAnsi="Arial"/>
          <w:sz w:val="28"/>
          <w:szCs w:val="28"/>
          <w:color w:val="E75518"/>
        </w:rPr>
      </w:pPr>
      <w:r>
        <w:rPr>
          <w:rFonts w:ascii="Arial" w:cs="Arial" w:eastAsia="Arial" w:hAnsi="Arial"/>
          <w:sz w:val="28"/>
          <w:szCs w:val="28"/>
          <w:color w:val="FFFFFF"/>
        </w:rPr>
        <w:t>Edited assortment for brands carried in both companies i.e. Polo, CK Jeans. Assortment will be merged presenting a broader range of price points and looks without duplication</w:t>
      </w:r>
    </w:p>
    <w:p>
      <w:pPr>
        <w:spacing w:after="0" w:line="345" w:lineRule="exact"/>
        <w:rPr>
          <w:rFonts w:ascii="Arial" w:cs="Arial" w:eastAsia="Arial" w:hAnsi="Arial"/>
          <w:sz w:val="28"/>
          <w:szCs w:val="28"/>
          <w:color w:val="E75518"/>
        </w:rPr>
      </w:pPr>
    </w:p>
    <w:p>
      <w:pPr>
        <w:ind w:left="420" w:hanging="419"/>
        <w:spacing w:after="0"/>
        <w:tabs>
          <w:tab w:leader="none" w:pos="420" w:val="left"/>
        </w:tabs>
        <w:numPr>
          <w:ilvl w:val="0"/>
          <w:numId w:val="8"/>
        </w:numPr>
        <w:rPr>
          <w:rFonts w:ascii="Arial" w:cs="Arial" w:eastAsia="Arial" w:hAnsi="Arial"/>
          <w:sz w:val="28"/>
          <w:szCs w:val="28"/>
          <w:color w:val="E75518"/>
        </w:rPr>
      </w:pPr>
      <w:r>
        <w:rPr>
          <w:rFonts w:ascii="Arial" w:cs="Arial" w:eastAsia="Arial" w:hAnsi="Arial"/>
          <w:sz w:val="28"/>
          <w:szCs w:val="28"/>
          <w:color w:val="FFFFFF"/>
        </w:rPr>
        <w:t>Store will be merchandised separately by brand except:</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Denim will be presented as a combined shop</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Sportswear will be presented by Brand</w:t>
      </w:r>
    </w:p>
    <w:p>
      <w:pPr>
        <w:spacing w:after="0" w:line="7"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Clothing/Furnishings will be merchandised as a combined shop</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Shoes will be set up as a service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13</w:t>
      </w:r>
    </w:p>
    <w:p>
      <w:pPr>
        <w:sectPr>
          <w:pgSz w:w="11900" w:h="16838" w:orient="portrait"/>
          <w:cols w:equalWidth="0" w:num="1">
            <w:col w:w="11020"/>
          </w:cols>
          <w:pgMar w:left="480" w:top="850" w:right="39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FFFFFF"/>
        </w:rPr>
        <w:t>Square Footage</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25"/>
          <w:szCs w:val="25"/>
          <w:b w:val="1"/>
          <w:bCs w:val="1"/>
          <w:i w:val="1"/>
          <w:iCs w:val="1"/>
          <w:color w:val="FFFFFF"/>
        </w:rPr>
        <w:t>Pricing</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25"/>
          <w:szCs w:val="25"/>
          <w:b w:val="1"/>
          <w:bCs w:val="1"/>
          <w:i w:val="1"/>
          <w:iCs w:val="1"/>
          <w:color w:val="FFFFFF"/>
        </w:rPr>
        <w:t>Average Unit</w:t>
      </w:r>
    </w:p>
    <w:p>
      <w:pPr>
        <w:spacing w:after="0" w:line="36" w:lineRule="exact"/>
        <w:rPr>
          <w:sz w:val="20"/>
          <w:szCs w:val="20"/>
          <w:color w:val="auto"/>
        </w:rPr>
      </w:pPr>
    </w:p>
    <w:p>
      <w:pPr>
        <w:jc w:val="center"/>
        <w:ind w:left="60"/>
        <w:spacing w:after="0"/>
        <w:rPr>
          <w:sz w:val="20"/>
          <w:szCs w:val="20"/>
          <w:color w:val="auto"/>
        </w:rPr>
      </w:pPr>
      <w:r>
        <w:rPr>
          <w:rFonts w:ascii="Arial" w:cs="Arial" w:eastAsia="Arial" w:hAnsi="Arial"/>
          <w:sz w:val="25"/>
          <w:szCs w:val="25"/>
          <w:b w:val="1"/>
          <w:bCs w:val="1"/>
          <w:i w:val="1"/>
          <w:iCs w:val="1"/>
          <w:color w:val="FFFFFF"/>
        </w:rPr>
        <w:t>Retail</w:t>
      </w:r>
    </w:p>
    <w:p>
      <w:pPr>
        <w:spacing w:after="0" w:line="223" w:lineRule="exact"/>
        <w:rPr>
          <w:sz w:val="20"/>
          <w:szCs w:val="20"/>
          <w:color w:val="auto"/>
        </w:rPr>
      </w:pPr>
    </w:p>
    <w:p>
      <w:pPr>
        <w:jc w:val="center"/>
        <w:ind w:left="40"/>
        <w:spacing w:after="0"/>
        <w:rPr>
          <w:sz w:val="20"/>
          <w:szCs w:val="20"/>
          <w:color w:val="auto"/>
        </w:rPr>
      </w:pPr>
      <w:r>
        <w:rPr>
          <w:rFonts w:ascii="Arial" w:cs="Arial" w:eastAsia="Arial" w:hAnsi="Arial"/>
          <w:sz w:val="25"/>
          <w:szCs w:val="25"/>
          <w:b w:val="1"/>
          <w:bCs w:val="1"/>
          <w:i w:val="1"/>
          <w:iCs w:val="1"/>
          <w:color w:val="FFFFFF"/>
        </w:rPr>
        <w:t>Service</w:t>
      </w:r>
    </w:p>
    <w:p>
      <w:pPr>
        <w:spacing w:after="0" w:line="200" w:lineRule="exact"/>
        <w:rPr>
          <w:sz w:val="20"/>
          <w:szCs w:val="20"/>
          <w:color w:val="auto"/>
        </w:rPr>
      </w:pPr>
    </w:p>
    <w:p>
      <w:pPr>
        <w:spacing w:after="0" w:line="324" w:lineRule="exact"/>
        <w:rPr>
          <w:sz w:val="20"/>
          <w:szCs w:val="20"/>
          <w:color w:val="auto"/>
        </w:rPr>
      </w:pPr>
    </w:p>
    <w:p>
      <w:pPr>
        <w:ind w:left="480"/>
        <w:spacing w:after="0"/>
        <w:rPr>
          <w:sz w:val="20"/>
          <w:szCs w:val="20"/>
          <w:color w:val="auto"/>
        </w:rPr>
      </w:pPr>
      <w:r>
        <w:rPr>
          <w:rFonts w:ascii="Arial" w:cs="Arial" w:eastAsia="Arial" w:hAnsi="Arial"/>
          <w:sz w:val="25"/>
          <w:szCs w:val="25"/>
          <w:b w:val="1"/>
          <w:bCs w:val="1"/>
          <w:i w:val="1"/>
          <w:iCs w:val="1"/>
          <w:color w:val="FFFFFF"/>
        </w:rPr>
        <w:t>Tailoring</w:t>
      </w:r>
    </w:p>
    <w:p>
      <w:pPr>
        <w:spacing w:after="0" w:line="20" w:lineRule="exact"/>
        <w:rPr>
          <w:sz w:val="20"/>
          <w:szCs w:val="20"/>
          <w:color w:val="auto"/>
        </w:rPr>
      </w:pPr>
      <w:r>
        <w:rPr>
          <w:sz w:val="20"/>
          <w:szCs w:val="20"/>
          <w:color w:val="auto"/>
        </w:rPr>
        <w:br w:type="column"/>
      </w:r>
    </w:p>
    <w:p>
      <w:pPr>
        <w:jc w:val="right"/>
        <w:ind w:right="440"/>
        <w:spacing w:after="0"/>
        <w:rPr>
          <w:sz w:val="20"/>
          <w:szCs w:val="20"/>
          <w:color w:val="auto"/>
        </w:rPr>
      </w:pPr>
      <w:r>
        <w:rPr>
          <w:rFonts w:ascii="Arial" w:cs="Arial" w:eastAsia="Arial" w:hAnsi="Arial"/>
          <w:sz w:val="51"/>
          <w:szCs w:val="51"/>
          <w:color w:val="FFFFFF"/>
        </w:rPr>
        <w:t>OPERATIONAL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-796925</wp:posOffset>
            </wp:positionV>
            <wp:extent cx="7284720"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2380" w:type="dxa"/>
            <w:vAlign w:val="bottom"/>
          </w:tcPr>
          <w:p>
            <w:pPr>
              <w:jc w:val="center"/>
              <w:ind w:right="284"/>
              <w:spacing w:after="0"/>
              <w:rPr>
                <w:sz w:val="20"/>
                <w:szCs w:val="20"/>
                <w:color w:val="auto"/>
              </w:rPr>
            </w:pPr>
            <w:r>
              <w:rPr>
                <w:rFonts w:ascii="Arial" w:cs="Arial" w:eastAsia="Arial" w:hAnsi="Arial"/>
                <w:sz w:val="28"/>
                <w:szCs w:val="28"/>
                <w:b w:val="1"/>
                <w:bCs w:val="1"/>
                <w:i w:val="1"/>
                <w:iCs w:val="1"/>
                <w:color w:val="auto"/>
              </w:rPr>
              <w:t>Casual Male</w:t>
            </w:r>
          </w:p>
        </w:tc>
        <w:tc>
          <w:tcPr>
            <w:tcW w:w="2160" w:type="dxa"/>
            <w:vAlign w:val="bottom"/>
          </w:tcPr>
          <w:p>
            <w:pPr>
              <w:ind w:left="420"/>
              <w:spacing w:after="0"/>
              <w:rPr>
                <w:sz w:val="20"/>
                <w:szCs w:val="20"/>
                <w:color w:val="auto"/>
              </w:rPr>
            </w:pPr>
            <w:r>
              <w:rPr>
                <w:rFonts w:ascii="Arial" w:cs="Arial" w:eastAsia="Arial" w:hAnsi="Arial"/>
                <w:sz w:val="28"/>
                <w:szCs w:val="28"/>
                <w:b w:val="1"/>
                <w:bCs w:val="1"/>
                <w:i w:val="1"/>
                <w:iCs w:val="1"/>
                <w:color w:val="auto"/>
              </w:rPr>
              <w:t>Rochester</w:t>
            </w:r>
          </w:p>
        </w:tc>
        <w:tc>
          <w:tcPr>
            <w:tcW w:w="2500" w:type="dxa"/>
            <w:vAlign w:val="bottom"/>
          </w:tcPr>
          <w:p>
            <w:pPr>
              <w:ind w:left="540"/>
              <w:spacing w:after="0"/>
              <w:rPr>
                <w:sz w:val="20"/>
                <w:szCs w:val="20"/>
                <w:color w:val="auto"/>
              </w:rPr>
            </w:pPr>
            <w:r>
              <w:rPr>
                <w:rFonts w:ascii="Arial" w:cs="Arial" w:eastAsia="Arial" w:hAnsi="Arial"/>
                <w:sz w:val="28"/>
                <w:szCs w:val="28"/>
                <w:b w:val="1"/>
                <w:bCs w:val="1"/>
                <w:i w:val="1"/>
                <w:iCs w:val="1"/>
                <w:color w:val="auto"/>
              </w:rPr>
              <w:t>Hybrid Store</w:t>
            </w:r>
          </w:p>
        </w:tc>
      </w:tr>
      <w:tr>
        <w:trPr>
          <w:trHeight w:val="511"/>
        </w:trPr>
        <w:tc>
          <w:tcPr>
            <w:tcW w:w="2380" w:type="dxa"/>
            <w:vAlign w:val="bottom"/>
          </w:tcPr>
          <w:p>
            <w:pPr>
              <w:jc w:val="center"/>
              <w:ind w:right="144"/>
              <w:spacing w:after="0"/>
              <w:rPr>
                <w:sz w:val="20"/>
                <w:szCs w:val="20"/>
                <w:color w:val="auto"/>
              </w:rPr>
            </w:pPr>
            <w:r>
              <w:rPr>
                <w:rFonts w:ascii="Arial" w:cs="Arial" w:eastAsia="Arial" w:hAnsi="Arial"/>
                <w:sz w:val="22"/>
                <w:szCs w:val="22"/>
                <w:color w:val="auto"/>
              </w:rPr>
              <w:t>3,534</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8,069</w:t>
            </w:r>
          </w:p>
        </w:tc>
        <w:tc>
          <w:tcPr>
            <w:tcW w:w="2500" w:type="dxa"/>
            <w:vAlign w:val="bottom"/>
          </w:tcPr>
          <w:p>
            <w:pPr>
              <w:jc w:val="center"/>
              <w:ind w:left="384"/>
              <w:spacing w:after="0"/>
              <w:rPr>
                <w:sz w:val="20"/>
                <w:szCs w:val="20"/>
                <w:color w:val="auto"/>
              </w:rPr>
            </w:pPr>
            <w:r>
              <w:rPr>
                <w:rFonts w:ascii="Arial" w:cs="Arial" w:eastAsia="Arial" w:hAnsi="Arial"/>
                <w:sz w:val="22"/>
                <w:szCs w:val="22"/>
                <w:color w:val="auto"/>
              </w:rPr>
              <w:t>9,045</w:t>
            </w:r>
          </w:p>
        </w:tc>
      </w:tr>
      <w:tr>
        <w:trPr>
          <w:trHeight w:val="482"/>
        </w:trPr>
        <w:tc>
          <w:tcPr>
            <w:tcW w:w="2380" w:type="dxa"/>
            <w:vAlign w:val="bottom"/>
          </w:tcPr>
          <w:p>
            <w:pPr>
              <w:jc w:val="center"/>
              <w:ind w:right="164"/>
              <w:spacing w:after="0"/>
              <w:rPr>
                <w:sz w:val="20"/>
                <w:szCs w:val="20"/>
                <w:color w:val="auto"/>
              </w:rPr>
            </w:pPr>
            <w:r>
              <w:rPr>
                <w:rFonts w:ascii="Arial" w:cs="Arial" w:eastAsia="Arial" w:hAnsi="Arial"/>
                <w:sz w:val="22"/>
                <w:szCs w:val="22"/>
                <w:color w:val="auto"/>
              </w:rPr>
              <w:t>Moderate</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High End</w:t>
            </w:r>
          </w:p>
        </w:tc>
        <w:tc>
          <w:tcPr>
            <w:tcW w:w="2500" w:type="dxa"/>
            <w:vAlign w:val="bottom"/>
          </w:tcPr>
          <w:p>
            <w:pPr>
              <w:jc w:val="center"/>
              <w:ind w:left="284"/>
              <w:spacing w:after="0"/>
              <w:rPr>
                <w:sz w:val="20"/>
                <w:szCs w:val="20"/>
                <w:color w:val="auto"/>
              </w:rPr>
            </w:pPr>
            <w:r>
              <w:rPr>
                <w:rFonts w:ascii="Arial" w:cs="Arial" w:eastAsia="Arial" w:hAnsi="Arial"/>
                <w:sz w:val="22"/>
                <w:szCs w:val="22"/>
                <w:color w:val="auto"/>
              </w:rPr>
              <w:t>Mid-High Moderate</w:t>
            </w:r>
          </w:p>
        </w:tc>
      </w:tr>
      <w:tr>
        <w:trPr>
          <w:trHeight w:val="470"/>
        </w:trPr>
        <w:tc>
          <w:tcPr>
            <w:tcW w:w="2380" w:type="dxa"/>
            <w:vAlign w:val="bottom"/>
          </w:tcPr>
          <w:p>
            <w:pPr>
              <w:jc w:val="center"/>
              <w:ind w:right="144"/>
              <w:spacing w:after="0"/>
              <w:rPr>
                <w:sz w:val="20"/>
                <w:szCs w:val="20"/>
                <w:color w:val="auto"/>
              </w:rPr>
            </w:pPr>
            <w:r>
              <w:rPr>
                <w:rFonts w:ascii="Arial" w:cs="Arial" w:eastAsia="Arial" w:hAnsi="Arial"/>
                <w:sz w:val="22"/>
                <w:szCs w:val="22"/>
                <w:color w:val="auto"/>
              </w:rPr>
              <w:t>$32.10</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$74.90</w:t>
            </w:r>
          </w:p>
        </w:tc>
        <w:tc>
          <w:tcPr>
            <w:tcW w:w="2500" w:type="dxa"/>
            <w:vAlign w:val="bottom"/>
          </w:tcPr>
          <w:p>
            <w:pPr>
              <w:jc w:val="center"/>
              <w:ind w:left="384"/>
              <w:spacing w:after="0"/>
              <w:rPr>
                <w:sz w:val="20"/>
                <w:szCs w:val="20"/>
                <w:color w:val="auto"/>
              </w:rPr>
            </w:pPr>
            <w:r>
              <w:rPr>
                <w:rFonts w:ascii="Arial" w:cs="Arial" w:eastAsia="Arial" w:hAnsi="Arial"/>
                <w:sz w:val="22"/>
                <w:szCs w:val="22"/>
                <w:color w:val="auto"/>
              </w:rPr>
              <w:t>$45.00</w:t>
            </w:r>
          </w:p>
        </w:tc>
      </w:tr>
      <w:tr>
        <w:trPr>
          <w:trHeight w:val="835"/>
        </w:trPr>
        <w:tc>
          <w:tcPr>
            <w:tcW w:w="2380" w:type="dxa"/>
            <w:vAlign w:val="bottom"/>
          </w:tcPr>
          <w:p>
            <w:pPr>
              <w:jc w:val="center"/>
              <w:ind w:right="264"/>
              <w:spacing w:after="0"/>
              <w:rPr>
                <w:sz w:val="20"/>
                <w:szCs w:val="20"/>
                <w:color w:val="auto"/>
              </w:rPr>
            </w:pPr>
            <w:r>
              <w:rPr>
                <w:rFonts w:ascii="Arial" w:cs="Arial" w:eastAsia="Arial" w:hAnsi="Arial"/>
                <w:sz w:val="22"/>
                <w:szCs w:val="22"/>
                <w:color w:val="auto"/>
              </w:rPr>
              <w:t>Semi Self Service</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rPr>
              <w:t>Full Service</w:t>
            </w:r>
          </w:p>
        </w:tc>
        <w:tc>
          <w:tcPr>
            <w:tcW w:w="2500" w:type="dxa"/>
            <w:vAlign w:val="bottom"/>
          </w:tcPr>
          <w:p>
            <w:pPr>
              <w:jc w:val="center"/>
              <w:ind w:left="264"/>
              <w:spacing w:after="0"/>
              <w:rPr>
                <w:sz w:val="20"/>
                <w:szCs w:val="20"/>
                <w:color w:val="auto"/>
              </w:rPr>
            </w:pPr>
            <w:r>
              <w:rPr>
                <w:rFonts w:ascii="Arial" w:cs="Arial" w:eastAsia="Arial" w:hAnsi="Arial"/>
                <w:sz w:val="22"/>
                <w:szCs w:val="22"/>
                <w:color w:val="auto"/>
              </w:rPr>
              <w:t>Leaning Towards Full</w:t>
            </w:r>
          </w:p>
        </w:tc>
      </w:tr>
      <w:tr>
        <w:trPr>
          <w:trHeight w:val="270"/>
        </w:trPr>
        <w:tc>
          <w:tcPr>
            <w:tcW w:w="23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500" w:type="dxa"/>
            <w:vAlign w:val="bottom"/>
          </w:tcPr>
          <w:p>
            <w:pPr>
              <w:jc w:val="center"/>
              <w:ind w:left="404"/>
              <w:spacing w:after="0"/>
              <w:rPr>
                <w:sz w:val="20"/>
                <w:szCs w:val="20"/>
                <w:color w:val="auto"/>
              </w:rPr>
            </w:pPr>
            <w:r>
              <w:rPr>
                <w:rFonts w:ascii="Arial" w:cs="Arial" w:eastAsia="Arial" w:hAnsi="Arial"/>
                <w:sz w:val="22"/>
                <w:szCs w:val="22"/>
                <w:color w:val="auto"/>
              </w:rPr>
              <w:t>Service</w:t>
            </w:r>
          </w:p>
        </w:tc>
      </w:tr>
      <w:tr>
        <w:trPr>
          <w:trHeight w:val="543"/>
        </w:trPr>
        <w:tc>
          <w:tcPr>
            <w:tcW w:w="2380" w:type="dxa"/>
            <w:vAlign w:val="bottom"/>
          </w:tcPr>
          <w:p>
            <w:pPr>
              <w:jc w:val="center"/>
              <w:ind w:right="284"/>
              <w:spacing w:after="0"/>
              <w:rPr>
                <w:sz w:val="20"/>
                <w:szCs w:val="20"/>
                <w:color w:val="auto"/>
              </w:rPr>
            </w:pPr>
            <w:r>
              <w:rPr>
                <w:rFonts w:ascii="Arial" w:cs="Arial" w:eastAsia="Arial" w:hAnsi="Arial"/>
                <w:sz w:val="22"/>
                <w:szCs w:val="22"/>
                <w:color w:val="auto"/>
                <w:w w:val="99"/>
              </w:rPr>
              <w:t>No Tailoring Service</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rPr>
              <w:t>Full Service</w:t>
            </w:r>
          </w:p>
        </w:tc>
        <w:tc>
          <w:tcPr>
            <w:tcW w:w="2500" w:type="dxa"/>
            <w:vAlign w:val="bottom"/>
          </w:tcPr>
          <w:p>
            <w:pPr>
              <w:jc w:val="center"/>
              <w:ind w:left="244"/>
              <w:spacing w:after="0"/>
              <w:rPr>
                <w:sz w:val="20"/>
                <w:szCs w:val="20"/>
                <w:color w:val="auto"/>
              </w:rPr>
            </w:pPr>
            <w:r>
              <w:rPr>
                <w:rFonts w:ascii="Arial" w:cs="Arial" w:eastAsia="Arial" w:hAnsi="Arial"/>
                <w:sz w:val="22"/>
                <w:szCs w:val="22"/>
                <w:color w:val="auto"/>
              </w:rPr>
              <w:t>Full Service Tailoring</w:t>
            </w:r>
          </w:p>
        </w:tc>
      </w:tr>
      <w:tr>
        <w:trPr>
          <w:trHeight w:val="268"/>
        </w:trPr>
        <w:tc>
          <w:tcPr>
            <w:tcW w:w="2380" w:type="dxa"/>
            <w:vAlign w:val="bottom"/>
          </w:tcPr>
          <w:p>
            <w:pPr>
              <w:jc w:val="center"/>
              <w:ind w:right="124"/>
              <w:spacing w:after="0"/>
              <w:rPr>
                <w:sz w:val="20"/>
                <w:szCs w:val="20"/>
                <w:color w:val="auto"/>
              </w:rPr>
            </w:pPr>
            <w:r>
              <w:rPr>
                <w:rFonts w:ascii="Arial" w:cs="Arial" w:eastAsia="Arial" w:hAnsi="Arial"/>
                <w:sz w:val="22"/>
                <w:szCs w:val="22"/>
                <w:color w:val="auto"/>
              </w:rPr>
              <w:t>Offered</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w w:val="97"/>
              </w:rPr>
              <w:t>Tailoring</w:t>
            </w:r>
          </w:p>
        </w:tc>
        <w:tc>
          <w:tcPr>
            <w:tcW w:w="25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2000" w:space="720"/>
            <w:col w:w="7700"/>
          </w:cols>
          <w:pgMar w:left="1080" w:top="80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20"/>
        <w:spacing w:after="0"/>
        <w:rPr>
          <w:sz w:val="20"/>
          <w:szCs w:val="20"/>
          <w:color w:val="auto"/>
        </w:rPr>
      </w:pPr>
      <w:r>
        <w:rPr>
          <w:rFonts w:ascii="Arial" w:cs="Arial" w:eastAsia="Arial" w:hAnsi="Arial"/>
          <w:sz w:val="17"/>
          <w:szCs w:val="17"/>
          <w:color w:val="003366"/>
        </w:rPr>
        <w:t>14</w:t>
      </w:r>
    </w:p>
    <w:p>
      <w:pPr>
        <w:sectPr>
          <w:pgSz w:w="11900" w:h="16838" w:orient="portrait"/>
          <w:cols w:equalWidth="0" w:num="1">
            <w:col w:w="10420"/>
          </w:cols>
          <w:pgMar w:left="1080" w:top="809" w:right="3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80"/>
        <w:spacing w:after="0"/>
        <w:rPr>
          <w:sz w:val="20"/>
          <w:szCs w:val="20"/>
          <w:color w:val="auto"/>
        </w:rPr>
      </w:pPr>
      <w:r>
        <w:rPr>
          <w:rFonts w:ascii="Arial" w:cs="Arial" w:eastAsia="Arial" w:hAnsi="Arial"/>
          <w:sz w:val="25"/>
          <w:szCs w:val="25"/>
          <w:color w:val="FFFFFF"/>
        </w:rPr>
        <w:t>OAKBROOK, IL •Existing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15</w:t>
      </w:r>
    </w:p>
    <w:p>
      <w:pPr>
        <w:sectPr>
          <w:pgSz w:w="11900" w:h="16838" w:orient="portrait"/>
          <w:cols w:equalWidth="0" w:num="1">
            <w:col w:w="10060"/>
          </w:cols>
          <w:pgMar w:left="1440" w:top="1440" w:right="3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40"/>
        <w:spacing w:after="0"/>
        <w:rPr>
          <w:sz w:val="20"/>
          <w:szCs w:val="20"/>
          <w:color w:val="auto"/>
        </w:rPr>
      </w:pPr>
      <w:r>
        <w:rPr>
          <w:rFonts w:ascii="Arial" w:cs="Arial" w:eastAsia="Arial" w:hAnsi="Arial"/>
          <w:sz w:val="25"/>
          <w:szCs w:val="25"/>
          <w:color w:val="FFFFFF"/>
        </w:rPr>
        <w:t>OAKBROOK, IL •Hybrid Store Front</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16</w:t>
      </w:r>
    </w:p>
    <w:p>
      <w:pPr>
        <w:sectPr>
          <w:pgSz w:w="11900" w:h="16838" w:orient="portrait"/>
          <w:cols w:equalWidth="0" w:num="1">
            <w:col w:w="10060"/>
          </w:cols>
          <w:pgMar w:left="1440" w:top="1440" w:right="3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20"/>
        <w:spacing w:after="0"/>
        <w:rPr>
          <w:sz w:val="20"/>
          <w:szCs w:val="20"/>
          <w:color w:val="auto"/>
        </w:rPr>
      </w:pPr>
      <w:r>
        <w:rPr>
          <w:rFonts w:ascii="Arial" w:cs="Arial" w:eastAsia="Arial" w:hAnsi="Arial"/>
          <w:sz w:val="25"/>
          <w:szCs w:val="25"/>
          <w:color w:val="FFFFFF"/>
        </w:rPr>
        <w:t>TYPICAL HYBRID STORE LAYOUT PROPOSAL</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17</w:t>
      </w:r>
    </w:p>
    <w:p>
      <w:pPr>
        <w:sectPr>
          <w:pgSz w:w="11900" w:h="16838" w:orient="portrait"/>
          <w:cols w:equalWidth="0" w:num="1">
            <w:col w:w="10060"/>
          </w:cols>
          <w:pgMar w:left="1440" w:top="1440" w:right="3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5"/>
          <w:szCs w:val="25"/>
          <w:color w:val="FFFFFF"/>
        </w:rPr>
        <w:t>TYPICAL HYBRID STORE SHOP IDENTITY</w:t>
      </w:r>
    </w:p>
    <w:p>
      <w:pPr>
        <w:spacing w:after="0" w:line="18" w:lineRule="exact"/>
        <w:rPr>
          <w:sz w:val="20"/>
          <w:szCs w:val="20"/>
          <w:color w:val="auto"/>
        </w:rPr>
      </w:pPr>
    </w:p>
    <w:p>
      <w:pPr>
        <w:ind w:left="3320"/>
        <w:spacing w:after="0"/>
        <w:rPr>
          <w:sz w:val="20"/>
          <w:szCs w:val="20"/>
          <w:color w:val="auto"/>
        </w:rPr>
      </w:pPr>
      <w:r>
        <w:rPr>
          <w:rFonts w:ascii="Arial" w:cs="Arial" w:eastAsia="Arial" w:hAnsi="Arial"/>
          <w:sz w:val="25"/>
          <w:szCs w:val="25"/>
          <w:color w:val="FFFFFF"/>
        </w:rPr>
        <w:t>LIGHT WOOD vs. DARK 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18</w:t>
      </w:r>
    </w:p>
    <w:p>
      <w:pPr>
        <w:sectPr>
          <w:pgSz w:w="11900" w:h="16838" w:orient="portrait"/>
          <w:cols w:equalWidth="0" w:num="1">
            <w:col w:w="10060"/>
          </w:cols>
          <w:pgMar w:left="1440" w:top="1440" w:right="399" w:bottom="1440" w:gutter="0" w:footer="0" w:header="0"/>
        </w:sectPr>
      </w:pPr>
    </w:p>
    <w:bookmarkStart w:id="21" w:name="page22"/>
    <w:bookmarkEnd w:id="21"/>
    <w:p>
      <w:pPr>
        <w:ind w:left="67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Comp Trend</w:t>
      </w:r>
    </w:p>
    <w:p>
      <w:pPr>
        <w:spacing w:after="0" w:line="39" w:lineRule="exact"/>
        <w:rPr>
          <w:sz w:val="20"/>
          <w:szCs w:val="20"/>
          <w:color w:val="auto"/>
        </w:rPr>
      </w:pPr>
    </w:p>
    <w:p>
      <w:pPr>
        <w:ind w:left="80"/>
        <w:spacing w:after="0"/>
        <w:tabs>
          <w:tab w:leader="none" w:pos="3220" w:val="left"/>
        </w:tabs>
        <w:rPr>
          <w:sz w:val="20"/>
          <w:szCs w:val="20"/>
          <w:color w:val="auto"/>
        </w:rPr>
      </w:pPr>
      <w:r>
        <w:rPr>
          <w:rFonts w:ascii="Arial" w:cs="Arial" w:eastAsia="Arial" w:hAnsi="Arial"/>
          <w:sz w:val="19"/>
          <w:szCs w:val="19"/>
          <w:color w:val="FFFFFF"/>
        </w:rPr>
        <w:t>10.0%</w:t>
      </w:r>
      <w:r>
        <w:rPr>
          <w:sz w:val="20"/>
          <w:szCs w:val="20"/>
          <w:color w:val="auto"/>
        </w:rPr>
        <w:tab/>
      </w:r>
      <w:r>
        <w:rPr>
          <w:rFonts w:ascii="Arial" w:cs="Arial" w:eastAsia="Arial" w:hAnsi="Arial"/>
          <w:sz w:val="34"/>
          <w:szCs w:val="34"/>
          <w:color w:val="FFFFFF"/>
          <w:vertAlign w:val="subscript"/>
        </w:rPr>
        <w:t>9.0%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 w:leader="none" w:pos="2140" w:val="left"/>
        </w:tabs>
        <w:rPr>
          <w:sz w:val="20"/>
          <w:szCs w:val="20"/>
          <w:color w:val="auto"/>
        </w:rPr>
      </w:pPr>
      <w:r>
        <w:rPr>
          <w:rFonts w:ascii="Arial" w:cs="Arial" w:eastAsia="Arial" w:hAnsi="Arial"/>
          <w:sz w:val="37"/>
          <w:szCs w:val="37"/>
          <w:color w:val="FFFFFF"/>
          <w:vertAlign w:val="subscript"/>
        </w:rPr>
        <w:t>5.0%</w:t>
      </w:r>
      <w:r>
        <w:rPr>
          <w:sz w:val="20"/>
          <w:szCs w:val="20"/>
          <w:color w:val="auto"/>
        </w:rPr>
        <w:tab/>
      </w:r>
      <w:r>
        <w:rPr>
          <w:rFonts w:ascii="Arial" w:cs="Arial" w:eastAsia="Arial" w:hAnsi="Arial"/>
          <w:sz w:val="22"/>
          <w:szCs w:val="22"/>
          <w:color w:val="FFFFFF"/>
        </w:rPr>
        <w:t>4.4%</w:t>
      </w:r>
      <w:r>
        <w:rPr>
          <w:sz w:val="20"/>
          <w:szCs w:val="20"/>
          <w:color w:val="auto"/>
        </w:rPr>
        <w:tab/>
      </w:r>
      <w:r>
        <w:rPr>
          <w:rFonts w:ascii="Arial" w:cs="Arial" w:eastAsia="Arial" w:hAnsi="Arial"/>
          <w:sz w:val="34"/>
          <w:szCs w:val="34"/>
          <w:color w:val="FFFFFF"/>
          <w:vertAlign w:val="superscript"/>
        </w:rPr>
        <w:t>4.6%</w:t>
      </w:r>
    </w:p>
    <w:p>
      <w:pPr>
        <w:spacing w:after="0" w:line="280" w:lineRule="exact"/>
        <w:rPr>
          <w:sz w:val="20"/>
          <w:szCs w:val="20"/>
          <w:color w:val="auto"/>
        </w:rPr>
      </w:pPr>
    </w:p>
    <w:p>
      <w:pPr>
        <w:ind w:left="4340"/>
        <w:spacing w:after="0"/>
        <w:rPr>
          <w:sz w:val="20"/>
          <w:szCs w:val="20"/>
          <w:color w:val="auto"/>
        </w:rPr>
      </w:pPr>
      <w:r>
        <w:rPr>
          <w:rFonts w:ascii="Arial" w:cs="Arial" w:eastAsia="Arial" w:hAnsi="Arial"/>
          <w:sz w:val="22"/>
          <w:szCs w:val="22"/>
          <w:color w:val="FFFFFF"/>
        </w:rPr>
        <w:t>2.0%</w:t>
      </w:r>
    </w:p>
    <w:p>
      <w:pPr>
        <w:spacing w:after="0" w:line="112" w:lineRule="exact"/>
        <w:rPr>
          <w:sz w:val="20"/>
          <w:szCs w:val="20"/>
          <w:color w:val="auto"/>
        </w:rPr>
      </w:pPr>
    </w:p>
    <w:p>
      <w:pPr>
        <w:ind w:left="6500"/>
        <w:spacing w:after="0"/>
        <w:rPr>
          <w:sz w:val="20"/>
          <w:szCs w:val="20"/>
          <w:color w:val="auto"/>
        </w:rPr>
      </w:pPr>
      <w:r>
        <w:rPr>
          <w:rFonts w:ascii="Arial" w:cs="Arial" w:eastAsia="Arial" w:hAnsi="Arial"/>
          <w:sz w:val="22"/>
          <w:szCs w:val="22"/>
          <w:color w:val="FFFFFF"/>
        </w:rPr>
        <w:t>0.3%</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9"/>
          <w:szCs w:val="19"/>
          <w:color w:val="FFFFFF"/>
        </w:rPr>
        <w:t>0.0%</w:t>
      </w:r>
    </w:p>
    <w:p>
      <w:pPr>
        <w:spacing w:after="0" w:line="28" w:lineRule="exact"/>
        <w:rPr>
          <w:sz w:val="20"/>
          <w:szCs w:val="20"/>
          <w:color w:val="auto"/>
        </w:rPr>
      </w:pPr>
    </w:p>
    <w:p>
      <w:pPr>
        <w:ind w:left="1120"/>
        <w:spacing w:after="0"/>
        <w:tabs>
          <w:tab w:leader="none" w:pos="2180" w:val="left"/>
          <w:tab w:leader="none" w:pos="3260" w:val="left"/>
          <w:tab w:leader="none" w:pos="4340" w:val="left"/>
          <w:tab w:leader="none" w:pos="5520" w:val="left"/>
          <w:tab w:leader="none" w:pos="6600" w:val="left"/>
          <w:tab w:leader="none" w:pos="7680" w:val="left"/>
          <w:tab w:leader="none" w:pos="8760" w:val="left"/>
        </w:tabs>
        <w:rPr>
          <w:sz w:val="20"/>
          <w:szCs w:val="20"/>
          <w:color w:val="auto"/>
        </w:rPr>
      </w:pPr>
      <w:r>
        <w:rPr>
          <w:rFonts w:ascii="Arial" w:cs="Arial" w:eastAsia="Arial" w:hAnsi="Arial"/>
          <w:sz w:val="19"/>
          <w:szCs w:val="19"/>
          <w:b w:val="1"/>
          <w:bCs w:val="1"/>
          <w:color w:val="FFFFFF"/>
        </w:rPr>
        <w:t>2004</w:t>
      </w:r>
      <w:r>
        <w:rPr>
          <w:sz w:val="20"/>
          <w:szCs w:val="20"/>
          <w:color w:val="auto"/>
        </w:rPr>
        <w:tab/>
      </w:r>
      <w:r>
        <w:rPr>
          <w:rFonts w:ascii="Arial" w:cs="Arial" w:eastAsia="Arial" w:hAnsi="Arial"/>
          <w:sz w:val="19"/>
          <w:szCs w:val="19"/>
          <w:b w:val="1"/>
          <w:bCs w:val="1"/>
          <w:color w:val="FFFFFF"/>
        </w:rPr>
        <w:t>2005</w:t>
      </w:r>
      <w:r>
        <w:rPr>
          <w:sz w:val="20"/>
          <w:szCs w:val="20"/>
          <w:color w:val="auto"/>
        </w:rPr>
        <w:tab/>
      </w:r>
      <w:r>
        <w:rPr>
          <w:rFonts w:ascii="Arial" w:cs="Arial" w:eastAsia="Arial" w:hAnsi="Arial"/>
          <w:sz w:val="19"/>
          <w:szCs w:val="19"/>
          <w:b w:val="1"/>
          <w:bCs w:val="1"/>
          <w:color w:val="FFFFFF"/>
        </w:rPr>
        <w:t>2006</w:t>
      </w:r>
      <w:r>
        <w:rPr>
          <w:sz w:val="20"/>
          <w:szCs w:val="20"/>
          <w:color w:val="auto"/>
        </w:rPr>
        <w:tab/>
      </w:r>
      <w:r>
        <w:rPr>
          <w:rFonts w:ascii="Arial" w:cs="Arial" w:eastAsia="Arial" w:hAnsi="Arial"/>
          <w:sz w:val="19"/>
          <w:szCs w:val="19"/>
          <w:b w:val="1"/>
          <w:bCs w:val="1"/>
          <w:color w:val="FFFFFF"/>
        </w:rPr>
        <w:t>2007</w:t>
      </w:r>
      <w:r>
        <w:rPr>
          <w:sz w:val="20"/>
          <w:szCs w:val="20"/>
          <w:color w:val="auto"/>
        </w:rPr>
        <w:tab/>
      </w:r>
      <w:r>
        <w:rPr>
          <w:rFonts w:ascii="Arial" w:cs="Arial" w:eastAsia="Arial" w:hAnsi="Arial"/>
          <w:sz w:val="19"/>
          <w:szCs w:val="19"/>
          <w:b w:val="1"/>
          <w:bCs w:val="1"/>
          <w:color w:val="FFFFFF"/>
        </w:rPr>
        <w:t>Q1</w:t>
      </w:r>
      <w:r>
        <w:rPr>
          <w:sz w:val="20"/>
          <w:szCs w:val="20"/>
          <w:color w:val="auto"/>
        </w:rPr>
        <w:tab/>
      </w:r>
      <w:r>
        <w:rPr>
          <w:rFonts w:ascii="Arial" w:cs="Arial" w:eastAsia="Arial" w:hAnsi="Arial"/>
          <w:sz w:val="19"/>
          <w:szCs w:val="19"/>
          <w:b w:val="1"/>
          <w:bCs w:val="1"/>
          <w:color w:val="FFFFFF"/>
        </w:rPr>
        <w:t>Q2</w:t>
      </w:r>
      <w:r>
        <w:rPr>
          <w:sz w:val="20"/>
          <w:szCs w:val="20"/>
          <w:color w:val="auto"/>
        </w:rPr>
        <w:tab/>
      </w:r>
      <w:r>
        <w:rPr>
          <w:rFonts w:ascii="Arial" w:cs="Arial" w:eastAsia="Arial" w:hAnsi="Arial"/>
          <w:sz w:val="19"/>
          <w:szCs w:val="19"/>
          <w:b w:val="1"/>
          <w:bCs w:val="1"/>
          <w:color w:val="FFFFFF"/>
        </w:rPr>
        <w:t>Q3</w:t>
      </w:r>
      <w:r>
        <w:rPr>
          <w:sz w:val="20"/>
          <w:szCs w:val="20"/>
          <w:color w:val="auto"/>
        </w:rPr>
        <w:tab/>
      </w:r>
      <w:r>
        <w:rPr>
          <w:rFonts w:ascii="Arial" w:cs="Arial" w:eastAsia="Arial" w:hAnsi="Arial"/>
          <w:sz w:val="19"/>
          <w:szCs w:val="19"/>
          <w:b w:val="1"/>
          <w:bCs w:val="1"/>
          <w:color w:val="FFFFFF"/>
        </w:rPr>
        <w:t>Q4</w:t>
      </w:r>
    </w:p>
    <w:p>
      <w:pPr>
        <w:spacing w:after="0" w:line="173" w:lineRule="exact"/>
        <w:rPr>
          <w:sz w:val="20"/>
          <w:szCs w:val="20"/>
          <w:color w:val="auto"/>
        </w:rPr>
      </w:pPr>
    </w:p>
    <w:p>
      <w:pPr>
        <w:ind w:left="5380"/>
        <w:spacing w:after="0"/>
        <w:rPr>
          <w:sz w:val="20"/>
          <w:szCs w:val="20"/>
          <w:color w:val="auto"/>
        </w:rPr>
      </w:pPr>
      <w:r>
        <w:rPr>
          <w:rFonts w:ascii="Arial" w:cs="Arial" w:eastAsia="Arial" w:hAnsi="Arial"/>
          <w:sz w:val="22"/>
          <w:szCs w:val="22"/>
          <w:color w:val="FFFFFF"/>
        </w:rPr>
        <w:t>-2.0%</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9"/>
          <w:szCs w:val="19"/>
          <w:color w:val="FFFFFF"/>
        </w:rPr>
        <w:t>-5.0%</w:t>
      </w:r>
    </w:p>
    <w:p>
      <w:pPr>
        <w:spacing w:after="0" w:line="55" w:lineRule="exact"/>
        <w:rPr>
          <w:sz w:val="20"/>
          <w:szCs w:val="20"/>
          <w:color w:val="auto"/>
        </w:rPr>
      </w:pPr>
    </w:p>
    <w:p>
      <w:pPr>
        <w:ind w:left="7540"/>
        <w:spacing w:after="0"/>
        <w:rPr>
          <w:sz w:val="20"/>
          <w:szCs w:val="20"/>
          <w:color w:val="auto"/>
        </w:rPr>
      </w:pPr>
      <w:r>
        <w:rPr>
          <w:rFonts w:ascii="Arial" w:cs="Arial" w:eastAsia="Arial" w:hAnsi="Arial"/>
          <w:sz w:val="22"/>
          <w:szCs w:val="22"/>
          <w:color w:val="FFFFFF"/>
        </w:rPr>
        <w:t>-5.3%</w:t>
      </w:r>
    </w:p>
    <w:p>
      <w:pPr>
        <w:spacing w:after="0" w:line="190" w:lineRule="exact"/>
        <w:rPr>
          <w:sz w:val="20"/>
          <w:szCs w:val="20"/>
          <w:color w:val="auto"/>
        </w:rPr>
      </w:pPr>
    </w:p>
    <w:p>
      <w:pPr>
        <w:ind w:left="6780"/>
        <w:spacing w:after="0"/>
        <w:rPr>
          <w:sz w:val="20"/>
          <w:szCs w:val="20"/>
          <w:color w:val="auto"/>
        </w:rPr>
      </w:pPr>
      <w:r>
        <w:rPr>
          <w:rFonts w:ascii="Arial" w:cs="Arial" w:eastAsia="Arial" w:hAnsi="Arial"/>
          <w:sz w:val="19"/>
          <w:szCs w:val="19"/>
          <w:color w:val="FFFFFF"/>
        </w:rPr>
        <w:t>2008</w:t>
      </w:r>
    </w:p>
    <w:p>
      <w:pPr>
        <w:spacing w:after="0" w:line="8" w:lineRule="exact"/>
        <w:rPr>
          <w:sz w:val="20"/>
          <w:szCs w:val="20"/>
          <w:color w:val="auto"/>
        </w:rPr>
      </w:pPr>
    </w:p>
    <w:p>
      <w:pPr>
        <w:spacing w:after="0"/>
        <w:tabs>
          <w:tab w:leader="none" w:pos="8600" w:val="left"/>
        </w:tabs>
        <w:rPr>
          <w:sz w:val="20"/>
          <w:szCs w:val="20"/>
          <w:color w:val="auto"/>
        </w:rPr>
      </w:pPr>
      <w:r>
        <w:rPr>
          <w:rFonts w:ascii="Arial" w:cs="Arial" w:eastAsia="Arial" w:hAnsi="Arial"/>
          <w:sz w:val="19"/>
          <w:szCs w:val="19"/>
          <w:color w:val="FFFFFF"/>
        </w:rPr>
        <w:t>-10.0%</w:t>
      </w:r>
      <w:r>
        <w:rPr>
          <w:sz w:val="20"/>
          <w:szCs w:val="20"/>
          <w:color w:val="auto"/>
        </w:rPr>
        <w:tab/>
      </w:r>
      <w:r>
        <w:rPr>
          <w:rFonts w:ascii="Arial" w:cs="Arial" w:eastAsia="Arial" w:hAnsi="Arial"/>
          <w:sz w:val="32"/>
          <w:szCs w:val="32"/>
          <w:color w:val="FFFFFF"/>
          <w:vertAlign w:val="subscript"/>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FFFFFF"/>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19</w:t>
      </w:r>
    </w:p>
    <w:p>
      <w:pPr>
        <w:sectPr>
          <w:pgSz w:w="11900" w:h="16838" w:orient="portrait"/>
          <w:cols w:equalWidth="0" w:num="1">
            <w:col w:w="10400"/>
          </w:cols>
          <w:pgMar w:left="1100" w:top="755" w:right="399" w:bottom="1440" w:gutter="0" w:footer="0" w:header="0"/>
        </w:sectPr>
      </w:pPr>
    </w:p>
    <w:bookmarkStart w:id="22" w:name="page23"/>
    <w:bookmarkEnd w:id="22"/>
    <w:p>
      <w:pPr>
        <w:ind w:left="16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CM Sales Metrics By Quarter</w:t>
      </w:r>
    </w:p>
    <w:p>
      <w:pPr>
        <w:spacing w:after="0" w:line="200" w:lineRule="exact"/>
        <w:rPr>
          <w:sz w:val="20"/>
          <w:szCs w:val="20"/>
          <w:color w:val="auto"/>
        </w:rPr>
      </w:pPr>
    </w:p>
    <w:p>
      <w:pPr>
        <w:spacing w:after="0" w:line="216"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color w:val="FFFFFF"/>
        </w:rPr>
        <w:t>0.00%</w:t>
      </w:r>
    </w:p>
    <w:p>
      <w:pPr>
        <w:spacing w:after="0" w:line="134" w:lineRule="exact"/>
        <w:rPr>
          <w:sz w:val="20"/>
          <w:szCs w:val="20"/>
          <w:color w:val="auto"/>
        </w:rPr>
      </w:pPr>
    </w:p>
    <w:p>
      <w:pPr>
        <w:jc w:val="right"/>
        <w:ind w:right="9560"/>
        <w:spacing w:after="0"/>
        <w:rPr>
          <w:sz w:val="20"/>
          <w:szCs w:val="20"/>
          <w:color w:val="auto"/>
        </w:rPr>
      </w:pPr>
      <w:r>
        <w:rPr>
          <w:rFonts w:ascii="Arial" w:cs="Arial" w:eastAsia="Arial" w:hAnsi="Arial"/>
          <w:sz w:val="18"/>
          <w:szCs w:val="18"/>
          <w:b w:val="1"/>
          <w:bCs w:val="1"/>
          <w:color w:val="FFFFFF"/>
        </w:rPr>
        <w:t>-2.00%</w:t>
      </w:r>
    </w:p>
    <w:p>
      <w:pPr>
        <w:spacing w:after="0" w:line="122" w:lineRule="exact"/>
        <w:rPr>
          <w:sz w:val="20"/>
          <w:szCs w:val="20"/>
          <w:color w:val="auto"/>
        </w:rPr>
      </w:pPr>
    </w:p>
    <w:p>
      <w:pPr>
        <w:jc w:val="right"/>
        <w:ind w:right="9560"/>
        <w:spacing w:after="0"/>
        <w:rPr>
          <w:sz w:val="20"/>
          <w:szCs w:val="20"/>
          <w:color w:val="auto"/>
        </w:rPr>
      </w:pPr>
      <w:r>
        <w:rPr>
          <w:rFonts w:ascii="Arial" w:cs="Arial" w:eastAsia="Arial" w:hAnsi="Arial"/>
          <w:sz w:val="18"/>
          <w:szCs w:val="18"/>
          <w:b w:val="1"/>
          <w:bCs w:val="1"/>
          <w:color w:val="FFFFFF"/>
        </w:rPr>
        <w:t>-4.00%</w:t>
      </w:r>
    </w:p>
    <w:p>
      <w:pPr>
        <w:spacing w:after="0" w:line="122" w:lineRule="exact"/>
        <w:rPr>
          <w:sz w:val="20"/>
          <w:szCs w:val="20"/>
          <w:color w:val="auto"/>
        </w:rPr>
      </w:pPr>
    </w:p>
    <w:p>
      <w:pPr>
        <w:jc w:val="right"/>
        <w:ind w:right="9560"/>
        <w:spacing w:after="0"/>
        <w:rPr>
          <w:sz w:val="20"/>
          <w:szCs w:val="20"/>
          <w:color w:val="auto"/>
        </w:rPr>
      </w:pPr>
      <w:r>
        <w:rPr>
          <w:rFonts w:ascii="Arial" w:cs="Arial" w:eastAsia="Arial" w:hAnsi="Arial"/>
          <w:sz w:val="18"/>
          <w:szCs w:val="18"/>
          <w:b w:val="1"/>
          <w:bCs w:val="1"/>
          <w:color w:val="FFFFFF"/>
        </w:rPr>
        <w:t>-6.00%</w:t>
      </w:r>
    </w:p>
    <w:p>
      <w:pPr>
        <w:spacing w:after="0" w:line="122" w:lineRule="exact"/>
        <w:rPr>
          <w:sz w:val="20"/>
          <w:szCs w:val="20"/>
          <w:color w:val="auto"/>
        </w:rPr>
      </w:pPr>
    </w:p>
    <w:p>
      <w:pPr>
        <w:jc w:val="right"/>
        <w:ind w:right="9560"/>
        <w:spacing w:after="0"/>
        <w:rPr>
          <w:sz w:val="20"/>
          <w:szCs w:val="20"/>
          <w:color w:val="auto"/>
        </w:rPr>
      </w:pPr>
      <w:r>
        <w:rPr>
          <w:rFonts w:ascii="Arial" w:cs="Arial" w:eastAsia="Arial" w:hAnsi="Arial"/>
          <w:sz w:val="18"/>
          <w:szCs w:val="18"/>
          <w:b w:val="1"/>
          <w:bCs w:val="1"/>
          <w:color w:val="FFFFFF"/>
        </w:rPr>
        <w:t>-8.00%</w:t>
      </w:r>
    </w:p>
    <w:p>
      <w:pPr>
        <w:spacing w:after="0" w:line="122" w:lineRule="exact"/>
        <w:rPr>
          <w:sz w:val="20"/>
          <w:szCs w:val="20"/>
          <w:color w:val="auto"/>
        </w:rPr>
      </w:pPr>
    </w:p>
    <w:p>
      <w:pPr>
        <w:jc w:val="right"/>
        <w:ind w:right="9600"/>
        <w:spacing w:after="0"/>
        <w:rPr>
          <w:sz w:val="20"/>
          <w:szCs w:val="20"/>
          <w:color w:val="auto"/>
        </w:rPr>
      </w:pPr>
      <w:r>
        <w:rPr>
          <w:rFonts w:ascii="Arial" w:cs="Arial" w:eastAsia="Arial" w:hAnsi="Arial"/>
          <w:sz w:val="17"/>
          <w:szCs w:val="17"/>
          <w:b w:val="1"/>
          <w:bCs w:val="1"/>
          <w:color w:val="FFFFFF"/>
        </w:rPr>
        <w:t>-10.00%</w:t>
      </w:r>
    </w:p>
    <w:p>
      <w:pPr>
        <w:spacing w:after="0" w:line="125" w:lineRule="exact"/>
        <w:rPr>
          <w:sz w:val="20"/>
          <w:szCs w:val="20"/>
          <w:color w:val="auto"/>
        </w:rPr>
      </w:pPr>
    </w:p>
    <w:p>
      <w:pPr>
        <w:jc w:val="right"/>
        <w:ind w:right="9600"/>
        <w:spacing w:after="0"/>
        <w:rPr>
          <w:sz w:val="20"/>
          <w:szCs w:val="20"/>
          <w:color w:val="auto"/>
        </w:rPr>
      </w:pPr>
      <w:r>
        <w:rPr>
          <w:rFonts w:ascii="Arial" w:cs="Arial" w:eastAsia="Arial" w:hAnsi="Arial"/>
          <w:sz w:val="17"/>
          <w:szCs w:val="17"/>
          <w:b w:val="1"/>
          <w:bCs w:val="1"/>
          <w:color w:val="FFFFFF"/>
        </w:rPr>
        <w:t>-12.00%</w:t>
      </w:r>
    </w:p>
    <w:tbl>
      <w:tblPr>
        <w:tblLayout w:type="fixed"/>
        <w:tblInd w:w="12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FFFFFF"/>
              </w:rPr>
              <w:t>1st Qtr</w:t>
            </w:r>
          </w:p>
        </w:tc>
        <w:tc>
          <w:tcPr>
            <w:tcW w:w="1480" w:type="dxa"/>
            <w:vAlign w:val="bottom"/>
            <w:gridSpan w:val="2"/>
          </w:tcPr>
          <w:p>
            <w:pPr>
              <w:ind w:left="560"/>
              <w:spacing w:after="0"/>
              <w:rPr>
                <w:sz w:val="20"/>
                <w:szCs w:val="20"/>
                <w:color w:val="auto"/>
              </w:rPr>
            </w:pPr>
            <w:r>
              <w:rPr>
                <w:rFonts w:ascii="Arial" w:cs="Arial" w:eastAsia="Arial" w:hAnsi="Arial"/>
                <w:sz w:val="18"/>
                <w:szCs w:val="18"/>
                <w:b w:val="1"/>
                <w:bCs w:val="1"/>
                <w:color w:val="FFFFFF"/>
              </w:rPr>
              <w:t>2nd Qtr</w:t>
            </w:r>
          </w:p>
        </w:tc>
        <w:tc>
          <w:tcPr>
            <w:tcW w:w="1440" w:type="dxa"/>
            <w:vAlign w:val="bottom"/>
          </w:tcPr>
          <w:p>
            <w:pPr>
              <w:jc w:val="right"/>
              <w:ind w:right="482"/>
              <w:spacing w:after="0"/>
              <w:rPr>
                <w:sz w:val="20"/>
                <w:szCs w:val="20"/>
                <w:color w:val="auto"/>
              </w:rPr>
            </w:pPr>
            <w:r>
              <w:rPr>
                <w:rFonts w:ascii="Arial" w:cs="Arial" w:eastAsia="Arial" w:hAnsi="Arial"/>
                <w:sz w:val="18"/>
                <w:szCs w:val="18"/>
                <w:b w:val="1"/>
                <w:bCs w:val="1"/>
                <w:color w:val="FFFFFF"/>
              </w:rPr>
              <w:t>3rd Qtr</w:t>
            </w:r>
          </w:p>
        </w:tc>
        <w:tc>
          <w:tcPr>
            <w:tcW w:w="1020" w:type="dxa"/>
            <w:vAlign w:val="bottom"/>
          </w:tcPr>
          <w:p>
            <w:pPr>
              <w:ind w:left="80"/>
              <w:spacing w:after="0"/>
              <w:rPr>
                <w:sz w:val="20"/>
                <w:szCs w:val="20"/>
                <w:color w:val="auto"/>
              </w:rPr>
            </w:pPr>
            <w:r>
              <w:rPr>
                <w:rFonts w:ascii="Arial" w:cs="Arial" w:eastAsia="Arial" w:hAnsi="Arial"/>
                <w:sz w:val="18"/>
                <w:szCs w:val="18"/>
                <w:b w:val="1"/>
                <w:bCs w:val="1"/>
                <w:color w:val="FFFFFF"/>
              </w:rPr>
              <w:t>4th Qtr</w:t>
            </w: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62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b w:val="1"/>
                <w:bCs w:val="1"/>
                <w:color w:val="FFFFFF"/>
              </w:rPr>
              <w:t>Traffic</w:t>
            </w:r>
          </w:p>
        </w:tc>
        <w:tc>
          <w:tcPr>
            <w:tcW w:w="2100" w:type="dxa"/>
            <w:vAlign w:val="bottom"/>
            <w:gridSpan w:val="2"/>
          </w:tcPr>
          <w:p>
            <w:pPr>
              <w:jc w:val="right"/>
              <w:ind w:right="802"/>
              <w:spacing w:after="0"/>
              <w:rPr>
                <w:sz w:val="20"/>
                <w:szCs w:val="20"/>
                <w:color w:val="auto"/>
              </w:rPr>
            </w:pPr>
            <w:r>
              <w:rPr>
                <w:rFonts w:ascii="Arial" w:cs="Arial" w:eastAsia="Arial" w:hAnsi="Arial"/>
                <w:sz w:val="18"/>
                <w:szCs w:val="18"/>
                <w:b w:val="1"/>
                <w:bCs w:val="1"/>
                <w:color w:val="FFFFFF"/>
              </w:rPr>
              <w:t>Comp Sales</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jc w:val="right"/>
              <w:ind w:right="22"/>
              <w:spacing w:after="0"/>
              <w:rPr>
                <w:sz w:val="20"/>
                <w:szCs w:val="20"/>
                <w:color w:val="auto"/>
              </w:rPr>
            </w:pPr>
            <w:r>
              <w:rPr>
                <w:rFonts w:ascii="Arial" w:cs="Arial" w:eastAsia="Arial" w:hAnsi="Arial"/>
                <w:sz w:val="15"/>
                <w:szCs w:val="15"/>
                <w:b w:val="1"/>
                <w:bCs w:val="1"/>
                <w:color w:val="FFFFFF"/>
              </w:rPr>
              <w:t>10.00%</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Arial" w:cs="Arial" w:eastAsia="Arial" w:hAnsi="Arial"/>
                <w:sz w:val="15"/>
                <w:szCs w:val="15"/>
                <w:b w:val="1"/>
                <w:bCs w:val="1"/>
                <w:color w:val="FFFFFF"/>
              </w:rPr>
              <w:t>5.00%</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Arial" w:cs="Arial" w:eastAsia="Arial" w:hAnsi="Arial"/>
                <w:sz w:val="15"/>
                <w:szCs w:val="15"/>
                <w:b w:val="1"/>
                <w:bCs w:val="1"/>
                <w:color w:val="FFFFFF"/>
              </w:rPr>
              <w:t>0.00%</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jc w:val="right"/>
              <w:ind w:right="22"/>
              <w:spacing w:after="0"/>
              <w:rPr>
                <w:sz w:val="20"/>
                <w:szCs w:val="20"/>
                <w:color w:val="auto"/>
              </w:rPr>
            </w:pPr>
            <w:r>
              <w:rPr>
                <w:rFonts w:ascii="Arial" w:cs="Arial" w:eastAsia="Arial" w:hAnsi="Arial"/>
                <w:sz w:val="15"/>
                <w:szCs w:val="15"/>
                <w:b w:val="1"/>
                <w:bCs w:val="1"/>
                <w:color w:val="FFFFFF"/>
              </w:rPr>
              <w:t>-5.00%</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jc w:val="right"/>
              <w:ind w:right="42"/>
              <w:spacing w:after="0"/>
              <w:rPr>
                <w:sz w:val="20"/>
                <w:szCs w:val="20"/>
                <w:color w:val="auto"/>
              </w:rPr>
            </w:pPr>
            <w:r>
              <w:rPr>
                <w:rFonts w:ascii="Arial" w:cs="Arial" w:eastAsia="Arial" w:hAnsi="Arial"/>
                <w:sz w:val="15"/>
                <w:szCs w:val="15"/>
                <w:b w:val="1"/>
                <w:bCs w:val="1"/>
                <w:color w:val="FFFFFF"/>
              </w:rPr>
              <w:t>-10.00%</w:t>
            </w:r>
          </w:p>
        </w:tc>
        <w:tc>
          <w:tcPr>
            <w:tcW w:w="1020" w:type="dxa"/>
            <w:vAlign w:val="bottom"/>
            <w:vMerge w:val="restart"/>
          </w:tcPr>
          <w:p>
            <w:pPr>
              <w:ind w:left="300"/>
              <w:spacing w:after="0"/>
              <w:rPr>
                <w:sz w:val="20"/>
                <w:szCs w:val="20"/>
                <w:color w:val="auto"/>
              </w:rPr>
            </w:pPr>
            <w:r>
              <w:rPr>
                <w:rFonts w:ascii="Arial" w:cs="Arial" w:eastAsia="Arial" w:hAnsi="Arial"/>
                <w:sz w:val="15"/>
                <w:szCs w:val="15"/>
                <w:b w:val="1"/>
                <w:bCs w:val="1"/>
                <w:color w:val="FFFFFF"/>
              </w:rPr>
              <w:t>1st Qtr</w:t>
            </w:r>
          </w:p>
        </w:tc>
        <w:tc>
          <w:tcPr>
            <w:tcW w:w="980" w:type="dxa"/>
            <w:vAlign w:val="bottom"/>
            <w:vMerge w:val="restart"/>
          </w:tcPr>
          <w:p>
            <w:pPr>
              <w:ind w:left="220"/>
              <w:spacing w:after="0"/>
              <w:rPr>
                <w:sz w:val="20"/>
                <w:szCs w:val="20"/>
                <w:color w:val="auto"/>
              </w:rPr>
            </w:pPr>
            <w:r>
              <w:rPr>
                <w:rFonts w:ascii="Arial" w:cs="Arial" w:eastAsia="Arial" w:hAnsi="Arial"/>
                <w:sz w:val="15"/>
                <w:szCs w:val="15"/>
                <w:b w:val="1"/>
                <w:bCs w:val="1"/>
                <w:color w:val="FFFFFF"/>
              </w:rPr>
              <w:t>2nd Qtr</w:t>
            </w:r>
          </w:p>
        </w:tc>
        <w:tc>
          <w:tcPr>
            <w:tcW w:w="960" w:type="dxa"/>
            <w:vAlign w:val="bottom"/>
            <w:vMerge w:val="restart"/>
          </w:tcPr>
          <w:p>
            <w:pPr>
              <w:ind w:left="220"/>
              <w:spacing w:after="0"/>
              <w:rPr>
                <w:sz w:val="20"/>
                <w:szCs w:val="20"/>
                <w:color w:val="auto"/>
              </w:rPr>
            </w:pPr>
            <w:r>
              <w:rPr>
                <w:rFonts w:ascii="Arial" w:cs="Arial" w:eastAsia="Arial" w:hAnsi="Arial"/>
                <w:sz w:val="15"/>
                <w:szCs w:val="15"/>
                <w:b w:val="1"/>
                <w:bCs w:val="1"/>
                <w:color w:val="FFFFFF"/>
              </w:rPr>
              <w:t>3rd Qtr</w:t>
            </w:r>
          </w:p>
        </w:tc>
        <w:tc>
          <w:tcPr>
            <w:tcW w:w="720" w:type="dxa"/>
            <w:vAlign w:val="bottom"/>
            <w:vMerge w:val="restart"/>
          </w:tcPr>
          <w:p>
            <w:pPr>
              <w:ind w:left="220"/>
              <w:spacing w:after="0"/>
              <w:rPr>
                <w:sz w:val="20"/>
                <w:szCs w:val="20"/>
                <w:color w:val="auto"/>
              </w:rPr>
            </w:pPr>
            <w:r>
              <w:rPr>
                <w:rFonts w:ascii="Arial" w:cs="Arial" w:eastAsia="Arial" w:hAnsi="Arial"/>
                <w:sz w:val="15"/>
                <w:szCs w:val="15"/>
                <w:b w:val="1"/>
                <w:bCs w:val="1"/>
                <w:color w:val="FFFFFF"/>
                <w:w w:val="97"/>
              </w:rPr>
              <w:t>4th Qtr</w:t>
            </w:r>
          </w:p>
        </w:tc>
        <w:tc>
          <w:tcPr>
            <w:tcW w:w="0" w:type="dxa"/>
            <w:vAlign w:val="bottom"/>
          </w:tcPr>
          <w:p>
            <w:pPr>
              <w:spacing w:after="0"/>
              <w:rPr>
                <w:sz w:val="1"/>
                <w:szCs w:val="1"/>
                <w:color w:val="auto"/>
              </w:rPr>
            </w:pPr>
          </w:p>
        </w:tc>
      </w:tr>
      <w:tr>
        <w:trPr>
          <w:trHeight w:val="141"/>
        </w:trPr>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760"/>
        <w:spacing w:after="0"/>
        <w:tabs>
          <w:tab w:leader="none" w:pos="6920" w:val="left"/>
        </w:tabs>
        <w:rPr>
          <w:sz w:val="20"/>
          <w:szCs w:val="20"/>
          <w:color w:val="auto"/>
        </w:rPr>
      </w:pPr>
      <w:r>
        <w:rPr>
          <w:rFonts w:ascii="Arial" w:cs="Arial" w:eastAsia="Arial" w:hAnsi="Arial"/>
          <w:sz w:val="15"/>
          <w:szCs w:val="15"/>
          <w:b w:val="1"/>
          <w:bCs w:val="1"/>
          <w:color w:val="FFFFFF"/>
        </w:rPr>
        <w:t>Conversion</w:t>
      </w:r>
      <w:r>
        <w:rPr>
          <w:sz w:val="20"/>
          <w:szCs w:val="20"/>
          <w:color w:val="auto"/>
        </w:rPr>
        <w:tab/>
      </w:r>
      <w:r>
        <w:rPr>
          <w:rFonts w:ascii="Arial" w:cs="Arial" w:eastAsia="Arial" w:hAnsi="Arial"/>
          <w:sz w:val="15"/>
          <w:szCs w:val="15"/>
          <w:b w:val="1"/>
          <w:bCs w:val="1"/>
          <w:color w:val="FFFFFF"/>
        </w:rPr>
        <w:t>DPT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20</w:t>
      </w:r>
    </w:p>
    <w:p>
      <w:pPr>
        <w:sectPr>
          <w:pgSz w:w="11900" w:h="16838" w:orient="portrait"/>
          <w:cols w:equalWidth="0" w:num="1">
            <w:col w:w="10260"/>
          </w:cols>
          <w:pgMar w:left="1240" w:top="944" w:right="399" w:bottom="1440" w:gutter="0" w:footer="0" w:header="0"/>
        </w:sectPr>
      </w:pPr>
    </w:p>
    <w:bookmarkStart w:id="23" w:name="page24"/>
    <w:bookmarkEnd w:id="23"/>
    <w:p>
      <w:pPr>
        <w:ind w:left="5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Our Direct to Consumer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80"/>
        <w:spacing w:after="0"/>
        <w:rPr>
          <w:sz w:val="20"/>
          <w:szCs w:val="20"/>
          <w:color w:val="auto"/>
        </w:rPr>
      </w:pPr>
      <w:r>
        <w:rPr>
          <w:rFonts w:ascii="Arial" w:cs="Arial" w:eastAsia="Arial" w:hAnsi="Arial"/>
          <w:sz w:val="38"/>
          <w:szCs w:val="38"/>
          <w:b w:val="1"/>
          <w:bCs w:val="1"/>
          <w:color w:val="FFFFFF"/>
        </w:rPr>
        <w:t>CasualmaleXL.com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40" w:val="left"/>
        </w:tabs>
        <w:rPr>
          <w:sz w:val="20"/>
          <w:szCs w:val="20"/>
          <w:color w:val="auto"/>
        </w:rPr>
      </w:pPr>
      <w:r>
        <w:rPr>
          <w:rFonts w:ascii="Arial" w:cs="Arial" w:eastAsia="Arial" w:hAnsi="Arial"/>
          <w:sz w:val="38"/>
          <w:szCs w:val="38"/>
          <w:b w:val="1"/>
          <w:bCs w:val="1"/>
          <w:color w:val="FFFFFF"/>
        </w:rPr>
        <w:t>Rochesterclothing.com</w:t>
      </w:r>
      <w:r>
        <w:rPr>
          <w:sz w:val="20"/>
          <w:szCs w:val="20"/>
          <w:color w:val="auto"/>
        </w:rPr>
        <w:tab/>
      </w:r>
      <w:r>
        <w:rPr>
          <w:rFonts w:ascii="Arial" w:cs="Arial" w:eastAsia="Arial" w:hAnsi="Arial"/>
          <w:sz w:val="75"/>
          <w:szCs w:val="75"/>
          <w:b w:val="1"/>
          <w:bCs w:val="1"/>
          <w:color w:val="FFFFFF"/>
          <w:vertAlign w:val="superscript"/>
        </w:rPr>
        <w:t>Livingxl.com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38"/>
          <w:szCs w:val="38"/>
          <w:b w:val="1"/>
          <w:bCs w:val="1"/>
          <w:color w:val="FFFFFF"/>
        </w:rPr>
        <w:t>ShoesXL.com</w:t>
      </w:r>
    </w:p>
    <w:p>
      <w:pPr>
        <w:spacing w:after="0" w:line="64" w:lineRule="exact"/>
        <w:rPr>
          <w:sz w:val="20"/>
          <w:szCs w:val="20"/>
          <w:color w:val="auto"/>
        </w:rPr>
      </w:pPr>
    </w:p>
    <w:p>
      <w:pPr>
        <w:ind w:left="7120"/>
        <w:spacing w:after="0"/>
        <w:rPr>
          <w:sz w:val="20"/>
          <w:szCs w:val="20"/>
          <w:color w:val="auto"/>
        </w:rPr>
      </w:pPr>
      <w:r>
        <w:rPr>
          <w:rFonts w:ascii="Arial" w:cs="Arial" w:eastAsia="Arial" w:hAnsi="Arial"/>
          <w:sz w:val="38"/>
          <w:szCs w:val="38"/>
          <w:b w:val="1"/>
          <w:bCs w:val="1"/>
          <w:color w:val="FFFFFF"/>
        </w:rPr>
        <w:t>BTDirect.com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21</w:t>
      </w:r>
    </w:p>
    <w:p>
      <w:pPr>
        <w:sectPr>
          <w:pgSz w:w="11900" w:h="16838" w:orient="portrait"/>
          <w:cols w:equalWidth="0" w:num="1">
            <w:col w:w="10340"/>
          </w:cols>
          <w:pgMar w:left="1160" w:top="1009" w:right="399" w:bottom="1440" w:gutter="0" w:footer="0" w:header="0"/>
        </w:sectPr>
      </w:pPr>
    </w:p>
    <w:bookmarkStart w:id="24" w:name="page25"/>
    <w:bookmarkEnd w:id="24"/>
    <w:p>
      <w:pPr>
        <w:ind w:left="17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CMRG Internet Sales by Year</w:t>
      </w:r>
    </w:p>
    <w:p>
      <w:pPr>
        <w:spacing w:after="0" w:line="200" w:lineRule="exact"/>
        <w:rPr>
          <w:sz w:val="20"/>
          <w:szCs w:val="20"/>
          <w:color w:val="auto"/>
        </w:rPr>
      </w:pPr>
    </w:p>
    <w:p>
      <w:pPr>
        <w:spacing w:after="0" w:line="35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$60,000,000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$50,000,000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$40,000,000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$30,000,000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$20,000,000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$10,000,000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FFFFFF"/>
        </w:rPr>
        <w:t>$0</w:t>
      </w:r>
    </w:p>
    <w:p>
      <w:pPr>
        <w:spacing w:after="0" w:line="64" w:lineRule="exact"/>
        <w:rPr>
          <w:sz w:val="20"/>
          <w:szCs w:val="20"/>
          <w:color w:val="auto"/>
        </w:rPr>
      </w:pPr>
    </w:p>
    <w:p>
      <w:pPr>
        <w:ind w:left="2260"/>
        <w:spacing w:after="0"/>
        <w:tabs>
          <w:tab w:leader="none" w:pos="3220" w:val="left"/>
          <w:tab w:leader="none" w:pos="4220" w:val="left"/>
          <w:tab w:leader="none" w:pos="5200" w:val="left"/>
          <w:tab w:leader="none" w:pos="6180" w:val="left"/>
          <w:tab w:leader="none" w:pos="7180" w:val="left"/>
          <w:tab w:leader="none" w:pos="8160" w:val="left"/>
        </w:tabs>
        <w:rPr>
          <w:sz w:val="20"/>
          <w:szCs w:val="20"/>
          <w:color w:val="auto"/>
        </w:rPr>
      </w:pPr>
      <w:r>
        <w:rPr>
          <w:rFonts w:ascii="Arial" w:cs="Arial" w:eastAsia="Arial" w:hAnsi="Arial"/>
          <w:sz w:val="21"/>
          <w:szCs w:val="21"/>
          <w:b w:val="1"/>
          <w:bCs w:val="1"/>
          <w:color w:val="FFFFFF"/>
        </w:rPr>
        <w:t>2002</w:t>
      </w:r>
      <w:r>
        <w:rPr>
          <w:sz w:val="20"/>
          <w:szCs w:val="20"/>
          <w:color w:val="auto"/>
        </w:rPr>
        <w:tab/>
      </w:r>
      <w:r>
        <w:rPr>
          <w:rFonts w:ascii="Arial" w:cs="Arial" w:eastAsia="Arial" w:hAnsi="Arial"/>
          <w:sz w:val="21"/>
          <w:szCs w:val="21"/>
          <w:b w:val="1"/>
          <w:bCs w:val="1"/>
          <w:color w:val="FFFFFF"/>
        </w:rPr>
        <w:t>2003</w:t>
      </w:r>
      <w:r>
        <w:rPr>
          <w:sz w:val="20"/>
          <w:szCs w:val="20"/>
          <w:color w:val="auto"/>
        </w:rPr>
        <w:tab/>
      </w:r>
      <w:r>
        <w:rPr>
          <w:rFonts w:ascii="Arial" w:cs="Arial" w:eastAsia="Arial" w:hAnsi="Arial"/>
          <w:sz w:val="21"/>
          <w:szCs w:val="21"/>
          <w:b w:val="1"/>
          <w:bCs w:val="1"/>
          <w:color w:val="FFFFFF"/>
        </w:rPr>
        <w:t>2004</w:t>
      </w:r>
      <w:r>
        <w:rPr>
          <w:sz w:val="20"/>
          <w:szCs w:val="20"/>
          <w:color w:val="auto"/>
        </w:rPr>
        <w:tab/>
      </w:r>
      <w:r>
        <w:rPr>
          <w:rFonts w:ascii="Arial" w:cs="Arial" w:eastAsia="Arial" w:hAnsi="Arial"/>
          <w:sz w:val="21"/>
          <w:szCs w:val="21"/>
          <w:b w:val="1"/>
          <w:bCs w:val="1"/>
          <w:color w:val="FFFFFF"/>
        </w:rPr>
        <w:t>2005</w:t>
      </w:r>
      <w:r>
        <w:rPr>
          <w:sz w:val="20"/>
          <w:szCs w:val="20"/>
          <w:color w:val="auto"/>
        </w:rPr>
        <w:tab/>
      </w:r>
      <w:r>
        <w:rPr>
          <w:rFonts w:ascii="Arial" w:cs="Arial" w:eastAsia="Arial" w:hAnsi="Arial"/>
          <w:sz w:val="21"/>
          <w:szCs w:val="21"/>
          <w:b w:val="1"/>
          <w:bCs w:val="1"/>
          <w:color w:val="FFFFFF"/>
        </w:rPr>
        <w:t>2006</w:t>
      </w:r>
      <w:r>
        <w:rPr>
          <w:sz w:val="20"/>
          <w:szCs w:val="20"/>
          <w:color w:val="auto"/>
        </w:rPr>
        <w:tab/>
      </w:r>
      <w:r>
        <w:rPr>
          <w:rFonts w:ascii="Arial" w:cs="Arial" w:eastAsia="Arial" w:hAnsi="Arial"/>
          <w:sz w:val="21"/>
          <w:szCs w:val="21"/>
          <w:b w:val="1"/>
          <w:bCs w:val="1"/>
          <w:color w:val="FFFFFF"/>
        </w:rPr>
        <w:t>2007</w:t>
      </w:r>
      <w:r>
        <w:rPr>
          <w:sz w:val="20"/>
          <w:szCs w:val="20"/>
          <w:color w:val="auto"/>
        </w:rPr>
        <w:tab/>
      </w:r>
      <w:r>
        <w:rPr>
          <w:rFonts w:ascii="Arial" w:cs="Arial" w:eastAsia="Arial" w:hAnsi="Arial"/>
          <w:sz w:val="20"/>
          <w:szCs w:val="20"/>
          <w:b w:val="1"/>
          <w:bCs w:val="1"/>
          <w:color w:val="FFFFFF"/>
        </w:rPr>
        <w:t>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22</w:t>
      </w:r>
    </w:p>
    <w:p>
      <w:pPr>
        <w:sectPr>
          <w:pgSz w:w="11900" w:h="16838" w:orient="portrait"/>
          <w:cols w:equalWidth="0" w:num="1">
            <w:col w:w="10060"/>
          </w:cols>
          <w:pgMar w:left="1440" w:top="850" w:right="3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60"/>
        <w:spacing w:after="0"/>
        <w:rPr>
          <w:sz w:val="20"/>
          <w:szCs w:val="20"/>
          <w:color w:val="auto"/>
        </w:rPr>
      </w:pPr>
      <w:r>
        <w:rPr>
          <w:rFonts w:ascii="Arial" w:cs="Arial" w:eastAsia="Arial" w:hAnsi="Arial"/>
          <w:sz w:val="17"/>
          <w:szCs w:val="17"/>
          <w:color w:val="003366"/>
        </w:rPr>
        <w:t>23</w:t>
      </w:r>
    </w:p>
    <w:p>
      <w:pPr>
        <w:sectPr>
          <w:pgSz w:w="11900" w:h="16838" w:orient="portrait"/>
          <w:cols w:equalWidth="0" w:num="1">
            <w:col w:w="10060"/>
          </w:cols>
          <w:pgMar w:left="1440" w:top="1440" w:right="3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60"/>
        <w:spacing w:after="0"/>
        <w:rPr>
          <w:sz w:val="20"/>
          <w:szCs w:val="20"/>
          <w:color w:val="auto"/>
        </w:rPr>
      </w:pPr>
      <w:r>
        <w:rPr>
          <w:rFonts w:ascii="Arial" w:cs="Arial" w:eastAsia="Arial" w:hAnsi="Arial"/>
          <w:sz w:val="17"/>
          <w:szCs w:val="17"/>
          <w:color w:val="003366"/>
        </w:rPr>
        <w:t>24</w:t>
      </w:r>
    </w:p>
    <w:p>
      <w:pPr>
        <w:sectPr>
          <w:pgSz w:w="11900" w:h="16838" w:orient="portrait"/>
          <w:cols w:equalWidth="0" w:num="1">
            <w:col w:w="10060"/>
          </w:cols>
          <w:pgMar w:left="1440" w:top="1440" w:right="3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60"/>
        <w:spacing w:after="0"/>
        <w:rPr>
          <w:sz w:val="20"/>
          <w:szCs w:val="20"/>
          <w:color w:val="auto"/>
        </w:rPr>
      </w:pPr>
      <w:r>
        <w:rPr>
          <w:rFonts w:ascii="Arial" w:cs="Arial" w:eastAsia="Arial" w:hAnsi="Arial"/>
          <w:sz w:val="17"/>
          <w:szCs w:val="17"/>
          <w:color w:val="003366"/>
        </w:rPr>
        <w:t>25</w:t>
      </w:r>
    </w:p>
    <w:p>
      <w:pPr>
        <w:sectPr>
          <w:pgSz w:w="11900" w:h="16838" w:orient="portrait"/>
          <w:cols w:equalWidth="0" w:num="1">
            <w:col w:w="10060"/>
          </w:cols>
          <w:pgMar w:left="1440" w:top="1440" w:right="3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60"/>
        <w:spacing w:after="0"/>
        <w:rPr>
          <w:sz w:val="20"/>
          <w:szCs w:val="20"/>
          <w:color w:val="auto"/>
        </w:rPr>
      </w:pPr>
      <w:r>
        <w:rPr>
          <w:rFonts w:ascii="Arial" w:cs="Arial" w:eastAsia="Arial" w:hAnsi="Arial"/>
          <w:sz w:val="17"/>
          <w:szCs w:val="17"/>
          <w:color w:val="003366"/>
        </w:rPr>
        <w:t>26</w:t>
      </w:r>
    </w:p>
    <w:p>
      <w:pPr>
        <w:sectPr>
          <w:pgSz w:w="11900" w:h="16838" w:orient="portrait"/>
          <w:cols w:equalWidth="0" w:num="1">
            <w:col w:w="10060"/>
          </w:cols>
          <w:pgMar w:left="1440" w:top="1440" w:right="3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60"/>
        <w:spacing w:after="0"/>
        <w:rPr>
          <w:sz w:val="20"/>
          <w:szCs w:val="20"/>
          <w:color w:val="auto"/>
        </w:rPr>
      </w:pPr>
      <w:r>
        <w:rPr>
          <w:rFonts w:ascii="Arial" w:cs="Arial" w:eastAsia="Arial" w:hAnsi="Arial"/>
          <w:sz w:val="17"/>
          <w:szCs w:val="17"/>
          <w:color w:val="003366"/>
        </w:rPr>
        <w:t>27</w:t>
      </w:r>
    </w:p>
    <w:p>
      <w:pPr>
        <w:sectPr>
          <w:pgSz w:w="11900" w:h="16838" w:orient="portrait"/>
          <w:cols w:equalWidth="0" w:num="1">
            <w:col w:w="10060"/>
          </w:cols>
          <w:pgMar w:left="1440" w:top="1440" w:right="39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860"/>
        <w:spacing w:after="0"/>
        <w:rPr>
          <w:sz w:val="20"/>
          <w:szCs w:val="20"/>
          <w:color w:val="auto"/>
        </w:rPr>
      </w:pPr>
      <w:r>
        <w:rPr>
          <w:rFonts w:ascii="Arial" w:cs="Arial" w:eastAsia="Arial" w:hAnsi="Arial"/>
          <w:sz w:val="17"/>
          <w:szCs w:val="17"/>
          <w:color w:val="003366"/>
        </w:rPr>
        <w:t>28</w:t>
      </w:r>
    </w:p>
    <w:p>
      <w:pPr>
        <w:sectPr>
          <w:pgSz w:w="11900" w:h="16838" w:orient="portrait"/>
          <w:cols w:equalWidth="0" w:num="1">
            <w:col w:w="10060"/>
          </w:cols>
          <w:pgMar w:left="1440" w:top="1440" w:right="399" w:bottom="1440" w:gutter="0" w:footer="0" w:header="0"/>
        </w:sectPr>
      </w:pPr>
    </w:p>
    <w:bookmarkStart w:id="31" w:name="page32"/>
    <w:bookmarkEnd w:id="31"/>
    <w:p>
      <w:pPr>
        <w:ind w:left="59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Obesity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hanging="419"/>
        <w:spacing w:after="0"/>
        <w:tabs>
          <w:tab w:leader="none" w:pos="420" w:val="left"/>
        </w:tabs>
        <w:numPr>
          <w:ilvl w:val="0"/>
          <w:numId w:val="9"/>
        </w:numPr>
        <w:rPr>
          <w:rFonts w:ascii="Arial" w:cs="Arial" w:eastAsia="Arial" w:hAnsi="Arial"/>
          <w:sz w:val="38"/>
          <w:szCs w:val="38"/>
          <w:color w:val="E75518"/>
        </w:rPr>
      </w:pPr>
      <w:r>
        <w:rPr>
          <w:rFonts w:ascii="Arial" w:cs="Arial" w:eastAsia="Arial" w:hAnsi="Arial"/>
          <w:sz w:val="38"/>
          <w:szCs w:val="38"/>
          <w:color w:val="FFFFFF"/>
        </w:rPr>
        <w:t>135 million adults are affected by obesity</w:t>
      </w:r>
    </w:p>
    <w:p>
      <w:pPr>
        <w:spacing w:after="0" w:line="103" w:lineRule="exact"/>
        <w:rPr>
          <w:rFonts w:ascii="Arial" w:cs="Arial" w:eastAsia="Arial" w:hAnsi="Arial"/>
          <w:sz w:val="38"/>
          <w:szCs w:val="38"/>
          <w:color w:val="E75518"/>
        </w:rPr>
      </w:pPr>
    </w:p>
    <w:p>
      <w:pPr>
        <w:ind w:left="420" w:right="1780" w:hanging="419"/>
        <w:spacing w:after="0" w:line="260" w:lineRule="auto"/>
        <w:tabs>
          <w:tab w:leader="none" w:pos="420" w:val="left"/>
        </w:tabs>
        <w:numPr>
          <w:ilvl w:val="0"/>
          <w:numId w:val="9"/>
        </w:numPr>
        <w:rPr>
          <w:rFonts w:ascii="Arial" w:cs="Arial" w:eastAsia="Arial" w:hAnsi="Arial"/>
          <w:sz w:val="38"/>
          <w:szCs w:val="38"/>
          <w:color w:val="E75518"/>
        </w:rPr>
      </w:pPr>
      <w:r>
        <w:rPr>
          <w:rFonts w:ascii="Arial" w:cs="Arial" w:eastAsia="Arial" w:hAnsi="Arial"/>
          <w:sz w:val="38"/>
          <w:szCs w:val="38"/>
          <w:color w:val="FFFFFF"/>
        </w:rPr>
        <w:t>Many countries more than half the adult population is overweight and 30% defined as clinically obese</w:t>
      </w:r>
    </w:p>
    <w:p>
      <w:pPr>
        <w:spacing w:after="0" w:line="52" w:lineRule="exact"/>
        <w:rPr>
          <w:rFonts w:ascii="Arial" w:cs="Arial" w:eastAsia="Arial" w:hAnsi="Arial"/>
          <w:sz w:val="38"/>
          <w:szCs w:val="38"/>
          <w:color w:val="E75518"/>
        </w:rPr>
      </w:pPr>
    </w:p>
    <w:p>
      <w:pPr>
        <w:ind w:left="420" w:right="1780" w:hanging="419"/>
        <w:spacing w:after="0" w:line="253" w:lineRule="auto"/>
        <w:tabs>
          <w:tab w:leader="none" w:pos="420" w:val="left"/>
        </w:tabs>
        <w:numPr>
          <w:ilvl w:val="0"/>
          <w:numId w:val="9"/>
        </w:numPr>
        <w:rPr>
          <w:rFonts w:ascii="Arial" w:cs="Arial" w:eastAsia="Arial" w:hAnsi="Arial"/>
          <w:sz w:val="38"/>
          <w:szCs w:val="38"/>
          <w:color w:val="E75518"/>
        </w:rPr>
      </w:pPr>
      <w:r>
        <w:rPr>
          <w:rFonts w:ascii="Arial" w:cs="Arial" w:eastAsia="Arial" w:hAnsi="Arial"/>
          <w:sz w:val="38"/>
          <w:szCs w:val="38"/>
          <w:color w:val="FFFFFF"/>
        </w:rPr>
        <w:t>In most European countries 1 in 4 children are obese which is over 80 million children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29</w:t>
      </w:r>
    </w:p>
    <w:p>
      <w:pPr>
        <w:sectPr>
          <w:pgSz w:w="11900" w:h="16838" w:orient="portrait"/>
          <w:cols w:equalWidth="0" w:num="1">
            <w:col w:w="11020"/>
          </w:cols>
          <w:pgMar w:left="480" w:top="850" w:right="399" w:bottom="1440" w:gutter="0" w:footer="0" w:header="0"/>
        </w:sectPr>
      </w:pPr>
    </w:p>
    <w:bookmarkStart w:id="32" w:name="page33"/>
    <w:bookmarkEnd w:id="32"/>
    <w:p>
      <w:pPr>
        <w:ind w:left="54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XL Loyalty Program Rewards</w:t>
      </w:r>
    </w:p>
    <w:p>
      <w:pPr>
        <w:spacing w:after="0" w:line="191" w:lineRule="exact"/>
        <w:rPr>
          <w:sz w:val="20"/>
          <w:szCs w:val="20"/>
          <w:color w:val="auto"/>
        </w:rPr>
      </w:pPr>
    </w:p>
    <w:p>
      <w:pPr>
        <w:spacing w:after="0"/>
        <w:rPr>
          <w:sz w:val="20"/>
          <w:szCs w:val="20"/>
          <w:color w:val="auto"/>
        </w:rPr>
      </w:pPr>
      <w:r>
        <w:rPr>
          <w:rFonts w:ascii="Arial" w:cs="Arial" w:eastAsia="Arial" w:hAnsi="Arial"/>
          <w:sz w:val="38"/>
          <w:szCs w:val="38"/>
          <w:color w:val="FFFFFF"/>
        </w:rPr>
        <w:t>Current Program Performance:</w:t>
      </w:r>
    </w:p>
    <w:p>
      <w:pPr>
        <w:spacing w:after="0" w:line="104" w:lineRule="exact"/>
        <w:rPr>
          <w:sz w:val="20"/>
          <w:szCs w:val="20"/>
          <w:color w:val="auto"/>
        </w:rPr>
      </w:pPr>
    </w:p>
    <w:p>
      <w:pPr>
        <w:ind w:left="420" w:hanging="419"/>
        <w:spacing w:after="0"/>
        <w:tabs>
          <w:tab w:leader="none" w:pos="420" w:val="left"/>
        </w:tabs>
        <w:numPr>
          <w:ilvl w:val="0"/>
          <w:numId w:val="10"/>
        </w:numPr>
        <w:rPr>
          <w:rFonts w:ascii="Arial" w:cs="Arial" w:eastAsia="Arial" w:hAnsi="Arial"/>
          <w:sz w:val="38"/>
          <w:szCs w:val="38"/>
          <w:color w:val="E75518"/>
        </w:rPr>
      </w:pPr>
      <w:r>
        <w:rPr>
          <w:rFonts w:ascii="Arial" w:cs="Arial" w:eastAsia="Arial" w:hAnsi="Arial"/>
          <w:sz w:val="38"/>
          <w:szCs w:val="38"/>
          <w:color w:val="FFFFFF"/>
        </w:rPr>
        <w:t>2.2MM customers have been enrolled to date</w:t>
      </w:r>
    </w:p>
    <w:p>
      <w:pPr>
        <w:spacing w:after="0" w:line="103" w:lineRule="exact"/>
        <w:rPr>
          <w:rFonts w:ascii="Arial" w:cs="Arial" w:eastAsia="Arial" w:hAnsi="Arial"/>
          <w:sz w:val="38"/>
          <w:szCs w:val="38"/>
          <w:color w:val="E75518"/>
        </w:rPr>
      </w:pPr>
    </w:p>
    <w:p>
      <w:pPr>
        <w:ind w:left="420" w:right="2460" w:hanging="419"/>
        <w:spacing w:after="0" w:line="260" w:lineRule="auto"/>
        <w:tabs>
          <w:tab w:leader="none" w:pos="420" w:val="left"/>
        </w:tabs>
        <w:numPr>
          <w:ilvl w:val="0"/>
          <w:numId w:val="10"/>
        </w:numPr>
        <w:rPr>
          <w:rFonts w:ascii="Arial" w:cs="Arial" w:eastAsia="Arial" w:hAnsi="Arial"/>
          <w:sz w:val="38"/>
          <w:szCs w:val="38"/>
          <w:color w:val="E75518"/>
        </w:rPr>
      </w:pPr>
      <w:r>
        <w:rPr>
          <w:rFonts w:ascii="Arial" w:cs="Arial" w:eastAsia="Arial" w:hAnsi="Arial"/>
          <w:sz w:val="38"/>
          <w:szCs w:val="38"/>
          <w:color w:val="FFFFFF"/>
        </w:rPr>
        <w:t>Of the 1.43MM retail customers, 1.18 or 83% are enrolled</w:t>
      </w:r>
    </w:p>
    <w:p>
      <w:pPr>
        <w:spacing w:after="0" w:line="52" w:lineRule="exact"/>
        <w:rPr>
          <w:rFonts w:ascii="Arial" w:cs="Arial" w:eastAsia="Arial" w:hAnsi="Arial"/>
          <w:sz w:val="38"/>
          <w:szCs w:val="38"/>
          <w:color w:val="E75518"/>
        </w:rPr>
      </w:pPr>
    </w:p>
    <w:p>
      <w:pPr>
        <w:ind w:left="420" w:right="2260" w:hanging="419"/>
        <w:spacing w:after="0" w:line="253" w:lineRule="auto"/>
        <w:tabs>
          <w:tab w:leader="none" w:pos="420" w:val="left"/>
        </w:tabs>
        <w:numPr>
          <w:ilvl w:val="0"/>
          <w:numId w:val="10"/>
        </w:numPr>
        <w:rPr>
          <w:rFonts w:ascii="Arial" w:cs="Arial" w:eastAsia="Arial" w:hAnsi="Arial"/>
          <w:sz w:val="38"/>
          <w:szCs w:val="38"/>
          <w:color w:val="E75518"/>
        </w:rPr>
      </w:pPr>
      <w:r>
        <w:rPr>
          <w:rFonts w:ascii="Arial" w:cs="Arial" w:eastAsia="Arial" w:hAnsi="Arial"/>
          <w:sz w:val="38"/>
          <w:szCs w:val="38"/>
          <w:color w:val="FFFFFF"/>
        </w:rPr>
        <w:t>83% of new customers captured in POS are being enrolled</w:t>
      </w:r>
    </w:p>
    <w:p>
      <w:pPr>
        <w:spacing w:after="0" w:line="66" w:lineRule="exact"/>
        <w:rPr>
          <w:rFonts w:ascii="Arial" w:cs="Arial" w:eastAsia="Arial" w:hAnsi="Arial"/>
          <w:sz w:val="38"/>
          <w:szCs w:val="38"/>
          <w:color w:val="E75518"/>
        </w:rPr>
      </w:pPr>
    </w:p>
    <w:p>
      <w:pPr>
        <w:ind w:left="420" w:hanging="419"/>
        <w:spacing w:after="0"/>
        <w:tabs>
          <w:tab w:leader="none" w:pos="420" w:val="left"/>
        </w:tabs>
        <w:numPr>
          <w:ilvl w:val="0"/>
          <w:numId w:val="10"/>
        </w:numPr>
        <w:rPr>
          <w:rFonts w:ascii="Arial" w:cs="Arial" w:eastAsia="Arial" w:hAnsi="Arial"/>
          <w:sz w:val="38"/>
          <w:szCs w:val="38"/>
          <w:color w:val="E75518"/>
        </w:rPr>
      </w:pPr>
      <w:r>
        <w:rPr>
          <w:rFonts w:ascii="Arial" w:cs="Arial" w:eastAsia="Arial" w:hAnsi="Arial"/>
          <w:sz w:val="38"/>
          <w:szCs w:val="38"/>
          <w:color w:val="FFFFFF"/>
        </w:rPr>
        <w:t>88% of transactions involved an XL Rewards member</w:t>
      </w:r>
    </w:p>
    <w:p>
      <w:pPr>
        <w:spacing w:after="0" w:line="103" w:lineRule="exact"/>
        <w:rPr>
          <w:rFonts w:ascii="Arial" w:cs="Arial" w:eastAsia="Arial" w:hAnsi="Arial"/>
          <w:sz w:val="38"/>
          <w:szCs w:val="38"/>
          <w:color w:val="E75518"/>
        </w:rPr>
      </w:pPr>
    </w:p>
    <w:p>
      <w:pPr>
        <w:ind w:left="420" w:right="2160" w:hanging="419"/>
        <w:spacing w:after="0" w:line="253" w:lineRule="auto"/>
        <w:tabs>
          <w:tab w:leader="none" w:pos="420" w:val="left"/>
        </w:tabs>
        <w:numPr>
          <w:ilvl w:val="0"/>
          <w:numId w:val="10"/>
        </w:numPr>
        <w:rPr>
          <w:rFonts w:ascii="Arial" w:cs="Arial" w:eastAsia="Arial" w:hAnsi="Arial"/>
          <w:sz w:val="38"/>
          <w:szCs w:val="38"/>
          <w:color w:val="E75518"/>
        </w:rPr>
      </w:pPr>
      <w:r>
        <w:rPr>
          <w:rFonts w:ascii="Arial" w:cs="Arial" w:eastAsia="Arial" w:hAnsi="Arial"/>
          <w:sz w:val="38"/>
          <w:szCs w:val="38"/>
          <w:color w:val="FFFFFF"/>
        </w:rPr>
        <w:t>Loyalty members average spend per transaction is 17% or $15 higher than non-members</w:t>
      </w:r>
    </w:p>
    <w:p>
      <w:pPr>
        <w:spacing w:after="0" w:line="66" w:lineRule="exact"/>
        <w:rPr>
          <w:rFonts w:ascii="Arial" w:cs="Arial" w:eastAsia="Arial" w:hAnsi="Arial"/>
          <w:sz w:val="38"/>
          <w:szCs w:val="38"/>
          <w:color w:val="E75518"/>
        </w:rPr>
      </w:pPr>
    </w:p>
    <w:p>
      <w:pPr>
        <w:ind w:left="420" w:right="1500" w:hanging="419"/>
        <w:spacing w:after="0" w:line="273" w:lineRule="auto"/>
        <w:tabs>
          <w:tab w:leader="none" w:pos="420" w:val="left"/>
        </w:tabs>
        <w:numPr>
          <w:ilvl w:val="0"/>
          <w:numId w:val="10"/>
        </w:numPr>
        <w:rPr>
          <w:rFonts w:ascii="Arial" w:cs="Arial" w:eastAsia="Arial" w:hAnsi="Arial"/>
          <w:sz w:val="37"/>
          <w:szCs w:val="37"/>
          <w:color w:val="E75518"/>
        </w:rPr>
      </w:pPr>
      <w:r>
        <w:rPr>
          <w:rFonts w:ascii="Arial" w:cs="Arial" w:eastAsia="Arial" w:hAnsi="Arial"/>
          <w:sz w:val="37"/>
          <w:szCs w:val="37"/>
          <w:color w:val="FFFFFF"/>
        </w:rPr>
        <w:t>March 2009 Launched Prestige XL rewards for highest spending customers, spend over $1,000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30</w:t>
      </w:r>
    </w:p>
    <w:p>
      <w:pPr>
        <w:sectPr>
          <w:pgSz w:w="11900" w:h="16838" w:orient="portrait"/>
          <w:cols w:equalWidth="0" w:num="1">
            <w:col w:w="11020"/>
          </w:cols>
          <w:pgMar w:left="480" w:top="891" w:right="399" w:bottom="1440" w:gutter="0" w:footer="0" w:header="0"/>
        </w:sectPr>
      </w:pPr>
    </w:p>
    <w:bookmarkStart w:id="33" w:name="page34"/>
    <w:bookmarkEnd w:id="33"/>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Forward Looking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4"/>
          <w:szCs w:val="24"/>
          <w:color w:val="FFFFFF"/>
        </w:rPr>
        <w:t>This presentation contains certain forward-looking statements concerning the</w:t>
      </w:r>
    </w:p>
    <w:p>
      <w:pPr>
        <w:ind w:left="60" w:right="1180"/>
        <w:spacing w:after="0" w:line="199" w:lineRule="auto"/>
        <w:rPr>
          <w:sz w:val="20"/>
          <w:szCs w:val="20"/>
          <w:color w:val="auto"/>
        </w:rPr>
      </w:pPr>
      <w:r>
        <w:rPr>
          <w:rFonts w:ascii="Arial" w:cs="Arial" w:eastAsia="Arial" w:hAnsi="Arial"/>
          <w:sz w:val="24"/>
          <w:szCs w:val="24"/>
          <w:color w:val="FFFFFF"/>
        </w:rPr>
        <w:t>Company's operations, performance, and financial condition. Such forward-looking statements are subject to various risks and uncertainties that could cause actual results</w:t>
      </w:r>
    </w:p>
    <w:p>
      <w:pPr>
        <w:spacing w:after="0" w:line="1" w:lineRule="exact"/>
        <w:rPr>
          <w:sz w:val="20"/>
          <w:szCs w:val="20"/>
          <w:color w:val="auto"/>
        </w:rPr>
      </w:pPr>
    </w:p>
    <w:p>
      <w:pPr>
        <w:ind w:left="60" w:right="1580"/>
        <w:spacing w:after="0" w:line="213" w:lineRule="auto"/>
        <w:rPr>
          <w:sz w:val="20"/>
          <w:szCs w:val="20"/>
          <w:color w:val="auto"/>
        </w:rPr>
      </w:pPr>
      <w:r>
        <w:rPr>
          <w:rFonts w:ascii="Arial" w:cs="Arial" w:eastAsia="Arial" w:hAnsi="Arial"/>
          <w:sz w:val="22"/>
          <w:szCs w:val="22"/>
          <w:color w:val="FFFFFF"/>
        </w:rPr>
        <w:t>to differ materially from those indicated. Such risks and uncertainties may include, but are not limited to: the failure to implement the Company's business plan for increased profitability and growth in the Company's retail stores sales and direct-to-consumer segments, the failure of management to develop the Company’s new direct to consumer businesses, the failure of changes in management to achieve improvement in the Company's competitive position, adverse changes in costs vital to catalog operations,</w:t>
      </w:r>
    </w:p>
    <w:p>
      <w:pPr>
        <w:spacing w:after="0" w:line="5" w:lineRule="exact"/>
        <w:rPr>
          <w:sz w:val="20"/>
          <w:szCs w:val="20"/>
          <w:color w:val="auto"/>
        </w:rPr>
      </w:pPr>
    </w:p>
    <w:p>
      <w:pPr>
        <w:ind w:left="60" w:right="1540"/>
        <w:spacing w:after="0" w:line="213" w:lineRule="auto"/>
        <w:rPr>
          <w:sz w:val="20"/>
          <w:szCs w:val="20"/>
          <w:color w:val="auto"/>
        </w:rPr>
      </w:pPr>
      <w:r>
        <w:rPr>
          <w:rFonts w:ascii="Arial" w:cs="Arial" w:eastAsia="Arial" w:hAnsi="Arial"/>
          <w:sz w:val="22"/>
          <w:szCs w:val="22"/>
          <w:color w:val="FFFFFF"/>
        </w:rPr>
        <w:t>such as postage, paper and acquisition of prospects, declining response rates to catalog offerings, failure to maintain efficient and uninterrupted order-taking and fulfillment in our direct-to-consumer business, changes in or miscalculation of fashion trends, extreme or unseasonable weather conditions, economic downturns, escalation of energy costs, a weakness in overall consumer demand, increases in wage rates, the ability to hire and train associates, trade and security restrictions and political or financial</w:t>
      </w:r>
    </w:p>
    <w:p>
      <w:pPr>
        <w:spacing w:after="0" w:line="5" w:lineRule="exact"/>
        <w:rPr>
          <w:sz w:val="20"/>
          <w:szCs w:val="20"/>
          <w:color w:val="auto"/>
        </w:rPr>
      </w:pPr>
    </w:p>
    <w:p>
      <w:pPr>
        <w:ind w:left="60" w:right="860"/>
        <w:spacing w:after="0" w:line="194" w:lineRule="auto"/>
        <w:rPr>
          <w:sz w:val="20"/>
          <w:szCs w:val="20"/>
          <w:color w:val="auto"/>
        </w:rPr>
      </w:pPr>
      <w:r>
        <w:rPr>
          <w:rFonts w:ascii="Arial" w:cs="Arial" w:eastAsia="Arial" w:hAnsi="Arial"/>
          <w:sz w:val="24"/>
          <w:szCs w:val="24"/>
          <w:color w:val="FFFFFF"/>
        </w:rPr>
        <w:t>instability in countries where goods are manufactured, increases in raw material costs from inflation and other factors, the interruption of merchandise flow from the</w:t>
      </w:r>
    </w:p>
    <w:p>
      <w:pPr>
        <w:spacing w:after="0" w:line="1" w:lineRule="exact"/>
        <w:rPr>
          <w:sz w:val="20"/>
          <w:szCs w:val="20"/>
          <w:color w:val="auto"/>
        </w:rPr>
      </w:pPr>
    </w:p>
    <w:p>
      <w:pPr>
        <w:ind w:left="60" w:right="1820"/>
        <w:spacing w:after="0" w:line="214" w:lineRule="auto"/>
        <w:rPr>
          <w:sz w:val="20"/>
          <w:szCs w:val="20"/>
          <w:color w:val="auto"/>
        </w:rPr>
      </w:pPr>
      <w:r>
        <w:rPr>
          <w:rFonts w:ascii="Arial" w:cs="Arial" w:eastAsia="Arial" w:hAnsi="Arial"/>
          <w:sz w:val="22"/>
          <w:szCs w:val="22"/>
          <w:color w:val="FFFFFF"/>
        </w:rPr>
        <w:t>Company's centralized distribution facilities, competitive pressures, and the adverse effects of natural disasters, war, acts of terrorism or threats of either, or other armed conflict, on the United States and international economies. These, and other risks and uncertainties, are detailed in the Company's filings with the Securities and Exchange</w:t>
      </w:r>
    </w:p>
    <w:p>
      <w:pPr>
        <w:ind w:left="60"/>
        <w:spacing w:after="0" w:line="196" w:lineRule="auto"/>
        <w:rPr>
          <w:sz w:val="20"/>
          <w:szCs w:val="20"/>
          <w:color w:val="auto"/>
        </w:rPr>
      </w:pPr>
      <w:r>
        <w:rPr>
          <w:rFonts w:ascii="Arial" w:cs="Arial" w:eastAsia="Arial" w:hAnsi="Arial"/>
          <w:sz w:val="24"/>
          <w:szCs w:val="24"/>
          <w:color w:val="FFFFFF"/>
        </w:rPr>
        <w:t>Commission, including the Company's Annual Report on Form 10-K for the fiscal year</w:t>
      </w:r>
    </w:p>
    <w:p>
      <w:pPr>
        <w:spacing w:after="0" w:line="1" w:lineRule="exact"/>
        <w:rPr>
          <w:sz w:val="20"/>
          <w:szCs w:val="20"/>
          <w:color w:val="auto"/>
        </w:rPr>
      </w:pPr>
    </w:p>
    <w:p>
      <w:pPr>
        <w:ind w:left="60" w:right="980"/>
        <w:spacing w:after="0" w:line="194" w:lineRule="auto"/>
        <w:rPr>
          <w:sz w:val="20"/>
          <w:szCs w:val="20"/>
          <w:color w:val="auto"/>
        </w:rPr>
      </w:pPr>
      <w:r>
        <w:rPr>
          <w:rFonts w:ascii="Arial" w:cs="Arial" w:eastAsia="Arial" w:hAnsi="Arial"/>
          <w:sz w:val="24"/>
          <w:szCs w:val="24"/>
          <w:color w:val="FFFFFF"/>
        </w:rPr>
        <w:t>ended January 31, 2009 filed on March 23, 2009 and other Company filings with the Securities and Exchange Commission. Casual Male assumes no duty to update or revise</w:t>
      </w:r>
    </w:p>
    <w:p>
      <w:pPr>
        <w:spacing w:after="0" w:line="1" w:lineRule="exact"/>
        <w:rPr>
          <w:sz w:val="20"/>
          <w:szCs w:val="20"/>
          <w:color w:val="auto"/>
        </w:rPr>
      </w:pPr>
    </w:p>
    <w:p>
      <w:pPr>
        <w:ind w:left="60" w:right="1880"/>
        <w:spacing w:after="0" w:line="220" w:lineRule="auto"/>
        <w:rPr>
          <w:sz w:val="20"/>
          <w:szCs w:val="20"/>
          <w:color w:val="auto"/>
        </w:rPr>
      </w:pPr>
      <w:r>
        <w:rPr>
          <w:rFonts w:ascii="Arial" w:cs="Arial" w:eastAsia="Arial" w:hAnsi="Arial"/>
          <w:sz w:val="24"/>
          <w:szCs w:val="24"/>
          <w:color w:val="FFFFFF"/>
        </w:rPr>
        <w:t>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31</w:t>
      </w:r>
    </w:p>
    <w:sectPr>
      <w:pgSz w:w="11900" w:h="16838" w:orient="portrait"/>
      <w:cols w:equalWidth="0" w:num="1">
        <w:col w:w="10800"/>
      </w:cols>
      <w:pgMar w:left="700" w:top="76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endash "/>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endash "/>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2019-12-10T07:51:25Z</dcterms:created>
  <dcterms:modified xsi:type="dcterms:W3CDTF">2019-12-10T07:51:25Z</dcterms:modified>
</cp:coreProperties>
</file>