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725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restart"/>
          </w:tcPr>
          <w:p>
            <w:pPr>
              <w:spacing w:after="0" w:line="250" w:lineRule="exact"/>
              <w:rPr>
                <w:rFonts w:ascii="Arial" w:cs="Arial" w:eastAsia="Arial" w:hAnsi="Arial"/>
                <w:sz w:val="22"/>
                <w:szCs w:val="22"/>
                <w:color w:val="0000EE"/>
                <w:w w:val="94"/>
              </w:rPr>
            </w:pPr>
            <w:hyperlink r:id="rId12">
              <w:r>
                <w:rPr>
                  <w:rFonts w:ascii="Arial" w:cs="Arial" w:eastAsia="Arial" w:hAnsi="Arial"/>
                  <w:sz w:val="22"/>
                  <w:szCs w:val="22"/>
                  <w:color w:val="0000EE"/>
                  <w:w w:val="94"/>
                </w:rPr>
                <w:t>HERNREICH DENNIS R</w:t>
              </w:r>
            </w:hyperlink>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tcBorders>
              <w:bottom w:val="single" w:sz="8" w:color="0000EE"/>
            </w:tcBorders>
            <w:gridSpan w:val="3"/>
            <w:vMerge w:val="continue"/>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3"/>
          </w:tcPr>
          <w:p>
            <w:pPr>
              <w:spacing w:after="0"/>
              <w:rPr>
                <w:sz w:val="4"/>
                <w:szCs w:val="4"/>
                <w:color w:val="auto"/>
              </w:rPr>
            </w:pPr>
          </w:p>
        </w:tc>
        <w:tc>
          <w:tcPr>
            <w:tcW w:w="24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6"/>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6"/>
            <w:vMerge w:val="continue"/>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900" w:type="dxa"/>
            <w:vAlign w:val="bottom"/>
            <w:gridSpan w:val="3"/>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20" w:type="dxa"/>
            <w:vAlign w:val="bottom"/>
            <w:gridSpan w:val="6"/>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EVP, COO and CFO</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08/23/2010</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200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line="20" w:lineRule="exact"/>
              <w:rPr>
                <w:sz w:val="1"/>
                <w:szCs w:val="1"/>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2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34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8"/>
          </w:tcPr>
          <w:p>
            <w:pPr>
              <w:jc w:val="center"/>
              <w:ind w:left="7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4"/>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840" w:type="dxa"/>
            <w:vAlign w:val="bottom"/>
            <w:tcBorders>
              <w:bottom w:val="single" w:sz="8" w:color="2C2C2C"/>
            </w:tcBorders>
            <w:gridSpan w:val="4"/>
          </w:tcPr>
          <w:p>
            <w:pPr>
              <w:ind w:left="860"/>
              <w:spacing w:after="0"/>
              <w:rPr>
                <w:sz w:val="20"/>
                <w:szCs w:val="20"/>
                <w:color w:val="auto"/>
              </w:rPr>
            </w:pPr>
            <w:r>
              <w:rPr>
                <w:rFonts w:ascii="Arial" w:cs="Arial" w:eastAsia="Arial" w:hAnsi="Arial"/>
                <w:sz w:val="18"/>
                <w:szCs w:val="18"/>
                <w:color w:val="0000FF"/>
              </w:rPr>
              <w:t>08/23/2010</w:t>
            </w: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47,432</w:t>
            </w:r>
          </w:p>
        </w:tc>
        <w:tc>
          <w:tcPr>
            <w:tcW w:w="70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3.08</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316,847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840" w:type="dxa"/>
            <w:vAlign w:val="bottom"/>
            <w:tcBorders>
              <w:bottom w:val="single" w:sz="8" w:color="2C2C2C"/>
            </w:tcBorders>
            <w:gridSpan w:val="4"/>
          </w:tcPr>
          <w:p>
            <w:pPr>
              <w:ind w:left="860"/>
              <w:spacing w:after="0"/>
              <w:rPr>
                <w:sz w:val="20"/>
                <w:szCs w:val="20"/>
                <w:color w:val="auto"/>
              </w:rPr>
            </w:pPr>
            <w:r>
              <w:rPr>
                <w:rFonts w:ascii="Arial" w:cs="Arial" w:eastAsia="Arial" w:hAnsi="Arial"/>
                <w:sz w:val="18"/>
                <w:szCs w:val="18"/>
                <w:color w:val="0000FF"/>
              </w:rPr>
              <w:t>08/24/2010</w:t>
            </w: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3,268</w:t>
            </w:r>
          </w:p>
        </w:tc>
        <w:tc>
          <w:tcPr>
            <w:tcW w:w="70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center"/>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3</w:t>
            </w:r>
            <w:r>
              <w:rPr>
                <w:rFonts w:ascii="Arial" w:cs="Arial" w:eastAsia="Arial" w:hAnsi="Arial"/>
                <w:sz w:val="11"/>
                <w:szCs w:val="11"/>
                <w:color w:val="008000"/>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320,115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6"/>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0" w:type="dxa"/>
            <w:vAlign w:val="bottom"/>
            <w:gridSpan w:val="14"/>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5"/>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5"/>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6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5"/>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This transaction was executed in multiple trades ranging from $3.05 to $3.10. The Reporting Person hereby undertakes to provide upon request to the SEC, the Issuer of any stockholder of the Issuer, full information regarding the number of shares and prices which the transaction was effected.</w:t>
      </w:r>
    </w:p>
    <w:p>
      <w:pPr>
        <w:ind w:left="40" w:right="58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This transaction was executed in multiple trades ranging from $2.99 to $3.00. The Reporting Person hereby undertakes to provide upon request to the SEC, the Issuer of any stockholder of the Issuer, full information regarding the number of shares and prices which the transaction was effected.</w:t>
      </w:r>
    </w:p>
    <w:tbl>
      <w:tblPr>
        <w:tblLayout w:type="fixed"/>
        <w:tblInd w:w="6860" w:type="dxa"/>
        <w:tblCellMar>
          <w:top w:w="0" w:type="dxa"/>
          <w:left w:w="0" w:type="dxa"/>
          <w:bottom w:w="0" w:type="dxa"/>
          <w:right w:w="0" w:type="dxa"/>
        </w:tblCellMar>
      </w:tblPr>
      <w:tr>
        <w:trPr>
          <w:trHeight w:val="199"/>
        </w:trPr>
        <w:tc>
          <w:tcPr>
            <w:tcW w:w="1460" w:type="dxa"/>
            <w:vAlign w:val="bottom"/>
          </w:tcPr>
          <w:p>
            <w:pPr>
              <w:spacing w:after="0" w:line="199" w:lineRule="exact"/>
              <w:rPr>
                <w:sz w:val="20"/>
                <w:szCs w:val="20"/>
                <w:color w:val="auto"/>
              </w:rPr>
            </w:pPr>
            <w:r>
              <w:rPr>
                <w:rFonts w:ascii="Arial" w:cs="Arial" w:eastAsia="Arial" w:hAnsi="Arial"/>
                <w:sz w:val="18"/>
                <w:szCs w:val="18"/>
                <w:color w:val="0000FF"/>
                <w:w w:val="88"/>
              </w:rPr>
              <w:t>Dennis R. Hernreich</w:t>
            </w:r>
          </w:p>
        </w:tc>
        <w:tc>
          <w:tcPr>
            <w:tcW w:w="66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08/25/2010</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419" w:firstLine="843"/>
        <w:spacing w:after="0" w:line="268" w:lineRule="auto"/>
        <w:rPr>
          <w:sz w:val="20"/>
          <w:szCs w:val="20"/>
          <w:color w:val="auto"/>
        </w:rPr>
      </w:pPr>
      <w:r>
        <w:rPr>
          <w:rFonts w:ascii="Courier New" w:cs="Courier New" w:eastAsia="Courier New" w:hAnsi="Courier New"/>
          <w:sz w:val="16"/>
          <w:szCs w:val="16"/>
          <w:color w:val="auto"/>
        </w:rPr>
        <w:t>This Statement confirms that the undersigned, Dennis R. Hernreich, has authorized and designated David A. Levin and Robert S. Molloy</w:t>
      </w:r>
    </w:p>
    <w:p>
      <w:pPr>
        <w:ind w:right="2519"/>
        <w:spacing w:after="0" w:line="238" w:lineRule="auto"/>
        <w:rPr>
          <w:sz w:val="20"/>
          <w:szCs w:val="20"/>
          <w:color w:val="auto"/>
        </w:rPr>
      </w:pPr>
      <w:r>
        <w:rPr>
          <w:rFonts w:ascii="Courier New" w:cs="Courier New" w:eastAsia="Courier New" w:hAnsi="Courier New"/>
          <w:sz w:val="18"/>
          <w:szCs w:val="18"/>
          <w:color w:val="auto"/>
        </w:rPr>
        <w:t>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Robert S. Molloy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Robert S. Molloy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25, 2010</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DENNIS R. HERNREICH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DENNIS R. HERNREICH</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96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2019-12-16T05:03:36Z</dcterms:created>
  <dcterms:modified xsi:type="dcterms:W3CDTF">2019-12-16T05:03:36Z</dcterms:modified>
</cp:coreProperties>
</file>