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color w:val="auto"/>
        </w:rPr>
        <w:t>As filed with the Securities and Exchange Commission on June 4, 2020</w:t>
      </w:r>
    </w:p>
    <w:p>
      <w:pPr>
        <w:spacing w:after="0" w:line="16" w:lineRule="exact"/>
        <w:rPr>
          <w:sz w:val="24"/>
          <w:szCs w:val="24"/>
          <w:color w:val="auto"/>
        </w:rPr>
      </w:pPr>
    </w:p>
    <w:p>
      <w:pPr>
        <w:ind w:left="8740"/>
        <w:spacing w:after="0"/>
        <w:rPr>
          <w:sz w:val="20"/>
          <w:szCs w:val="20"/>
          <w:color w:val="auto"/>
        </w:rPr>
      </w:pPr>
      <w:r>
        <w:rPr>
          <w:rFonts w:ascii="Arial" w:cs="Arial" w:eastAsia="Arial" w:hAnsi="Arial"/>
          <w:sz w:val="13"/>
          <w:szCs w:val="13"/>
          <w:color w:val="auto"/>
        </w:rPr>
        <w:t>Registration Statement No. 333-______</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ind w:left="5200"/>
        <w:spacing w:after="0"/>
        <w:rPr>
          <w:sz w:val="20"/>
          <w:szCs w:val="20"/>
          <w:color w:val="auto"/>
        </w:rPr>
      </w:pPr>
      <w:r>
        <w:rPr>
          <w:rFonts w:ascii="Arial" w:cs="Arial" w:eastAsia="Arial" w:hAnsi="Arial"/>
          <w:sz w:val="16"/>
          <w:szCs w:val="16"/>
          <w:b w:val="1"/>
          <w:bCs w:val="1"/>
          <w:color w:val="auto"/>
        </w:rPr>
        <w:t>___________</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S-3</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REGISTRATION STATEMENT UNDER THE SECURITIES ACT OF 1933</w:t>
      </w:r>
    </w:p>
    <w:p>
      <w:pPr>
        <w:spacing w:after="0" w:line="5" w:lineRule="exact"/>
        <w:rPr>
          <w:sz w:val="24"/>
          <w:szCs w:val="24"/>
          <w:color w:val="auto"/>
        </w:rPr>
      </w:pPr>
    </w:p>
    <w:p>
      <w:pPr>
        <w:ind w:left="5200"/>
        <w:spacing w:after="0"/>
        <w:rPr>
          <w:sz w:val="20"/>
          <w:szCs w:val="20"/>
          <w:color w:val="auto"/>
        </w:rPr>
      </w:pPr>
      <w:r>
        <w:rPr>
          <w:rFonts w:ascii="Arial" w:cs="Arial" w:eastAsia="Arial" w:hAnsi="Arial"/>
          <w:sz w:val="16"/>
          <w:szCs w:val="16"/>
          <w:b w:val="1"/>
          <w:bCs w:val="1"/>
          <w:color w:val="auto"/>
        </w:rPr>
        <w:t>___________</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DESTINATION XL GROUP,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76" w:lineRule="exact"/>
        <w:rPr>
          <w:sz w:val="24"/>
          <w:szCs w:val="24"/>
          <w:color w:val="auto"/>
        </w:rPr>
      </w:pPr>
    </w:p>
    <w:tbl>
      <w:tblPr>
        <w:tblLayout w:type="fixed"/>
        <w:tblInd w:w="2560" w:type="dxa"/>
        <w:tblCellMar>
          <w:top w:w="0" w:type="dxa"/>
          <w:left w:w="0" w:type="dxa"/>
          <w:bottom w:w="0" w:type="dxa"/>
          <w:right w:w="0" w:type="dxa"/>
        </w:tblCellMar>
      </w:tblPr>
      <w:tr>
        <w:trPr>
          <w:trHeight w:val="193"/>
        </w:trPr>
        <w:tc>
          <w:tcPr>
            <w:tcW w:w="3240" w:type="dxa"/>
            <w:vAlign w:val="bottom"/>
          </w:tcPr>
          <w:p>
            <w:pPr>
              <w:jc w:val="center"/>
              <w:ind w:right="1281"/>
              <w:spacing w:after="0"/>
              <w:rPr>
                <w:sz w:val="20"/>
                <w:szCs w:val="20"/>
                <w:color w:val="auto"/>
              </w:rPr>
            </w:pPr>
            <w:r>
              <w:rPr>
                <w:rFonts w:ascii="Arial" w:cs="Arial" w:eastAsia="Arial" w:hAnsi="Arial"/>
                <w:sz w:val="16"/>
                <w:szCs w:val="16"/>
                <w:b w:val="1"/>
                <w:bCs w:val="1"/>
                <w:color w:val="auto"/>
                <w:w w:val="91"/>
              </w:rPr>
              <w:t>Delaware</w:t>
            </w:r>
          </w:p>
        </w:tc>
        <w:tc>
          <w:tcPr>
            <w:tcW w:w="2540" w:type="dxa"/>
            <w:vAlign w:val="bottom"/>
          </w:tcPr>
          <w:p>
            <w:pPr>
              <w:jc w:val="center"/>
              <w:ind w:left="1301"/>
              <w:spacing w:after="0" w:line="184" w:lineRule="exact"/>
              <w:rPr>
                <w:sz w:val="20"/>
                <w:szCs w:val="20"/>
                <w:color w:val="auto"/>
              </w:rPr>
            </w:pPr>
            <w:r>
              <w:rPr>
                <w:rFonts w:ascii="Arial" w:cs="Arial" w:eastAsia="Arial" w:hAnsi="Arial"/>
                <w:sz w:val="16"/>
                <w:szCs w:val="16"/>
                <w:b w:val="1"/>
                <w:bCs w:val="1"/>
                <w:color w:val="auto"/>
                <w:w w:val="89"/>
              </w:rPr>
              <w:t>04</w:t>
            </w:r>
            <w:r>
              <w:rPr>
                <w:rFonts w:ascii="MS PGothic" w:cs="MS PGothic" w:eastAsia="MS PGothic" w:hAnsi="MS PGothic"/>
                <w:sz w:val="16"/>
                <w:szCs w:val="16"/>
                <w:b w:val="1"/>
                <w:bCs w:val="1"/>
                <w:color w:val="auto"/>
                <w:w w:val="89"/>
              </w:rPr>
              <w:t>‑</w:t>
            </w:r>
            <w:r>
              <w:rPr>
                <w:rFonts w:ascii="Arial" w:cs="Arial" w:eastAsia="Arial" w:hAnsi="Arial"/>
                <w:sz w:val="16"/>
                <w:szCs w:val="16"/>
                <w:b w:val="1"/>
                <w:bCs w:val="1"/>
                <w:color w:val="auto"/>
                <w:w w:val="89"/>
              </w:rPr>
              <w:t>2623104</w:t>
            </w:r>
          </w:p>
        </w:tc>
      </w:tr>
      <w:tr>
        <w:trPr>
          <w:trHeight w:val="189"/>
        </w:trPr>
        <w:tc>
          <w:tcPr>
            <w:tcW w:w="3240" w:type="dxa"/>
            <w:vAlign w:val="bottom"/>
          </w:tcPr>
          <w:p>
            <w:pPr>
              <w:jc w:val="center"/>
              <w:ind w:right="1281"/>
              <w:spacing w:after="0"/>
              <w:rPr>
                <w:sz w:val="20"/>
                <w:szCs w:val="20"/>
                <w:color w:val="auto"/>
              </w:rPr>
            </w:pPr>
            <w:r>
              <w:rPr>
                <w:rFonts w:ascii="Arial" w:cs="Arial" w:eastAsia="Arial" w:hAnsi="Arial"/>
                <w:sz w:val="16"/>
                <w:szCs w:val="16"/>
                <w:color w:val="auto"/>
                <w:w w:val="91"/>
              </w:rPr>
              <w:t>(State or other jurisdiction of</w:t>
            </w:r>
          </w:p>
        </w:tc>
        <w:tc>
          <w:tcPr>
            <w:tcW w:w="2540" w:type="dxa"/>
            <w:vAlign w:val="bottom"/>
          </w:tcPr>
          <w:p>
            <w:pPr>
              <w:jc w:val="center"/>
              <w:ind w:left="1281"/>
              <w:spacing w:after="0"/>
              <w:rPr>
                <w:sz w:val="20"/>
                <w:szCs w:val="20"/>
                <w:color w:val="auto"/>
              </w:rPr>
            </w:pPr>
            <w:r>
              <w:rPr>
                <w:rFonts w:ascii="Arial" w:cs="Arial" w:eastAsia="Arial" w:hAnsi="Arial"/>
                <w:sz w:val="16"/>
                <w:szCs w:val="16"/>
                <w:color w:val="auto"/>
                <w:w w:val="90"/>
              </w:rPr>
              <w:t>(I.R.S. Employer</w:t>
            </w:r>
          </w:p>
        </w:tc>
      </w:tr>
      <w:tr>
        <w:trPr>
          <w:trHeight w:val="200"/>
        </w:trPr>
        <w:tc>
          <w:tcPr>
            <w:tcW w:w="3240" w:type="dxa"/>
            <w:vAlign w:val="bottom"/>
          </w:tcPr>
          <w:p>
            <w:pPr>
              <w:jc w:val="center"/>
              <w:ind w:right="1281"/>
              <w:spacing w:after="0"/>
              <w:rPr>
                <w:sz w:val="20"/>
                <w:szCs w:val="20"/>
                <w:color w:val="auto"/>
              </w:rPr>
            </w:pPr>
            <w:r>
              <w:rPr>
                <w:rFonts w:ascii="Arial" w:cs="Arial" w:eastAsia="Arial" w:hAnsi="Arial"/>
                <w:sz w:val="16"/>
                <w:szCs w:val="16"/>
                <w:color w:val="auto"/>
                <w:w w:val="90"/>
              </w:rPr>
              <w:t>incorporation or organization)</w:t>
            </w:r>
          </w:p>
        </w:tc>
        <w:tc>
          <w:tcPr>
            <w:tcW w:w="2540" w:type="dxa"/>
            <w:vAlign w:val="bottom"/>
          </w:tcPr>
          <w:p>
            <w:pPr>
              <w:jc w:val="center"/>
              <w:ind w:left="1281"/>
              <w:spacing w:after="0"/>
              <w:rPr>
                <w:sz w:val="20"/>
                <w:szCs w:val="20"/>
                <w:color w:val="auto"/>
              </w:rPr>
            </w:pPr>
            <w:r>
              <w:rPr>
                <w:rFonts w:ascii="Arial" w:cs="Arial" w:eastAsia="Arial" w:hAnsi="Arial"/>
                <w:sz w:val="16"/>
                <w:szCs w:val="16"/>
                <w:color w:val="auto"/>
                <w:w w:val="94"/>
              </w:rPr>
              <w:t>Identification No.)</w:t>
            </w:r>
          </w:p>
        </w:tc>
      </w:tr>
    </w:tbl>
    <w:p>
      <w:pPr>
        <w:jc w:val="center"/>
        <w:spacing w:after="0"/>
        <w:rPr>
          <w:sz w:val="20"/>
          <w:szCs w:val="20"/>
          <w:color w:val="auto"/>
        </w:rPr>
      </w:pPr>
      <w:r>
        <w:rPr>
          <w:rFonts w:ascii="Arial" w:cs="Arial" w:eastAsia="Arial" w:hAnsi="Arial"/>
          <w:sz w:val="16"/>
          <w:szCs w:val="16"/>
          <w:b w:val="1"/>
          <w:bCs w:val="1"/>
          <w:color w:val="auto"/>
        </w:rPr>
        <w:t>555 Turnpike Street</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Canton, Massachusetts 02021</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(781) 828-9300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including zip code, and telephone number, including</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area code, of registrant's principal executive offices)</w:t>
      </w:r>
    </w:p>
    <w:p>
      <w:pPr>
        <w:spacing w:after="0" w:line="5" w:lineRule="exact"/>
        <w:rPr>
          <w:sz w:val="24"/>
          <w:szCs w:val="24"/>
          <w:color w:val="auto"/>
        </w:rPr>
      </w:pPr>
    </w:p>
    <w:p>
      <w:pPr>
        <w:ind w:left="5200"/>
        <w:spacing w:after="0"/>
        <w:rPr>
          <w:sz w:val="20"/>
          <w:szCs w:val="20"/>
          <w:color w:val="auto"/>
        </w:rPr>
      </w:pPr>
      <w:r>
        <w:rPr>
          <w:rFonts w:ascii="Arial" w:cs="Arial" w:eastAsia="Arial" w:hAnsi="Arial"/>
          <w:sz w:val="16"/>
          <w:szCs w:val="16"/>
          <w:color w:val="auto"/>
        </w:rPr>
        <w:t>___________</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Peter H. Stratton, Jr.</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Chief Financial Officer</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Destination XL Group, Inc.</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555 Turnpike Street</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Canton, Massachusetts 02021</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(781) 828-9300</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address, including zip code, and telephone number, including area code, of agent for service)</w:t>
      </w:r>
    </w:p>
    <w:p>
      <w:pPr>
        <w:spacing w:after="0" w:line="16" w:lineRule="exact"/>
        <w:rPr>
          <w:sz w:val="24"/>
          <w:szCs w:val="24"/>
          <w:color w:val="auto"/>
        </w:rPr>
      </w:pPr>
    </w:p>
    <w:p>
      <w:pPr>
        <w:ind w:left="5200"/>
        <w:spacing w:after="0"/>
        <w:rPr>
          <w:sz w:val="20"/>
          <w:szCs w:val="20"/>
          <w:color w:val="auto"/>
        </w:rPr>
      </w:pPr>
      <w:r>
        <w:rPr>
          <w:rFonts w:ascii="Arial" w:cs="Arial" w:eastAsia="Arial" w:hAnsi="Arial"/>
          <w:sz w:val="16"/>
          <w:szCs w:val="16"/>
          <w:color w:val="auto"/>
        </w:rPr>
        <w:t>___________</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Copies to:</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Elizabeth W. Fraser, Esq.</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Greenberg Traurig, LLP</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One International Place</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Boston, Massachusetts 02110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Telephone: (617) 310-6237</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Facsimile: (617) 279-8427</w:t>
      </w:r>
    </w:p>
    <w:p>
      <w:pPr>
        <w:spacing w:after="0" w:line="183"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 xml:space="preserve">Approximate date of commencement of proposed sale to public: </w:t>
      </w:r>
      <w:r>
        <w:rPr>
          <w:rFonts w:ascii="Arial" w:cs="Arial" w:eastAsia="Arial" w:hAnsi="Arial"/>
          <w:sz w:val="16"/>
          <w:szCs w:val="16"/>
          <w:color w:val="auto"/>
        </w:rPr>
        <w:t>From time to time after this Registration Statement becomes effective.</w:t>
      </w:r>
    </w:p>
    <w:p>
      <w:pPr>
        <w:spacing w:after="0" w:line="16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22" w:lineRule="exact"/>
        <w:rPr>
          <w:sz w:val="24"/>
          <w:szCs w:val="24"/>
          <w:color w:val="auto"/>
        </w:rPr>
      </w:pPr>
    </w:p>
    <w:p>
      <w:pPr>
        <w:ind w:right="20"/>
        <w:spacing w:after="0" w:line="20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61" w:lineRule="exact"/>
        <w:rPr>
          <w:sz w:val="24"/>
          <w:szCs w:val="24"/>
          <w:color w:val="auto"/>
        </w:rPr>
      </w:pPr>
    </w:p>
    <w:p>
      <w:pPr>
        <w:ind w:right="20"/>
        <w:spacing w:after="0" w:line="20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61" w:lineRule="exact"/>
        <w:rPr>
          <w:sz w:val="24"/>
          <w:szCs w:val="24"/>
          <w:color w:val="auto"/>
        </w:rPr>
      </w:pPr>
    </w:p>
    <w:p>
      <w:pPr>
        <w:ind w:right="20"/>
        <w:spacing w:after="0" w:line="204"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61" w:lineRule="exact"/>
        <w:rPr>
          <w:sz w:val="24"/>
          <w:szCs w:val="24"/>
          <w:color w:val="auto"/>
        </w:rPr>
      </w:pPr>
    </w:p>
    <w:p>
      <w:pPr>
        <w:spacing w:after="0" w:line="204" w:lineRule="exact"/>
        <w:rPr>
          <w:sz w:val="20"/>
          <w:szCs w:val="20"/>
          <w:color w:val="auto"/>
        </w:rPr>
      </w:pPr>
      <w:r>
        <w:rPr>
          <w:rFonts w:ascii="Arial" w:cs="Arial" w:eastAsia="Arial" w:hAnsi="Arial"/>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290195</wp:posOffset>
            </wp:positionV>
            <wp:extent cx="716470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410" w:right="319" w:bottom="1440" w:gutter="0" w:footer="0" w:header="0"/>
        </w:sectPr>
      </w:pPr>
    </w:p>
    <w:bookmarkStart w:id="1" w:name="page2"/>
    <w:bookmarkEnd w:id="1"/>
    <w:p>
      <w:pPr>
        <w:ind w:left="5" w:right="20"/>
        <w:spacing w:after="0" w:line="204" w:lineRule="exact"/>
        <w:rPr>
          <w:sz w:val="20"/>
          <w:szCs w:val="20"/>
          <w:color w:val="auto"/>
        </w:rPr>
      </w:pPr>
      <w:r>
        <w:rPr>
          <w:rFonts w:ascii="Arial" w:cs="Arial" w:eastAsia="Arial" w:hAnsi="Arial"/>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184" w:lineRule="exact"/>
        <w:rPr>
          <w:sz w:val="20"/>
          <w:szCs w:val="20"/>
          <w:color w:val="auto"/>
        </w:rPr>
      </w:pPr>
    </w:p>
    <w:p>
      <w:pPr>
        <w:ind w:left="5" w:right="20"/>
        <w:spacing w:after="0" w:line="38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0"/>
          <w:szCs w:val="20"/>
          <w:color w:val="auto"/>
        </w:rPr>
      </w:pPr>
    </w:p>
    <w:p>
      <w:pPr>
        <w:ind w:left="5"/>
        <w:spacing w:after="0" w:line="184" w:lineRule="exact"/>
        <w:tabs>
          <w:tab w:leader="none" w:pos="2145"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46" w:lineRule="exact"/>
        <w:rPr>
          <w:sz w:val="20"/>
          <w:szCs w:val="20"/>
          <w:color w:val="auto"/>
        </w:rPr>
      </w:pPr>
    </w:p>
    <w:p>
      <w:pPr>
        <w:ind w:left="5"/>
        <w:spacing w:after="0" w:line="184" w:lineRule="exact"/>
        <w:tabs>
          <w:tab w:leader="none" w:pos="1425" w:val="left"/>
          <w:tab w:leader="none" w:pos="2185" w:val="left"/>
        </w:tabs>
        <w:rPr>
          <w:sz w:val="20"/>
          <w:szCs w:val="20"/>
          <w:color w:val="auto"/>
        </w:rPr>
      </w:pP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ind w:left="1325"/>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91" w:lineRule="exact"/>
        <w:rPr>
          <w:sz w:val="20"/>
          <w:szCs w:val="20"/>
          <w:color w:val="auto"/>
        </w:rPr>
      </w:pPr>
    </w:p>
    <w:p>
      <w:pPr>
        <w:ind w:left="5" w:right="320"/>
        <w:spacing w:after="0" w:line="20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6"/>
          <w:szCs w:val="16"/>
          <w:color w:val="auto"/>
        </w:rPr>
        <w:t>☐</w:t>
      </w:r>
    </w:p>
    <w:p>
      <w:pPr>
        <w:spacing w:after="0" w:line="157" w:lineRule="exact"/>
        <w:rPr>
          <w:sz w:val="20"/>
          <w:szCs w:val="20"/>
          <w:color w:val="auto"/>
        </w:rPr>
      </w:pPr>
    </w:p>
    <w:p>
      <w:pPr>
        <w:jc w:val="center"/>
        <w:ind w:right="15"/>
        <w:spacing w:after="0"/>
        <w:rPr>
          <w:sz w:val="20"/>
          <w:szCs w:val="20"/>
          <w:color w:val="auto"/>
        </w:rPr>
      </w:pPr>
      <w:r>
        <w:rPr>
          <w:rFonts w:ascii="Arial" w:cs="Arial" w:eastAsia="Arial" w:hAnsi="Arial"/>
          <w:sz w:val="16"/>
          <w:szCs w:val="16"/>
          <w:b w:val="1"/>
          <w:bCs w:val="1"/>
          <w:color w:val="auto"/>
        </w:rPr>
        <w:t>CALCULATION OF REGISTRATION FEE</w:t>
      </w:r>
    </w:p>
    <w:p>
      <w:pPr>
        <w:sectPr>
          <w:pgSz w:w="11900" w:h="16838" w:orient="portrait"/>
          <w:cols w:equalWidth="0" w:num="1">
            <w:col w:w="11265"/>
          </w:cols>
          <w:pgMar w:left="315" w:top="52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425"/>
        <w:spacing w:after="0"/>
        <w:rPr>
          <w:sz w:val="20"/>
          <w:szCs w:val="20"/>
          <w:color w:val="auto"/>
        </w:rPr>
      </w:pPr>
      <w:r>
        <w:rPr>
          <w:rFonts w:ascii="Arial" w:cs="Arial" w:eastAsia="Arial" w:hAnsi="Arial"/>
          <w:sz w:val="13"/>
          <w:szCs w:val="13"/>
          <w:b w:val="1"/>
          <w:bCs w:val="1"/>
          <w:color w:val="auto"/>
        </w:rPr>
        <w:t>Title of Each Class of Securities to be Registered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be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Registered (1)(2)</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jc w:val="center"/>
        <w:spacing w:after="0" w:line="332" w:lineRule="auto"/>
        <w:rPr>
          <w:sz w:val="20"/>
          <w:szCs w:val="20"/>
          <w:color w:val="auto"/>
        </w:rPr>
      </w:pPr>
      <w:r>
        <w:rPr>
          <w:rFonts w:ascii="Arial" w:cs="Arial" w:eastAsia="Arial" w:hAnsi="Arial"/>
          <w:sz w:val="13"/>
          <w:szCs w:val="13"/>
          <w:b w:val="1"/>
          <w:bCs w:val="1"/>
          <w:color w:val="auto"/>
        </w:rPr>
        <w:t>Proposed Maximum Offering Price Per Unit (2)</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jc w:val="center"/>
        <w:spacing w:after="0" w:line="332" w:lineRule="auto"/>
        <w:rPr>
          <w:sz w:val="20"/>
          <w:szCs w:val="20"/>
          <w:color w:val="auto"/>
        </w:rPr>
      </w:pPr>
      <w:r>
        <w:rPr>
          <w:rFonts w:ascii="Arial" w:cs="Arial" w:eastAsia="Arial" w:hAnsi="Arial"/>
          <w:sz w:val="13"/>
          <w:szCs w:val="13"/>
          <w:b w:val="1"/>
          <w:bCs w:val="1"/>
          <w:color w:val="auto"/>
        </w:rPr>
        <w:t>Proposed Maximum Aggregate Offering Price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jc w:val="center"/>
        <w:ind w:right="1560"/>
        <w:spacing w:after="0"/>
        <w:rPr>
          <w:sz w:val="20"/>
          <w:szCs w:val="20"/>
          <w:color w:val="auto"/>
        </w:rPr>
      </w:pPr>
      <w:r>
        <w:rPr>
          <w:rFonts w:ascii="Arial" w:cs="Arial" w:eastAsia="Arial" w:hAnsi="Arial"/>
          <w:sz w:val="16"/>
          <w:szCs w:val="16"/>
          <w:b w:val="1"/>
          <w:bCs w:val="1"/>
          <w:color w:val="auto"/>
        </w:rPr>
        <w:t>Amount of</w:t>
      </w:r>
    </w:p>
    <w:p>
      <w:pPr>
        <w:spacing w:after="0" w:line="20" w:lineRule="exact"/>
        <w:rPr>
          <w:sz w:val="20"/>
          <w:szCs w:val="20"/>
          <w:color w:val="auto"/>
        </w:rPr>
      </w:pPr>
    </w:p>
    <w:p>
      <w:pPr>
        <w:jc w:val="center"/>
        <w:ind w:right="1560"/>
        <w:spacing w:after="0"/>
        <w:rPr>
          <w:sz w:val="20"/>
          <w:szCs w:val="20"/>
          <w:color w:val="auto"/>
        </w:rPr>
      </w:pPr>
      <w:r>
        <w:rPr>
          <w:rFonts w:ascii="Arial" w:cs="Arial" w:eastAsia="Arial" w:hAnsi="Arial"/>
          <w:sz w:val="13"/>
          <w:szCs w:val="13"/>
          <w:b w:val="1"/>
          <w:bCs w:val="1"/>
          <w:color w:val="auto"/>
        </w:rPr>
        <w:t>Registration</w:t>
      </w:r>
    </w:p>
    <w:p>
      <w:pPr>
        <w:spacing w:after="0" w:line="40" w:lineRule="exact"/>
        <w:rPr>
          <w:sz w:val="20"/>
          <w:szCs w:val="20"/>
          <w:color w:val="auto"/>
        </w:rPr>
      </w:pPr>
    </w:p>
    <w:p>
      <w:pPr>
        <w:jc w:val="center"/>
        <w:ind w:right="1560"/>
        <w:spacing w:after="0"/>
        <w:rPr>
          <w:sz w:val="20"/>
          <w:szCs w:val="20"/>
          <w:color w:val="auto"/>
        </w:rPr>
      </w:pPr>
      <w:r>
        <w:rPr>
          <w:rFonts w:ascii="Arial" w:cs="Arial" w:eastAsia="Arial" w:hAnsi="Arial"/>
          <w:sz w:val="16"/>
          <w:szCs w:val="16"/>
          <w:b w:val="1"/>
          <w:bCs w:val="1"/>
          <w:color w:val="auto"/>
        </w:rPr>
        <w:t>Fee (3)</w:t>
      </w:r>
    </w:p>
    <w:p>
      <w:pPr>
        <w:spacing w:after="0" w:line="182" w:lineRule="exact"/>
        <w:rPr>
          <w:sz w:val="20"/>
          <w:szCs w:val="20"/>
          <w:color w:val="auto"/>
        </w:rPr>
      </w:pPr>
    </w:p>
    <w:p>
      <w:pPr>
        <w:sectPr>
          <w:pgSz w:w="11900" w:h="16838" w:orient="portrait"/>
          <w:cols w:equalWidth="0" w:num="5">
            <w:col w:w="4665" w:space="120"/>
            <w:col w:w="1120" w:space="240"/>
            <w:col w:w="960" w:space="280"/>
            <w:col w:w="1180" w:space="300"/>
            <w:col w:w="2400"/>
          </w:cols>
          <w:pgMar w:left="315" w:top="529" w:right="319" w:bottom="1440" w:gutter="0" w:footer="0" w:header="0"/>
          <w:type w:val="continuous"/>
        </w:sectPr>
      </w:pPr>
    </w:p>
    <w:p>
      <w:pPr>
        <w:ind w:left="1385"/>
        <w:spacing w:after="0"/>
        <w:rPr>
          <w:sz w:val="20"/>
          <w:szCs w:val="20"/>
          <w:color w:val="auto"/>
        </w:rPr>
      </w:pPr>
      <w:r>
        <w:rPr>
          <w:rFonts w:ascii="Arial" w:cs="Arial" w:eastAsia="Arial" w:hAnsi="Arial"/>
          <w:sz w:val="13"/>
          <w:szCs w:val="13"/>
          <w:color w:val="auto"/>
        </w:rPr>
        <w:t>Common Stock, $0.01 par value per share</w:t>
      </w:r>
    </w:p>
    <w:p>
      <w:pPr>
        <w:spacing w:after="0" w:line="51" w:lineRule="exact"/>
        <w:rPr>
          <w:sz w:val="20"/>
          <w:szCs w:val="20"/>
          <w:color w:val="auto"/>
        </w:rPr>
      </w:pPr>
    </w:p>
    <w:p>
      <w:pPr>
        <w:ind w:left="1385"/>
        <w:spacing w:after="0"/>
        <w:rPr>
          <w:sz w:val="20"/>
          <w:szCs w:val="20"/>
          <w:color w:val="auto"/>
        </w:rPr>
      </w:pPr>
      <w:r>
        <w:rPr>
          <w:rFonts w:ascii="Arial" w:cs="Arial" w:eastAsia="Arial" w:hAnsi="Arial"/>
          <w:sz w:val="13"/>
          <w:szCs w:val="13"/>
          <w:color w:val="auto"/>
        </w:rPr>
        <w:t>Preferred Stock, $0.01 par value per share</w:t>
      </w:r>
    </w:p>
    <w:p>
      <w:pPr>
        <w:spacing w:after="0" w:line="40" w:lineRule="exact"/>
        <w:rPr>
          <w:sz w:val="20"/>
          <w:szCs w:val="20"/>
          <w:color w:val="auto"/>
        </w:rPr>
      </w:pPr>
    </w:p>
    <w:p>
      <w:pPr>
        <w:ind w:left="1385"/>
        <w:spacing w:after="0"/>
        <w:rPr>
          <w:sz w:val="20"/>
          <w:szCs w:val="20"/>
          <w:color w:val="auto"/>
        </w:rPr>
      </w:pPr>
      <w:r>
        <w:rPr>
          <w:rFonts w:ascii="Arial" w:cs="Arial" w:eastAsia="Arial" w:hAnsi="Arial"/>
          <w:sz w:val="16"/>
          <w:szCs w:val="16"/>
          <w:color w:val="auto"/>
        </w:rPr>
        <w:t>Warrants</w:t>
      </w:r>
    </w:p>
    <w:p>
      <w:pPr>
        <w:spacing w:after="0" w:line="5" w:lineRule="exact"/>
        <w:rPr>
          <w:sz w:val="20"/>
          <w:szCs w:val="20"/>
          <w:color w:val="auto"/>
        </w:rPr>
      </w:pPr>
    </w:p>
    <w:p>
      <w:pPr>
        <w:ind w:left="1385"/>
        <w:spacing w:after="0"/>
        <w:rPr>
          <w:sz w:val="20"/>
          <w:szCs w:val="20"/>
          <w:color w:val="auto"/>
        </w:rPr>
      </w:pPr>
      <w:r>
        <w:rPr>
          <w:rFonts w:ascii="Arial" w:cs="Arial" w:eastAsia="Arial" w:hAnsi="Arial"/>
          <w:sz w:val="16"/>
          <w:szCs w:val="16"/>
          <w:color w:val="auto"/>
        </w:rPr>
        <w:t>Debt securities</w:t>
      </w:r>
    </w:p>
    <w:p>
      <w:pPr>
        <w:spacing w:after="0" w:line="5" w:lineRule="exact"/>
        <w:rPr>
          <w:sz w:val="20"/>
          <w:szCs w:val="20"/>
          <w:color w:val="auto"/>
        </w:rPr>
      </w:pPr>
    </w:p>
    <w:p>
      <w:pPr>
        <w:ind w:left="1385"/>
        <w:spacing w:after="0"/>
        <w:rPr>
          <w:sz w:val="20"/>
          <w:szCs w:val="20"/>
          <w:color w:val="auto"/>
        </w:rPr>
      </w:pPr>
      <w:r>
        <w:rPr>
          <w:rFonts w:ascii="Arial" w:cs="Arial" w:eastAsia="Arial" w:hAnsi="Arial"/>
          <w:sz w:val="16"/>
          <w:szCs w:val="16"/>
          <w:color w:val="auto"/>
        </w:rPr>
        <w:t>Purchase Contracts</w:t>
      </w:r>
    </w:p>
    <w:p>
      <w:pPr>
        <w:spacing w:after="0" w:line="5" w:lineRule="exact"/>
        <w:rPr>
          <w:sz w:val="20"/>
          <w:szCs w:val="20"/>
          <w:color w:val="auto"/>
        </w:rPr>
      </w:pPr>
    </w:p>
    <w:p>
      <w:pPr>
        <w:ind w:left="1385"/>
        <w:spacing w:after="0"/>
        <w:rPr>
          <w:sz w:val="20"/>
          <w:szCs w:val="20"/>
          <w:color w:val="auto"/>
        </w:rPr>
      </w:pPr>
      <w:r>
        <w:rPr>
          <w:rFonts w:ascii="Arial" w:cs="Arial" w:eastAsia="Arial" w:hAnsi="Arial"/>
          <w:sz w:val="16"/>
          <w:szCs w:val="16"/>
          <w:color w:val="auto"/>
        </w:rPr>
        <w:t>Depositary Shares (4)</w:t>
      </w:r>
    </w:p>
    <w:p>
      <w:pPr>
        <w:spacing w:after="0" w:line="5" w:lineRule="exact"/>
        <w:rPr>
          <w:sz w:val="20"/>
          <w:szCs w:val="20"/>
          <w:color w:val="auto"/>
        </w:rPr>
      </w:pPr>
    </w:p>
    <w:p>
      <w:pPr>
        <w:ind w:left="1385"/>
        <w:spacing w:after="0"/>
        <w:rPr>
          <w:sz w:val="20"/>
          <w:szCs w:val="20"/>
          <w:color w:val="auto"/>
        </w:rPr>
      </w:pPr>
      <w:r>
        <w:rPr>
          <w:rFonts w:ascii="Arial" w:cs="Arial" w:eastAsia="Arial" w:hAnsi="Arial"/>
          <w:sz w:val="16"/>
          <w:szCs w:val="16"/>
          <w:color w:val="auto"/>
        </w:rPr>
        <w:t>Rights</w:t>
      </w:r>
    </w:p>
    <w:p>
      <w:pPr>
        <w:spacing w:after="0" w:line="5" w:lineRule="exact"/>
        <w:rPr>
          <w:sz w:val="20"/>
          <w:szCs w:val="20"/>
          <w:color w:val="auto"/>
        </w:rPr>
      </w:pPr>
    </w:p>
    <w:p>
      <w:pPr>
        <w:ind w:left="1385"/>
        <w:spacing w:after="0"/>
        <w:rPr>
          <w:sz w:val="20"/>
          <w:szCs w:val="20"/>
          <w:color w:val="auto"/>
        </w:rPr>
      </w:pPr>
      <w:r>
        <w:rPr>
          <w:rFonts w:ascii="Arial" w:cs="Arial" w:eastAsia="Arial" w:hAnsi="Arial"/>
          <w:sz w:val="16"/>
          <w:szCs w:val="16"/>
          <w:color w:val="auto"/>
        </w:rPr>
        <w:t>Units (5)</w:t>
      </w:r>
    </w:p>
    <w:p>
      <w:pPr>
        <w:sectPr>
          <w:pgSz w:w="11900" w:h="16838" w:orient="portrait"/>
          <w:cols w:equalWidth="0" w:num="1">
            <w:col w:w="11265"/>
          </w:cols>
          <w:pgMar w:left="315" w:top="529" w:right="319" w:bottom="1440" w:gutter="0" w:footer="0" w:header="0"/>
          <w:type w:val="continuous"/>
        </w:sectPr>
      </w:pPr>
    </w:p>
    <w:p>
      <w:pPr>
        <w:spacing w:after="0" w:line="5" w:lineRule="exact"/>
        <w:rPr>
          <w:sz w:val="20"/>
          <w:szCs w:val="20"/>
          <w:color w:val="auto"/>
        </w:rPr>
      </w:pPr>
    </w:p>
    <w:p>
      <w:pPr>
        <w:ind w:left="1385"/>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$25,000,000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$25,000,000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$3,245</w:t>
      </w:r>
    </w:p>
    <w:p>
      <w:pPr>
        <w:spacing w:after="0" w:line="200" w:lineRule="exact"/>
        <w:rPr>
          <w:sz w:val="20"/>
          <w:szCs w:val="20"/>
          <w:color w:val="auto"/>
        </w:rPr>
      </w:pPr>
    </w:p>
    <w:p>
      <w:pPr>
        <w:sectPr>
          <w:pgSz w:w="11900" w:h="16838" w:orient="portrait"/>
          <w:cols w:equalWidth="0" w:num="4">
            <w:col w:w="4465" w:space="720"/>
            <w:col w:w="2000" w:space="720"/>
            <w:col w:w="820" w:space="720"/>
            <w:col w:w="1820"/>
          </w:cols>
          <w:pgMar w:left="315" w:top="529" w:right="319" w:bottom="1440" w:gutter="0" w:footer="0" w:header="0"/>
          <w:type w:val="continuous"/>
        </w:sectPr>
      </w:pPr>
    </w:p>
    <w:p>
      <w:pPr>
        <w:spacing w:after="0" w:line="17" w:lineRule="exact"/>
        <w:rPr>
          <w:sz w:val="20"/>
          <w:szCs w:val="20"/>
          <w:color w:val="auto"/>
        </w:rPr>
      </w:pPr>
    </w:p>
    <w:p>
      <w:pPr>
        <w:ind w:left="745" w:right="80" w:hanging="745"/>
        <w:spacing w:after="0" w:line="272" w:lineRule="auto"/>
        <w:tabs>
          <w:tab w:leader="none" w:pos="745" w:val="left"/>
        </w:tabs>
        <w:numPr>
          <w:ilvl w:val="0"/>
          <w:numId w:val="1"/>
        </w:numPr>
        <w:rPr>
          <w:rFonts w:ascii="Arial" w:cs="Arial" w:eastAsia="Arial" w:hAnsi="Arial"/>
          <w:sz w:val="15"/>
          <w:szCs w:val="15"/>
          <w:color w:val="auto"/>
        </w:rPr>
      </w:pPr>
      <w:r>
        <w:rPr>
          <w:rFonts w:ascii="Arial" w:cs="Arial" w:eastAsia="Arial" w:hAnsi="Arial"/>
          <w:sz w:val="15"/>
          <w:szCs w:val="15"/>
          <w:color w:val="auto"/>
        </w:rPr>
        <w:t>This registration statement also covers common stock or preferred stock that may be issued by the registrant upon exercise, conversion or exchange of any securities registered hereunder that provide for such issuance. An indeterminate number of the securities is being registered as may at various times be issued at indeterminate prices, with an aggregate offering price not to exceed $25,000,000. In addition, pursuant to Rule 416 under the Securities Act of 1933, as amended (the “Securities Act”), the shares being registered hereunder include such indeterminate number of shares of common stock and preferred stock as may be issuable with respect to the shares being registered hereunder as a result of stock splits, stock dividends, or similar transactions.</w:t>
      </w:r>
    </w:p>
    <w:p>
      <w:pPr>
        <w:spacing w:after="0" w:line="156" w:lineRule="exact"/>
        <w:rPr>
          <w:rFonts w:ascii="Arial" w:cs="Arial" w:eastAsia="Arial" w:hAnsi="Arial"/>
          <w:sz w:val="15"/>
          <w:szCs w:val="15"/>
          <w:color w:val="auto"/>
        </w:rPr>
      </w:pPr>
    </w:p>
    <w:p>
      <w:pPr>
        <w:ind w:left="745" w:right="80" w:hanging="745"/>
        <w:spacing w:after="0" w:line="385" w:lineRule="auto"/>
        <w:tabs>
          <w:tab w:leader="none" w:pos="745" w:val="left"/>
        </w:tabs>
        <w:numPr>
          <w:ilvl w:val="0"/>
          <w:numId w:val="1"/>
        </w:numPr>
        <w:rPr>
          <w:rFonts w:ascii="Arial" w:cs="Arial" w:eastAsia="Arial" w:hAnsi="Arial"/>
          <w:sz w:val="13"/>
          <w:szCs w:val="13"/>
          <w:color w:val="auto"/>
        </w:rPr>
      </w:pPr>
      <w:r>
        <w:rPr>
          <w:rFonts w:ascii="Arial" w:cs="Arial" w:eastAsia="Arial" w:hAnsi="Arial"/>
          <w:sz w:val="13"/>
          <w:szCs w:val="13"/>
          <w:color w:val="auto"/>
        </w:rPr>
        <w:t>Pursuant to General Instruction II.D. of Form S-3, the table lists each of the classes of securities being registered and the aggregate proceeds to be raised, but does not specify by each class information as to the amount to be registered, proposed maximum offering price per unit, and proposed maximum aggregate offering price.</w:t>
      </w:r>
    </w:p>
    <w:p>
      <w:pPr>
        <w:spacing w:after="0" w:line="87" w:lineRule="exact"/>
        <w:rPr>
          <w:rFonts w:ascii="Arial" w:cs="Arial" w:eastAsia="Arial" w:hAnsi="Arial"/>
          <w:sz w:val="13"/>
          <w:szCs w:val="13"/>
          <w:color w:val="auto"/>
        </w:rPr>
      </w:pPr>
    </w:p>
    <w:p>
      <w:pPr>
        <w:ind w:left="745" w:hanging="745"/>
        <w:spacing w:after="0"/>
        <w:tabs>
          <w:tab w:leader="none" w:pos="745" w:val="left"/>
        </w:tabs>
        <w:numPr>
          <w:ilvl w:val="0"/>
          <w:numId w:val="1"/>
        </w:numPr>
        <w:rPr>
          <w:rFonts w:ascii="Arial" w:cs="Arial" w:eastAsia="Arial" w:hAnsi="Arial"/>
          <w:sz w:val="16"/>
          <w:szCs w:val="16"/>
          <w:color w:val="auto"/>
        </w:rPr>
      </w:pPr>
      <w:r>
        <w:rPr>
          <w:rFonts w:ascii="Arial" w:cs="Arial" w:eastAsia="Arial" w:hAnsi="Arial"/>
          <w:sz w:val="16"/>
          <w:szCs w:val="16"/>
          <w:color w:val="auto"/>
        </w:rPr>
        <w:t>Calculated pursuant to Rule 457(o) under the Securities Act.</w:t>
      </w:r>
    </w:p>
    <w:p>
      <w:pPr>
        <w:spacing w:after="0" w:line="194" w:lineRule="exact"/>
        <w:rPr>
          <w:rFonts w:ascii="Arial" w:cs="Arial" w:eastAsia="Arial" w:hAnsi="Arial"/>
          <w:sz w:val="16"/>
          <w:szCs w:val="16"/>
          <w:color w:val="auto"/>
        </w:rPr>
      </w:pPr>
    </w:p>
    <w:p>
      <w:pPr>
        <w:ind w:left="745" w:hanging="745"/>
        <w:spacing w:after="0"/>
        <w:tabs>
          <w:tab w:leader="none" w:pos="745" w:val="left"/>
        </w:tabs>
        <w:numPr>
          <w:ilvl w:val="0"/>
          <w:numId w:val="1"/>
        </w:numPr>
        <w:rPr>
          <w:rFonts w:ascii="Arial" w:cs="Arial" w:eastAsia="Arial" w:hAnsi="Arial"/>
          <w:sz w:val="16"/>
          <w:szCs w:val="16"/>
          <w:color w:val="auto"/>
        </w:rPr>
      </w:pPr>
      <w:r>
        <w:rPr>
          <w:rFonts w:ascii="Arial" w:cs="Arial" w:eastAsia="Arial" w:hAnsi="Arial"/>
          <w:sz w:val="16"/>
          <w:szCs w:val="16"/>
          <w:color w:val="auto"/>
        </w:rPr>
        <w:t>Each depositary share will represent an interest in a fractional share of preferred stock and will be evidenced by a depositary receipt.</w:t>
      </w:r>
    </w:p>
    <w:p>
      <w:pPr>
        <w:spacing w:after="0" w:line="194" w:lineRule="exact"/>
        <w:rPr>
          <w:rFonts w:ascii="Arial" w:cs="Arial" w:eastAsia="Arial" w:hAnsi="Arial"/>
          <w:sz w:val="16"/>
          <w:szCs w:val="16"/>
          <w:color w:val="auto"/>
        </w:rPr>
      </w:pPr>
    </w:p>
    <w:p>
      <w:pPr>
        <w:ind w:left="745" w:hanging="745"/>
        <w:spacing w:after="0"/>
        <w:tabs>
          <w:tab w:leader="none" w:pos="745" w:val="left"/>
        </w:tabs>
        <w:numPr>
          <w:ilvl w:val="0"/>
          <w:numId w:val="1"/>
        </w:numPr>
        <w:rPr>
          <w:rFonts w:ascii="Arial" w:cs="Arial" w:eastAsia="Arial" w:hAnsi="Arial"/>
          <w:sz w:val="16"/>
          <w:szCs w:val="16"/>
          <w:color w:val="auto"/>
        </w:rPr>
      </w:pPr>
      <w:r>
        <w:rPr>
          <w:rFonts w:ascii="Arial" w:cs="Arial" w:eastAsia="Arial" w:hAnsi="Arial"/>
          <w:sz w:val="16"/>
          <w:szCs w:val="16"/>
          <w:color w:val="auto"/>
        </w:rPr>
        <w:t>Each unit will represent an interest in two or more other securities, which may or may not be separable from one another.</w:t>
      </w:r>
    </w:p>
    <w:p>
      <w:pPr>
        <w:spacing w:after="0" w:line="16" w:lineRule="exact"/>
        <w:rPr>
          <w:sz w:val="20"/>
          <w:szCs w:val="20"/>
          <w:color w:val="auto"/>
        </w:rPr>
      </w:pPr>
    </w:p>
    <w:p>
      <w:pPr>
        <w:ind w:left="5205"/>
        <w:spacing w:after="0"/>
        <w:rPr>
          <w:sz w:val="20"/>
          <w:szCs w:val="20"/>
          <w:color w:val="auto"/>
        </w:rPr>
      </w:pPr>
      <w:r>
        <w:rPr>
          <w:rFonts w:ascii="Arial" w:cs="Arial" w:eastAsia="Arial" w:hAnsi="Arial"/>
          <w:sz w:val="16"/>
          <w:szCs w:val="16"/>
          <w:color w:val="auto"/>
        </w:rPr>
        <w:t>___________</w:t>
      </w:r>
    </w:p>
    <w:p>
      <w:pPr>
        <w:spacing w:after="0" w:line="179" w:lineRule="exact"/>
        <w:rPr>
          <w:sz w:val="20"/>
          <w:szCs w:val="20"/>
          <w:color w:val="auto"/>
        </w:rPr>
      </w:pPr>
    </w:p>
    <w:p>
      <w:pPr>
        <w:ind w:left="745"/>
        <w:spacing w:after="0"/>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w:t>
      </w:r>
    </w:p>
    <w:p>
      <w:pPr>
        <w:spacing w:after="0" w:line="55" w:lineRule="exact"/>
        <w:rPr>
          <w:sz w:val="20"/>
          <w:szCs w:val="20"/>
          <w:color w:val="auto"/>
        </w:rPr>
      </w:pPr>
    </w:p>
    <w:p>
      <w:pPr>
        <w:ind w:left="5"/>
        <w:spacing w:after="0"/>
        <w:rPr>
          <w:sz w:val="20"/>
          <w:szCs w:val="20"/>
          <w:color w:val="auto"/>
        </w:rPr>
      </w:pPr>
      <w:r>
        <w:rPr>
          <w:rFonts w:ascii="Arial" w:cs="Arial" w:eastAsia="Arial" w:hAnsi="Arial"/>
          <w:sz w:val="13"/>
          <w:szCs w:val="13"/>
          <w:b w:val="1"/>
          <w:bCs w:val="1"/>
          <w:color w:val="auto"/>
        </w:rPr>
        <w:t>file a further amendment which specifically states that this Registration Statement shall thereafter become effective in accordance with Section 8(a) of the Securities Act</w:t>
      </w:r>
    </w:p>
    <w:p>
      <w:pPr>
        <w:spacing w:after="0" w:line="40" w:lineRule="exact"/>
        <w:rPr>
          <w:sz w:val="20"/>
          <w:szCs w:val="20"/>
          <w:color w:val="auto"/>
        </w:rPr>
      </w:pPr>
    </w:p>
    <w:p>
      <w:pPr>
        <w:ind w:left="5"/>
        <w:spacing w:after="0"/>
        <w:rPr>
          <w:sz w:val="20"/>
          <w:szCs w:val="20"/>
          <w:color w:val="auto"/>
        </w:rPr>
      </w:pPr>
      <w:r>
        <w:rPr>
          <w:rFonts w:ascii="Arial" w:cs="Arial" w:eastAsia="Arial" w:hAnsi="Arial"/>
          <w:sz w:val="15"/>
          <w:szCs w:val="15"/>
          <w:b w:val="1"/>
          <w:bCs w:val="1"/>
          <w:color w:val="auto"/>
        </w:rPr>
        <w:t>of 1933 or until the Registration Statement shall become effective on such date as the Commission, acting pursuant to said Section 8(a), shall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431165</wp:posOffset>
            </wp:positionV>
            <wp:extent cx="7164705"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5"/>
          </w:cols>
          <w:pgMar w:left="315" w:top="529" w:right="319" w:bottom="1440" w:gutter="0" w:footer="0" w:header="0"/>
          <w:type w:val="continuous"/>
        </w:sectPr>
      </w:pPr>
    </w:p>
    <w:bookmarkStart w:id="2" w:name="page3"/>
    <w:bookmarkEnd w:id="2"/>
    <w:p>
      <w:pPr>
        <w:ind w:right="260"/>
        <w:spacing w:after="0" w:line="257" w:lineRule="auto"/>
        <w:rPr>
          <w:sz w:val="20"/>
          <w:szCs w:val="20"/>
          <w:color w:val="auto"/>
        </w:rPr>
      </w:pPr>
      <w:r>
        <w:rPr>
          <w:rFonts w:ascii="Arial" w:cs="Arial" w:eastAsia="Arial" w:hAnsi="Arial"/>
          <w:sz w:val="16"/>
          <w:szCs w:val="16"/>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FF0000"/>
        </w:rPr>
        <w:t>Subject to completion, dated June 4, 2020</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3282315</wp:posOffset>
            </wp:positionH>
            <wp:positionV relativeFrom="paragraph">
              <wp:posOffset>96520</wp:posOffset>
            </wp:positionV>
            <wp:extent cx="585470" cy="3378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5470" cy="337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Destination XL Group, Inc.</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$25,000,000</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Common Stock</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Preferred Stock</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Depositary Shares</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Warrants</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Debt Securities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Purchase Contracts</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Rights</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Units</w:t>
      </w:r>
    </w:p>
    <w:p>
      <w:pPr>
        <w:spacing w:after="0" w:line="2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___________</w:t>
      </w:r>
    </w:p>
    <w:p>
      <w:pPr>
        <w:spacing w:after="0" w:line="88" w:lineRule="exact"/>
        <w:rPr>
          <w:sz w:val="20"/>
          <w:szCs w:val="20"/>
          <w:color w:val="auto"/>
        </w:rPr>
      </w:pPr>
    </w:p>
    <w:p>
      <w:pPr>
        <w:ind w:right="20"/>
        <w:spacing w:after="0" w:line="272" w:lineRule="auto"/>
        <w:rPr>
          <w:sz w:val="20"/>
          <w:szCs w:val="20"/>
          <w:color w:val="auto"/>
        </w:rPr>
      </w:pPr>
      <w:r>
        <w:rPr>
          <w:rFonts w:ascii="Arial" w:cs="Arial" w:eastAsia="Arial" w:hAnsi="Arial"/>
          <w:sz w:val="15"/>
          <w:szCs w:val="15"/>
          <w:color w:val="auto"/>
        </w:rPr>
        <w:t>We may offer and sell from time to time, in one or more transactions, common stock, preferred stock, depositary shares, warrants, debt securities, purchase contracts, rights and units that include any of these securities, up to a total public offering price of $25,000,000 on terms to be determined at the time of sale. This prospectus describes some of the general terms that may apply to these securities and the general manner in which they may be offered. We will provide specific terms of these securities and the specific manner in which we offer these securities in supplements to this prospectus. You should read this prospectus and any supplement carefully before you invest. This prospectus may not be used to offer and sell securities unless accompanied by a prospectus supplement for those securities.</w:t>
      </w:r>
    </w:p>
    <w:p>
      <w:pPr>
        <w:spacing w:after="0" w:line="62" w:lineRule="exact"/>
        <w:rPr>
          <w:sz w:val="20"/>
          <w:szCs w:val="20"/>
          <w:color w:val="auto"/>
        </w:rPr>
      </w:pPr>
    </w:p>
    <w:p>
      <w:pPr>
        <w:ind w:firstLine="36"/>
        <w:spacing w:after="0" w:line="251" w:lineRule="auto"/>
        <w:rPr>
          <w:sz w:val="20"/>
          <w:szCs w:val="20"/>
          <w:color w:val="auto"/>
        </w:rPr>
      </w:pPr>
      <w:r>
        <w:rPr>
          <w:rFonts w:ascii="Arial" w:cs="Arial" w:eastAsia="Arial" w:hAnsi="Arial"/>
          <w:sz w:val="16"/>
          <w:szCs w:val="16"/>
          <w:color w:val="auto"/>
        </w:rPr>
        <w:t>We may offer and sell these securities directly to investors, to or through one or more underwriters, dealers and agents, or through a combination of these methods, on a continuous or delayed basis. For more information, see “Plan of Distribution” in this prospectus. We may also describe the plan of distribution for any particular offering of these securities in a prospectus supplement. If any underwriters, dealers or agents are involved in the sale of any securities in respect of which this prospectus is delivered, we will disclose their names and the nature of our arrangements with them in a prospectus supplement. The price to the public of such securities and the net proceeds we expect to receive from such sale will also be set forth in a prospectus supplement.</w:t>
      </w:r>
    </w:p>
    <w:p>
      <w:pPr>
        <w:spacing w:after="0" w:line="78" w:lineRule="exact"/>
        <w:rPr>
          <w:sz w:val="20"/>
          <w:szCs w:val="20"/>
          <w:color w:val="auto"/>
        </w:rPr>
      </w:pPr>
    </w:p>
    <w:p>
      <w:pPr>
        <w:ind w:right="340"/>
        <w:spacing w:after="0" w:line="267" w:lineRule="auto"/>
        <w:rPr>
          <w:sz w:val="20"/>
          <w:szCs w:val="20"/>
          <w:color w:val="auto"/>
        </w:rPr>
      </w:pPr>
      <w:r>
        <w:rPr>
          <w:rFonts w:ascii="Arial" w:cs="Arial" w:eastAsia="Arial" w:hAnsi="Arial"/>
          <w:sz w:val="16"/>
          <w:szCs w:val="16"/>
          <w:color w:val="auto"/>
        </w:rPr>
        <w:t>Our common stock is traded on the Nasdaq Global Select Market under the symbol “DXLG.” On June 1, 2020, the closing price of our common stock on the Nasdaq Global Select Market was $0.40 per share.</w:t>
      </w:r>
    </w:p>
    <w:p>
      <w:pPr>
        <w:spacing w:after="0" w:line="63" w:lineRule="exact"/>
        <w:rPr>
          <w:sz w:val="20"/>
          <w:szCs w:val="20"/>
          <w:color w:val="auto"/>
        </w:rPr>
      </w:pPr>
    </w:p>
    <w:p>
      <w:pPr>
        <w:ind w:right="140"/>
        <w:spacing w:after="0" w:line="266" w:lineRule="auto"/>
        <w:rPr>
          <w:sz w:val="20"/>
          <w:szCs w:val="20"/>
          <w:color w:val="auto"/>
        </w:rPr>
      </w:pPr>
      <w:r>
        <w:rPr>
          <w:rFonts w:ascii="Arial" w:cs="Arial" w:eastAsia="Arial" w:hAnsi="Arial"/>
          <w:sz w:val="15"/>
          <w:szCs w:val="15"/>
          <w:color w:val="auto"/>
        </w:rPr>
        <w:t>As of June 1, 2020, the aggregate market value of the voting and non-voting common equity held by non-affiliates, computed by reference to the price at which the common equity was last sold or the average bid and asked price of such common equity on that date, was approximately $12,206,614 based on 51,078,020 shares of outstanding common stock, of which 30,516,535 were held by non-affiliates. Pursuant to General Instruction I.B.6 of Form S-3, in no event will we sell securities in a public primary offering with a value exceeding more than one-third of our public float in any 12-month period so long as our public float remains below $75.0 million. We have not offered any securities pursuant to General Instruction I.B.6 of Form S-3 during the 12 calendar months prior to and including the date of this prospectus.</w:t>
      </w:r>
    </w:p>
    <w:p>
      <w:pPr>
        <w:ind w:left="5360"/>
        <w:spacing w:after="0"/>
        <w:rPr>
          <w:sz w:val="20"/>
          <w:szCs w:val="20"/>
          <w:color w:val="auto"/>
        </w:rPr>
      </w:pPr>
      <w:r>
        <w:rPr>
          <w:rFonts w:ascii="Arial" w:cs="Arial" w:eastAsia="Arial" w:hAnsi="Arial"/>
          <w:sz w:val="9"/>
          <w:szCs w:val="9"/>
          <w:color w:val="auto"/>
        </w:rPr>
        <w:t>___________</w:t>
      </w:r>
    </w:p>
    <w:p>
      <w:pPr>
        <w:spacing w:after="0" w:line="82" w:lineRule="exact"/>
        <w:rPr>
          <w:sz w:val="20"/>
          <w:szCs w:val="20"/>
          <w:color w:val="auto"/>
        </w:rPr>
      </w:pPr>
    </w:p>
    <w:p>
      <w:pPr>
        <w:ind w:right="400"/>
        <w:spacing w:after="0" w:line="259" w:lineRule="auto"/>
        <w:rPr>
          <w:sz w:val="20"/>
          <w:szCs w:val="20"/>
          <w:color w:val="auto"/>
        </w:rPr>
      </w:pPr>
      <w:r>
        <w:rPr>
          <w:rFonts w:ascii="Arial" w:cs="Arial" w:eastAsia="Arial" w:hAnsi="Arial"/>
          <w:sz w:val="16"/>
          <w:szCs w:val="16"/>
          <w:b w:val="1"/>
          <w:bCs w:val="1"/>
          <w:color w:val="auto"/>
        </w:rPr>
        <w:t>Investing in our securities involves a high degree of risk. See “Risk Factors” beginning on page 1 of this prospectus. We may include additional risk factors in an applicable prospectus supplement under the heading “Risk Factors.” You should review that section of the prospectus supplement for a discussion of matters that investors in our securities should consider.</w:t>
      </w:r>
    </w:p>
    <w:p>
      <w:pPr>
        <w:spacing w:after="0" w:line="73" w:lineRule="exact"/>
        <w:rPr>
          <w:sz w:val="20"/>
          <w:szCs w:val="20"/>
          <w:color w:val="auto"/>
        </w:rPr>
      </w:pPr>
    </w:p>
    <w:p>
      <w:pPr>
        <w:ind w:left="5360"/>
        <w:spacing w:after="0"/>
        <w:rPr>
          <w:sz w:val="20"/>
          <w:szCs w:val="20"/>
          <w:color w:val="auto"/>
        </w:rPr>
      </w:pPr>
      <w:r>
        <w:rPr>
          <w:rFonts w:ascii="Arial" w:cs="Arial" w:eastAsia="Arial" w:hAnsi="Arial"/>
          <w:sz w:val="9"/>
          <w:szCs w:val="9"/>
          <w:color w:val="auto"/>
        </w:rPr>
        <w:t>___________</w:t>
      </w:r>
    </w:p>
    <w:p>
      <w:pPr>
        <w:spacing w:after="0" w:line="126" w:lineRule="exact"/>
        <w:rPr>
          <w:sz w:val="20"/>
          <w:szCs w:val="20"/>
          <w:color w:val="auto"/>
        </w:rPr>
      </w:pPr>
    </w:p>
    <w:p>
      <w:pPr>
        <w:ind w:right="120" w:firstLine="39"/>
        <w:spacing w:after="0" w:line="256"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 w:lineRule="exact"/>
        <w:rPr>
          <w:sz w:val="20"/>
          <w:szCs w:val="20"/>
          <w:color w:val="auto"/>
        </w:rPr>
      </w:pPr>
    </w:p>
    <w:tbl>
      <w:tblPr>
        <w:tblLayout w:type="fixed"/>
        <w:tblInd w:w="4020" w:type="dxa"/>
        <w:tblCellMar>
          <w:top w:w="0" w:type="dxa"/>
          <w:left w:w="0" w:type="dxa"/>
          <w:bottom w:w="0" w:type="dxa"/>
          <w:right w:w="0" w:type="dxa"/>
        </w:tblCellMar>
      </w:tblPr>
      <w:tr>
        <w:trPr>
          <w:trHeight w:val="120"/>
        </w:trPr>
        <w:tc>
          <w:tcPr>
            <w:tcW w:w="2360" w:type="dxa"/>
            <w:vAlign w:val="bottom"/>
          </w:tcPr>
          <w:p>
            <w:pPr>
              <w:jc w:val="right"/>
              <w:ind w:right="417"/>
              <w:spacing w:after="0"/>
              <w:rPr>
                <w:sz w:val="20"/>
                <w:szCs w:val="20"/>
                <w:color w:val="auto"/>
              </w:rPr>
            </w:pPr>
            <w:r>
              <w:rPr>
                <w:rFonts w:ascii="Arial" w:cs="Arial" w:eastAsia="Arial" w:hAnsi="Arial"/>
                <w:sz w:val="9"/>
                <w:szCs w:val="9"/>
                <w:color w:val="auto"/>
              </w:rPr>
              <w:t>____________</w:t>
            </w:r>
          </w:p>
        </w:tc>
        <w:tc>
          <w:tcPr>
            <w:tcW w:w="880" w:type="dxa"/>
            <w:vAlign w:val="bottom"/>
          </w:tcPr>
          <w:p>
            <w:pPr>
              <w:spacing w:after="0"/>
              <w:rPr>
                <w:sz w:val="10"/>
                <w:szCs w:val="10"/>
                <w:color w:val="auto"/>
              </w:rPr>
            </w:pPr>
          </w:p>
        </w:tc>
      </w:tr>
      <w:tr>
        <w:trPr>
          <w:trHeight w:val="305"/>
        </w:trPr>
        <w:tc>
          <w:tcPr>
            <w:tcW w:w="2360" w:type="dxa"/>
            <w:vAlign w:val="bottom"/>
          </w:tcPr>
          <w:p>
            <w:pPr>
              <w:jc w:val="right"/>
              <w:ind w:right="457"/>
              <w:spacing w:after="0"/>
              <w:rPr>
                <w:sz w:val="20"/>
                <w:szCs w:val="20"/>
                <w:color w:val="auto"/>
              </w:rPr>
            </w:pPr>
            <w:r>
              <w:rPr>
                <w:rFonts w:ascii="Arial" w:cs="Arial" w:eastAsia="Arial" w:hAnsi="Arial"/>
                <w:sz w:val="16"/>
                <w:szCs w:val="16"/>
                <w:color w:val="auto"/>
                <w:w w:val="87"/>
              </w:rPr>
              <w:t>The date of this prospectus is</w:t>
            </w:r>
          </w:p>
        </w:tc>
        <w:tc>
          <w:tcPr>
            <w:tcW w:w="880" w:type="dxa"/>
            <w:vAlign w:val="bottom"/>
          </w:tcPr>
          <w:p>
            <w:pPr>
              <w:jc w:val="right"/>
              <w:spacing w:after="0"/>
              <w:rPr>
                <w:sz w:val="20"/>
                <w:szCs w:val="20"/>
                <w:color w:val="auto"/>
              </w:rPr>
            </w:pPr>
            <w:r>
              <w:rPr>
                <w:rFonts w:ascii="Arial" w:cs="Arial" w:eastAsia="Arial" w:hAnsi="Arial"/>
                <w:sz w:val="16"/>
                <w:szCs w:val="16"/>
                <w:color w:val="auto"/>
              </w:rPr>
              <w:t>,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421005</wp:posOffset>
            </wp:positionV>
            <wp:extent cx="716470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16" w:right="319" w:bottom="1440" w:gutter="0" w:footer="0" w:header="0"/>
        </w:sectPr>
      </w:pPr>
    </w:p>
    <w:bookmarkStart w:id="3" w:name="page4"/>
    <w:bookmarkEnd w:id="3"/>
    <w:tbl>
      <w:tblPr>
        <w:tblLayout w:type="fixed"/>
        <w:tblInd w:w="2140" w:type="dxa"/>
        <w:tblCellMar>
          <w:top w:w="0" w:type="dxa"/>
          <w:left w:w="0" w:type="dxa"/>
          <w:bottom w:w="0" w:type="dxa"/>
          <w:right w:w="0" w:type="dxa"/>
        </w:tblCellMar>
      </w:tblPr>
      <w:tr>
        <w:trPr>
          <w:trHeight w:val="204"/>
        </w:trPr>
        <w:tc>
          <w:tcPr>
            <w:tcW w:w="5480" w:type="dxa"/>
            <w:vAlign w:val="bottom"/>
          </w:tcPr>
          <w:p>
            <w:pPr>
              <w:ind w:left="2640"/>
              <w:spacing w:after="0"/>
              <w:rPr>
                <w:sz w:val="20"/>
                <w:szCs w:val="20"/>
                <w:color w:val="auto"/>
              </w:rPr>
            </w:pPr>
            <w:r>
              <w:rPr>
                <w:rFonts w:ascii="Arial" w:cs="Arial" w:eastAsia="Arial" w:hAnsi="Arial"/>
                <w:sz w:val="16"/>
                <w:szCs w:val="16"/>
                <w:b w:val="1"/>
                <w:bCs w:val="1"/>
                <w:color w:val="auto"/>
              </w:rPr>
              <w:t>TABLE OF CONTENTS</w:t>
            </w: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533"/>
        </w:trPr>
        <w:tc>
          <w:tcPr>
            <w:tcW w:w="548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rPr>
              <w:t>Page</w:t>
            </w:r>
          </w:p>
        </w:tc>
      </w:tr>
      <w:tr>
        <w:trPr>
          <w:trHeight w:val="463"/>
        </w:trPr>
        <w:tc>
          <w:tcPr>
            <w:tcW w:w="5480" w:type="dxa"/>
            <w:vAlign w:val="bottom"/>
          </w:tcPr>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About this Prospectus</w:t>
              </w:r>
            </w:hyperlink>
          </w:p>
        </w:tc>
        <w:tc>
          <w:tcPr>
            <w:tcW w:w="1180" w:type="dxa"/>
            <w:vAlign w:val="bottom"/>
          </w:tcPr>
          <w:p>
            <w:pPr>
              <w:spacing w:after="0"/>
              <w:rPr>
                <w:sz w:val="24"/>
                <w:szCs w:val="24"/>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60"/>
        </w:trPr>
        <w:tc>
          <w:tcPr>
            <w:tcW w:w="5480" w:type="dxa"/>
            <w:vAlign w:val="bottom"/>
          </w:tcPr>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Prospectus Summary</w:t>
              </w:r>
            </w:hyperlink>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249"/>
        </w:trPr>
        <w:tc>
          <w:tcPr>
            <w:tcW w:w="5480" w:type="dxa"/>
            <w:vAlign w:val="bottom"/>
          </w:tcPr>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Risk Factors</w:t>
              </w:r>
            </w:hyperlink>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5480" w:type="dxa"/>
            <w:vAlign w:val="bottom"/>
          </w:tcPr>
          <w:p>
            <w:pPr>
              <w:spacing w:after="0" w:line="184" w:lineRule="exact"/>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Special Note Regarding Forward</w:t>
              </w:r>
              <w:r>
                <w:rPr>
                  <w:rFonts w:ascii="MS PGothic" w:cs="MS PGothic" w:eastAsia="MS PGothic" w:hAnsi="MS PGothic"/>
                  <w:sz w:val="16"/>
                  <w:szCs w:val="16"/>
                  <w:u w:val="single" w:color="auto"/>
                  <w:color w:val="0000EE"/>
                </w:rPr>
                <w:t>‑</w:t>
              </w:r>
              <w:r>
                <w:rPr>
                  <w:rFonts w:ascii="Arial" w:cs="Arial" w:eastAsia="Arial" w:hAnsi="Arial"/>
                  <w:sz w:val="16"/>
                  <w:szCs w:val="16"/>
                  <w:u w:val="single" w:color="auto"/>
                  <w:color w:val="0000EE"/>
                </w:rPr>
                <w:t>Looking Information</w:t>
              </w:r>
            </w:hyperlink>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w:t>
            </w:r>
          </w:p>
        </w:tc>
      </w:tr>
      <w:tr>
        <w:trPr>
          <w:trHeight w:val="189"/>
        </w:trPr>
        <w:tc>
          <w:tcPr>
            <w:tcW w:w="5480" w:type="dxa"/>
            <w:vAlign w:val="bottom"/>
          </w:tcPr>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Use of Proceeds</w:t>
              </w:r>
            </w:hyperlink>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w:t>
            </w:r>
          </w:p>
        </w:tc>
      </w:tr>
      <w:tr>
        <w:trPr>
          <w:trHeight w:val="189"/>
        </w:trPr>
        <w:tc>
          <w:tcPr>
            <w:tcW w:w="5480" w:type="dxa"/>
            <w:vAlign w:val="bottom"/>
          </w:tcPr>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The Securities We May Offer</w:t>
              </w:r>
            </w:hyperlink>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w:t>
            </w:r>
          </w:p>
        </w:tc>
      </w:tr>
      <w:tr>
        <w:trPr>
          <w:trHeight w:val="189"/>
        </w:trPr>
        <w:tc>
          <w:tcPr>
            <w:tcW w:w="5480" w:type="dxa"/>
            <w:vAlign w:val="bottom"/>
          </w:tcPr>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Description of Common Stock</w:t>
              </w:r>
            </w:hyperlink>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w:t>
            </w:r>
          </w:p>
        </w:tc>
      </w:tr>
      <w:tr>
        <w:trPr>
          <w:trHeight w:val="189"/>
        </w:trPr>
        <w:tc>
          <w:tcPr>
            <w:tcW w:w="5480" w:type="dxa"/>
            <w:vAlign w:val="bottom"/>
          </w:tcPr>
          <w:p>
            <w:pPr>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Description of Preferred Stock</w:t>
              </w:r>
            </w:hyperlink>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5</w:t>
            </w:r>
          </w:p>
        </w:tc>
      </w:tr>
      <w:tr>
        <w:trPr>
          <w:trHeight w:val="189"/>
        </w:trPr>
        <w:tc>
          <w:tcPr>
            <w:tcW w:w="5480" w:type="dxa"/>
            <w:vAlign w:val="bottom"/>
          </w:tcPr>
          <w:p>
            <w:pPr>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Description of Depositary Shares</w:t>
              </w:r>
            </w:hyperlink>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6</w:t>
            </w:r>
          </w:p>
        </w:tc>
      </w:tr>
      <w:tr>
        <w:trPr>
          <w:trHeight w:val="189"/>
        </w:trPr>
        <w:tc>
          <w:tcPr>
            <w:tcW w:w="5480" w:type="dxa"/>
            <w:vAlign w:val="bottom"/>
          </w:tcPr>
          <w:p>
            <w:pPr>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Description of Warrants</w:t>
              </w:r>
            </w:hyperlink>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9</w:t>
            </w:r>
          </w:p>
        </w:tc>
      </w:tr>
      <w:tr>
        <w:trPr>
          <w:trHeight w:val="189"/>
        </w:trPr>
        <w:tc>
          <w:tcPr>
            <w:tcW w:w="5480" w:type="dxa"/>
            <w:vAlign w:val="bottom"/>
          </w:tcPr>
          <w:p>
            <w:pPr>
              <w:spacing w:after="0"/>
              <w:rPr>
                <w:rFonts w:ascii="Arial" w:cs="Arial" w:eastAsia="Arial" w:hAnsi="Arial"/>
                <w:sz w:val="16"/>
                <w:szCs w:val="16"/>
                <w:u w:val="single" w:color="auto"/>
                <w:color w:val="0000EE"/>
              </w:rPr>
            </w:pPr>
            <w:hyperlink w:anchor="page14">
              <w:r>
                <w:rPr>
                  <w:rFonts w:ascii="Arial" w:cs="Arial" w:eastAsia="Arial" w:hAnsi="Arial"/>
                  <w:sz w:val="16"/>
                  <w:szCs w:val="16"/>
                  <w:u w:val="single" w:color="auto"/>
                  <w:color w:val="0000EE"/>
                </w:rPr>
                <w:t>Description of Debt Securities</w:t>
              </w:r>
            </w:hyperlink>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11</w:t>
            </w:r>
          </w:p>
        </w:tc>
      </w:tr>
      <w:tr>
        <w:trPr>
          <w:trHeight w:val="189"/>
        </w:trPr>
        <w:tc>
          <w:tcPr>
            <w:tcW w:w="5480" w:type="dxa"/>
            <w:vAlign w:val="bottom"/>
          </w:tcPr>
          <w:p>
            <w:pPr>
              <w:spacing w:after="0"/>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Description of Purchase Contracts</w:t>
              </w:r>
            </w:hyperlink>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17</w:t>
            </w:r>
          </w:p>
        </w:tc>
      </w:tr>
      <w:tr>
        <w:trPr>
          <w:trHeight w:val="189"/>
        </w:trPr>
        <w:tc>
          <w:tcPr>
            <w:tcW w:w="5480" w:type="dxa"/>
            <w:vAlign w:val="bottom"/>
          </w:tcPr>
          <w:p>
            <w:pPr>
              <w:spacing w:after="0"/>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Description of Rights</w:t>
              </w:r>
            </w:hyperlink>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18</w:t>
            </w:r>
          </w:p>
        </w:tc>
      </w:tr>
      <w:tr>
        <w:trPr>
          <w:trHeight w:val="189"/>
        </w:trPr>
        <w:tc>
          <w:tcPr>
            <w:tcW w:w="5480" w:type="dxa"/>
            <w:vAlign w:val="bottom"/>
          </w:tcPr>
          <w:p>
            <w:pPr>
              <w:spacing w:after="0"/>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Description of Units</w:t>
              </w:r>
            </w:hyperlink>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19</w:t>
            </w:r>
          </w:p>
        </w:tc>
      </w:tr>
      <w:tr>
        <w:trPr>
          <w:trHeight w:val="189"/>
        </w:trPr>
        <w:tc>
          <w:tcPr>
            <w:tcW w:w="5480" w:type="dxa"/>
            <w:vAlign w:val="bottom"/>
          </w:tcPr>
          <w:p>
            <w:pPr>
              <w:spacing w:after="0"/>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Plan of Distribution</w:t>
              </w:r>
            </w:hyperlink>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20</w:t>
            </w:r>
          </w:p>
        </w:tc>
      </w:tr>
      <w:tr>
        <w:trPr>
          <w:trHeight w:val="189"/>
        </w:trPr>
        <w:tc>
          <w:tcPr>
            <w:tcW w:w="5480" w:type="dxa"/>
            <w:vAlign w:val="bottom"/>
          </w:tcPr>
          <w:p>
            <w:pPr>
              <w:spacing w:after="0"/>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Experts</w:t>
              </w:r>
            </w:hyperlink>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22</w:t>
            </w:r>
          </w:p>
        </w:tc>
      </w:tr>
      <w:tr>
        <w:trPr>
          <w:trHeight w:val="189"/>
        </w:trPr>
        <w:tc>
          <w:tcPr>
            <w:tcW w:w="5480" w:type="dxa"/>
            <w:vAlign w:val="bottom"/>
          </w:tcPr>
          <w:p>
            <w:pPr>
              <w:spacing w:after="0"/>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Legal Matters</w:t>
              </w:r>
            </w:hyperlink>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22</w:t>
            </w:r>
          </w:p>
        </w:tc>
      </w:tr>
      <w:tr>
        <w:trPr>
          <w:trHeight w:val="189"/>
        </w:trPr>
        <w:tc>
          <w:tcPr>
            <w:tcW w:w="5480" w:type="dxa"/>
            <w:vAlign w:val="bottom"/>
          </w:tcPr>
          <w:p>
            <w:pPr>
              <w:spacing w:after="0"/>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Where You Can Find More Information</w:t>
              </w:r>
            </w:hyperlink>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22</w:t>
            </w:r>
          </w:p>
        </w:tc>
      </w:tr>
      <w:tr>
        <w:trPr>
          <w:trHeight w:val="200"/>
        </w:trPr>
        <w:tc>
          <w:tcPr>
            <w:tcW w:w="5480" w:type="dxa"/>
            <w:vAlign w:val="bottom"/>
          </w:tcPr>
          <w:p>
            <w:pPr>
              <w:spacing w:after="0"/>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Incorporation of Certain Documents By Reference</w:t>
              </w:r>
            </w:hyperlink>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22</w:t>
            </w:r>
          </w:p>
        </w:tc>
      </w:tr>
    </w:tbl>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Important Notice about the Information Presented in this Prospectus</w:t>
      </w:r>
    </w:p>
    <w:p>
      <w:pPr>
        <w:spacing w:after="0" w:line="198" w:lineRule="exact"/>
        <w:rPr>
          <w:sz w:val="20"/>
          <w:szCs w:val="20"/>
          <w:color w:val="auto"/>
        </w:rPr>
      </w:pPr>
    </w:p>
    <w:p>
      <w:pPr>
        <w:jc w:val="both"/>
        <w:ind w:right="20" w:firstLine="751"/>
        <w:spacing w:after="0" w:line="253" w:lineRule="auto"/>
        <w:rPr>
          <w:sz w:val="20"/>
          <w:szCs w:val="20"/>
          <w:color w:val="auto"/>
        </w:rPr>
      </w:pPr>
      <w:r>
        <w:rPr>
          <w:rFonts w:ascii="Arial" w:cs="Arial" w:eastAsia="Arial" w:hAnsi="Arial"/>
          <w:sz w:val="16"/>
          <w:szCs w:val="16"/>
          <w:color w:val="auto"/>
        </w:rPr>
        <w:t>You should rely only on the information contained or incorporated by reference in this prospectus or any applicable prospectus supplement. We have not authorized any other person to provide you with different information. If anyone provides you with different or inconsistent information, you should not rely on it. For further information, see the section of this prospectus entitled “Where You Can Find More Information.” We are not making an offer to sell these securities in any jurisdiction where the offer or sale is not permitted.</w:t>
      </w:r>
    </w:p>
    <w:p>
      <w:pPr>
        <w:spacing w:after="0" w:line="169" w:lineRule="exact"/>
        <w:rPr>
          <w:sz w:val="20"/>
          <w:szCs w:val="20"/>
          <w:color w:val="auto"/>
        </w:rPr>
      </w:pPr>
    </w:p>
    <w:p>
      <w:pPr>
        <w:ind w:firstLine="751"/>
        <w:spacing w:after="0" w:line="275" w:lineRule="auto"/>
        <w:rPr>
          <w:sz w:val="20"/>
          <w:szCs w:val="20"/>
          <w:color w:val="auto"/>
        </w:rPr>
      </w:pPr>
      <w:r>
        <w:rPr>
          <w:rFonts w:ascii="Arial" w:cs="Arial" w:eastAsia="Arial" w:hAnsi="Arial"/>
          <w:sz w:val="15"/>
          <w:szCs w:val="15"/>
          <w:color w:val="auto"/>
        </w:rPr>
        <w:t>You should not assume that the information appearing in this prospectus or any applicable prospectus supplement is accurate as of any date other than the date on the front cover of this prospectus or the applicable prospectus supplement, or that the information contained in any document incorporated by reference is accurate as of any date other than the date of the document incorporated by reference, regardless of the time of delivery of this prospectus or any prospectus supplement or any sale of a security. Our business, financial condition, results of operations and prospects may have changed since such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526415</wp:posOffset>
            </wp:positionV>
            <wp:extent cx="716470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140"/>
          </w:cols>
          <w:pgMar w:left="320" w:top="312" w:right="4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6"/>
          <w:szCs w:val="16"/>
          <w:b w:val="1"/>
          <w:bCs w:val="1"/>
          <w:color w:val="auto"/>
        </w:rPr>
        <w:t>ABOUT THIS PROSPECTUS</w:t>
      </w:r>
    </w:p>
    <w:p>
      <w:pPr>
        <w:spacing w:after="0" w:line="198" w:lineRule="exact"/>
        <w:rPr>
          <w:sz w:val="20"/>
          <w:szCs w:val="20"/>
          <w:color w:val="auto"/>
        </w:rPr>
      </w:pPr>
    </w:p>
    <w:p>
      <w:pPr>
        <w:ind w:firstLine="751"/>
        <w:spacing w:after="0" w:line="270" w:lineRule="auto"/>
        <w:rPr>
          <w:sz w:val="20"/>
          <w:szCs w:val="20"/>
          <w:color w:val="auto"/>
        </w:rPr>
      </w:pPr>
      <w:r>
        <w:rPr>
          <w:rFonts w:ascii="Arial" w:cs="Arial" w:eastAsia="Arial" w:hAnsi="Arial"/>
          <w:sz w:val="15"/>
          <w:szCs w:val="15"/>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in one or more offerings up to a total dollar amount of $25,000,000. This prospectus provides you with a general description of the securities we may offer. Each time we sell securities, we will provide a prospectus supplement that will contain specific information about the securities being offered and the terms of that offering. The prospectus supplement may also add to, update or change information contained in this prospectus. You should read both this prospectus and any prospectus supplement together with the additional information described under the heading “Where You Can Find More Information” carefully before making an investment decision.</w:t>
      </w:r>
    </w:p>
    <w:p>
      <w:pPr>
        <w:spacing w:after="0" w:line="159" w:lineRule="exact"/>
        <w:rPr>
          <w:sz w:val="20"/>
          <w:szCs w:val="20"/>
          <w:color w:val="auto"/>
        </w:rPr>
      </w:pPr>
    </w:p>
    <w:p>
      <w:pPr>
        <w:ind w:right="60" w:firstLine="751"/>
        <w:spacing w:after="0" w:line="267" w:lineRule="auto"/>
        <w:rPr>
          <w:sz w:val="20"/>
          <w:szCs w:val="20"/>
          <w:color w:val="auto"/>
        </w:rPr>
      </w:pPr>
      <w:r>
        <w:rPr>
          <w:rFonts w:ascii="Arial" w:cs="Arial" w:eastAsia="Arial" w:hAnsi="Arial"/>
          <w:sz w:val="16"/>
          <w:szCs w:val="16"/>
          <w:color w:val="auto"/>
        </w:rPr>
        <w:t>Unless the context otherwise requires, the terms “Destination XL Group, Inc.,” “DXLG,” “the Company,” “our company,” “we,” “us,” “our” and similar names refer collectively to Destination XL Group, Inc. and its subsidiaries.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PROSPECTUS SUMMARY</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Company</w:t>
      </w:r>
    </w:p>
    <w:p>
      <w:pPr>
        <w:spacing w:after="0" w:line="183" w:lineRule="exact"/>
        <w:rPr>
          <w:sz w:val="20"/>
          <w:szCs w:val="20"/>
          <w:color w:val="auto"/>
        </w:rPr>
      </w:pPr>
    </w:p>
    <w:p>
      <w:pPr>
        <w:ind w:right="180" w:firstLine="751"/>
        <w:spacing w:after="0" w:line="251" w:lineRule="auto"/>
        <w:rPr>
          <w:sz w:val="20"/>
          <w:szCs w:val="20"/>
          <w:color w:val="auto"/>
        </w:rPr>
      </w:pPr>
      <w:r>
        <w:rPr>
          <w:rFonts w:ascii="Arial" w:cs="Arial" w:eastAsia="Arial" w:hAnsi="Arial"/>
          <w:sz w:val="16"/>
          <w:szCs w:val="16"/>
          <w:color w:val="auto"/>
        </w:rPr>
        <w:t>We are the largest specialty retailer of big and tall men’s clothing and shoes with retail operations in the United States and Toronto, Canada and direct businesses throughout the United States, Canada, and Europe. We operate under the trade names of Destination XL</w:t>
      </w:r>
      <w:r>
        <w:rPr>
          <w:rFonts w:ascii="Arial" w:cs="Arial" w:eastAsia="Arial" w:hAnsi="Arial"/>
          <w:sz w:val="13"/>
          <w:szCs w:val="13"/>
          <w:color w:val="auto"/>
        </w:rPr>
        <w:t>®</w:t>
      </w:r>
      <w:r>
        <w:rPr>
          <w:rFonts w:ascii="Arial" w:cs="Arial" w:eastAsia="Arial" w:hAnsi="Arial"/>
          <w:sz w:val="16"/>
          <w:szCs w:val="16"/>
          <w:color w:val="auto"/>
        </w:rPr>
        <w:t>, DXL</w:t>
      </w:r>
      <w:r>
        <w:rPr>
          <w:rFonts w:ascii="Arial" w:cs="Arial" w:eastAsia="Arial" w:hAnsi="Arial"/>
          <w:sz w:val="13"/>
          <w:szCs w:val="13"/>
          <w:color w:val="auto"/>
        </w:rPr>
        <w:t>®</w:t>
      </w:r>
      <w:r>
        <w:rPr>
          <w:rFonts w:ascii="Arial" w:cs="Arial" w:eastAsia="Arial" w:hAnsi="Arial"/>
          <w:sz w:val="16"/>
          <w:szCs w:val="16"/>
          <w:color w:val="auto"/>
        </w:rPr>
        <w:t>, DXL Men’s Apparel, DXL outlets, Casual Male XL</w:t>
      </w:r>
      <w:r>
        <w:rPr>
          <w:rFonts w:ascii="Arial" w:cs="Arial" w:eastAsia="Arial" w:hAnsi="Arial"/>
          <w:sz w:val="13"/>
          <w:szCs w:val="13"/>
          <w:color w:val="auto"/>
        </w:rPr>
        <w:t>®</w:t>
      </w:r>
      <w:r>
        <w:rPr>
          <w:rFonts w:ascii="Arial" w:cs="Arial" w:eastAsia="Arial" w:hAnsi="Arial"/>
          <w:sz w:val="16"/>
          <w:szCs w:val="16"/>
          <w:color w:val="auto"/>
        </w:rPr>
        <w:t xml:space="preserve"> and Casual Male XL outlets. We currently operate 228 DXL retail stores, 17 DXL outlet stores, 50 Casual Male XL retail stores, 26 Casual Male XL outlet stores and a direct business at www.dxl.com. In fiscal 2018, we launched a wholesale business unit focused on product development and distribution relationships with key retailers offering both private label and co-branded men’s big &amp; tall apparel lines.</w:t>
      </w:r>
    </w:p>
    <w:p>
      <w:pPr>
        <w:spacing w:after="0" w:line="172" w:lineRule="exact"/>
        <w:rPr>
          <w:sz w:val="20"/>
          <w:szCs w:val="20"/>
          <w:color w:val="auto"/>
        </w:rPr>
      </w:pPr>
    </w:p>
    <w:p>
      <w:pPr>
        <w:ind w:right="120" w:firstLine="751"/>
        <w:spacing w:after="0" w:line="257" w:lineRule="auto"/>
        <w:rPr>
          <w:sz w:val="20"/>
          <w:szCs w:val="20"/>
          <w:color w:val="auto"/>
        </w:rPr>
      </w:pPr>
      <w:r>
        <w:rPr>
          <w:rFonts w:ascii="Arial" w:cs="Arial" w:eastAsia="Arial" w:hAnsi="Arial"/>
          <w:sz w:val="16"/>
          <w:szCs w:val="16"/>
          <w:color w:val="auto"/>
        </w:rPr>
        <w:t>We are incorporated in the state of Delaware. Our principal executive offices are located at 555 Turnpike Street, Canton, Massachusetts 02021. Our telephone number is (781) 828-9300. Our Internet address is www.dxl.com. Information contained on our website or that is accessible through our website should not be considered to be part of this prospectus.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RISK FACTORS</w:t>
      </w:r>
    </w:p>
    <w:p>
      <w:pPr>
        <w:spacing w:after="0" w:line="198" w:lineRule="exact"/>
        <w:rPr>
          <w:sz w:val="20"/>
          <w:szCs w:val="20"/>
          <w:color w:val="auto"/>
        </w:rPr>
      </w:pPr>
    </w:p>
    <w:p>
      <w:pPr>
        <w:ind w:right="40" w:firstLine="751"/>
        <w:spacing w:after="0" w:line="323" w:lineRule="auto"/>
        <w:rPr>
          <w:sz w:val="20"/>
          <w:szCs w:val="20"/>
          <w:color w:val="auto"/>
        </w:rPr>
      </w:pPr>
      <w:r>
        <w:rPr>
          <w:rFonts w:ascii="Arial" w:cs="Arial" w:eastAsia="Arial" w:hAnsi="Arial"/>
          <w:sz w:val="13"/>
          <w:szCs w:val="13"/>
          <w:color w:val="auto"/>
        </w:rPr>
        <w:t>Investing in our securities involves significant risks. Please see the risk factors under the heading “Risk Factors” in our most recent Annual Report on Form 10-K, as revised or supplemented by our Quarterly Reports on Form 10-Q filed with the SEC since the filing of our most recent Annual Report on Form 10-K, each of which are on file with the SEC and are incorporated by reference in this prospectus. Before making an investment decision, you should carefully consider these risks as well as other information we include or incorporate by reference in this prospectus and any prospectus supplement. The risks and uncertainties we have described are not the only ones facing our company. Additional risks and uncertainties not presently known to us or that we currently deem immaterial may also affect our business operations.</w:t>
      </w: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153670</wp:posOffset>
            </wp:positionV>
            <wp:extent cx="716470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00"/>
          </w:cols>
          <w:pgMar w:left="320" w:top="312" w:right="379" w:bottom="1440" w:gutter="0" w:footer="0" w:header="0"/>
        </w:sectPr>
      </w:pPr>
    </w:p>
    <w:bookmarkStart w:id="5" w:name="page6"/>
    <w:bookmarkEnd w:id="5"/>
    <w:p>
      <w:pPr>
        <w:jc w:val="center"/>
        <w:spacing w:after="0" w:line="184" w:lineRule="exact"/>
        <w:rPr>
          <w:sz w:val="20"/>
          <w:szCs w:val="20"/>
          <w:color w:val="auto"/>
        </w:rPr>
      </w:pPr>
      <w:r>
        <w:rPr>
          <w:rFonts w:ascii="Arial" w:cs="Arial" w:eastAsia="Arial" w:hAnsi="Arial"/>
          <w:sz w:val="16"/>
          <w:szCs w:val="16"/>
          <w:b w:val="1"/>
          <w:bCs w:val="1"/>
          <w:color w:val="auto"/>
        </w:rPr>
        <w:t>SPECIAL NOTE REGARDING FORWARD</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LOOKING INFORMATION</w:t>
      </w:r>
    </w:p>
    <w:p>
      <w:pPr>
        <w:spacing w:after="0" w:line="387" w:lineRule="exact"/>
        <w:rPr>
          <w:sz w:val="20"/>
          <w:szCs w:val="20"/>
          <w:color w:val="auto"/>
        </w:rPr>
      </w:pPr>
    </w:p>
    <w:p>
      <w:pPr>
        <w:spacing w:after="0" w:line="194" w:lineRule="exact"/>
        <w:rPr>
          <w:sz w:val="20"/>
          <w:szCs w:val="20"/>
          <w:color w:val="auto"/>
        </w:rPr>
      </w:pPr>
      <w:r>
        <w:rPr>
          <w:rFonts w:ascii="Arial" w:cs="Arial" w:eastAsia="Arial" w:hAnsi="Arial"/>
          <w:sz w:val="13"/>
          <w:szCs w:val="13"/>
          <w:color w:val="auto"/>
        </w:rPr>
        <w:t>This prospectus includes and incorporates forward</w:t>
      </w:r>
      <w:r>
        <w:rPr>
          <w:rFonts w:ascii="MS PGothic" w:cs="MS PGothic" w:eastAsia="MS PGothic" w:hAnsi="MS PGothic"/>
          <w:sz w:val="13"/>
          <w:szCs w:val="13"/>
          <w:color w:val="auto"/>
        </w:rPr>
        <w:t>‑</w:t>
      </w:r>
      <w:r>
        <w:rPr>
          <w:rFonts w:ascii="Arial" w:cs="Arial" w:eastAsia="Arial" w:hAnsi="Arial"/>
          <w:sz w:val="13"/>
          <w:szCs w:val="13"/>
          <w:color w:val="auto"/>
        </w:rPr>
        <w:t>looking statements within the meaning of Section 27A of the Securities Act of 1933, as amended (the “Securities Act”), and Section 21E of the Securities Exchange Act of 1934, as amended (the “Exchange Act”). All statements, other than statements of historical facts, included or incorporated in this prospectus regarding our strategy, future operations, financial position, future revenues, projected costs, prospects, plans and objectives of management are forward</w:t>
      </w:r>
      <w:r>
        <w:rPr>
          <w:rFonts w:ascii="MS PGothic" w:cs="MS PGothic" w:eastAsia="MS PGothic" w:hAnsi="MS PGothic"/>
          <w:sz w:val="13"/>
          <w:szCs w:val="13"/>
          <w:color w:val="auto"/>
        </w:rPr>
        <w:t>‑</w:t>
      </w:r>
      <w:r>
        <w:rPr>
          <w:rFonts w:ascii="Arial" w:cs="Arial" w:eastAsia="Arial" w:hAnsi="Arial"/>
          <w:sz w:val="13"/>
          <w:szCs w:val="13"/>
          <w:color w:val="auto"/>
        </w:rPr>
        <w:t>looking statements. In some cases, forward-looking statements can be identified by the use of forward-looking terminology such as “may,” “will,” “estimate,” “intend,” “plan,” “continue,” “believe,” “expect” or “anticipate” or the negatives thereof, variations thereon or similar terminology, although not all forward</w:t>
      </w:r>
      <w:r>
        <w:rPr>
          <w:rFonts w:ascii="MS PGothic" w:cs="MS PGothic" w:eastAsia="MS PGothic" w:hAnsi="MS PGothic"/>
          <w:sz w:val="13"/>
          <w:szCs w:val="13"/>
          <w:color w:val="auto"/>
        </w:rPr>
        <w:t>‑</w:t>
      </w:r>
      <w:r>
        <w:rPr>
          <w:rFonts w:ascii="Arial" w:cs="Arial" w:eastAsia="Arial" w:hAnsi="Arial"/>
          <w:sz w:val="13"/>
          <w:szCs w:val="13"/>
          <w:color w:val="auto"/>
        </w:rPr>
        <w:t>looking statements contain these identifying words. These forward-looking statements, which are not exhaustive, generally relate to plans and objectives for future operations and are based upon management’s reasonable estimates of future results or trends and also includes statements regarding the impact of the coronavirus outbreak on the Company’s business and results in fiscal 2020 and actions being taken by the Company to mitigate the impact, including to reduce operating expenses and capital expenditures, cancel inventory receipts, and to preserve liquidity. We cannot guarantee that we actually will achieve the plans, intentions or expectations disclosed in our forward</w:t>
      </w:r>
      <w:r>
        <w:rPr>
          <w:rFonts w:ascii="MS PGothic" w:cs="MS PGothic" w:eastAsia="MS PGothic" w:hAnsi="MS PGothic"/>
          <w:sz w:val="13"/>
          <w:szCs w:val="13"/>
          <w:color w:val="auto"/>
        </w:rPr>
        <w:t>‑</w:t>
      </w:r>
      <w:r>
        <w:rPr>
          <w:rFonts w:ascii="Arial" w:cs="Arial" w:eastAsia="Arial" w:hAnsi="Arial"/>
          <w:sz w:val="13"/>
          <w:szCs w:val="13"/>
          <w:color w:val="auto"/>
        </w:rPr>
        <w:t>looking statements and you should not place undue reliance on our forward</w:t>
      </w:r>
      <w:r>
        <w:rPr>
          <w:rFonts w:ascii="MS PGothic" w:cs="MS PGothic" w:eastAsia="MS PGothic" w:hAnsi="MS PGothic"/>
          <w:sz w:val="13"/>
          <w:szCs w:val="13"/>
          <w:color w:val="auto"/>
        </w:rPr>
        <w:t>‑</w:t>
      </w:r>
      <w:r>
        <w:rPr>
          <w:rFonts w:ascii="Arial" w:cs="Arial" w:eastAsia="Arial" w:hAnsi="Arial"/>
          <w:sz w:val="13"/>
          <w:szCs w:val="13"/>
          <w:color w:val="auto"/>
        </w:rPr>
        <w:t>looking statements. These forward-looking statements are subject to a number of known and unknown risks, uncertainties and assumptions, including risks described in the section titled “Risk Factors” and elsewhere in this prospectus, and in the documents we incorporate by reference in this prospectus. You should read these factors and other cautionary statements made in this prospectus and any accompanying prospectus supplement, and in the documents we incorporate by reference as being applicable to all related forward-looking statements wherever they appear in the prospectus and any accompanying prospectus supplement, and in the documents incorporated by reference. These factors include, among other things:</w:t>
      </w:r>
    </w:p>
    <w:p>
      <w:pPr>
        <w:spacing w:after="0" w:line="376" w:lineRule="exact"/>
        <w:rPr>
          <w:sz w:val="20"/>
          <w:szCs w:val="20"/>
          <w:color w:val="auto"/>
        </w:rPr>
      </w:pPr>
    </w:p>
    <w:p>
      <w:pPr>
        <w:ind w:left="720" w:hanging="359"/>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operate due to the business interruption caused by the Coronavirus pandemic that resulted in temporary store closings;</w:t>
      </w:r>
    </w:p>
    <w:p>
      <w:pPr>
        <w:spacing w:after="0" w:line="52" w:lineRule="exact"/>
        <w:rPr>
          <w:rFonts w:ascii="Arial" w:cs="Arial" w:eastAsia="Arial" w:hAnsi="Arial"/>
          <w:sz w:val="16"/>
          <w:szCs w:val="16"/>
          <w:color w:val="auto"/>
        </w:rPr>
      </w:pPr>
    </w:p>
    <w:p>
      <w:pPr>
        <w:ind w:left="720" w:hanging="359"/>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execute our strategy and grow our market share;</w:t>
      </w:r>
    </w:p>
    <w:p>
      <w:pPr>
        <w:spacing w:after="0" w:line="52" w:lineRule="exact"/>
        <w:rPr>
          <w:rFonts w:ascii="Arial" w:cs="Arial" w:eastAsia="Arial" w:hAnsi="Arial"/>
          <w:sz w:val="16"/>
          <w:szCs w:val="16"/>
          <w:color w:val="auto"/>
        </w:rPr>
      </w:pPr>
    </w:p>
    <w:p>
      <w:pPr>
        <w:ind w:left="720" w:hanging="359"/>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develop and execute marketing programs to drive traffic and convert that traffic into a loyal customer base;</w:t>
      </w:r>
    </w:p>
    <w:p>
      <w:pPr>
        <w:spacing w:after="0" w:line="52" w:lineRule="exact"/>
        <w:rPr>
          <w:rFonts w:ascii="Arial" w:cs="Arial" w:eastAsia="Arial" w:hAnsi="Arial"/>
          <w:sz w:val="16"/>
          <w:szCs w:val="16"/>
          <w:color w:val="auto"/>
        </w:rPr>
      </w:pPr>
    </w:p>
    <w:p>
      <w:pPr>
        <w:ind w:left="720" w:hanging="359"/>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grow our direct business and develop our e-commerce and internet infrastructure;</w:t>
      </w:r>
    </w:p>
    <w:p>
      <w:pPr>
        <w:spacing w:after="0" w:line="52" w:lineRule="exact"/>
        <w:rPr>
          <w:rFonts w:ascii="Arial" w:cs="Arial" w:eastAsia="Arial" w:hAnsi="Arial"/>
          <w:sz w:val="16"/>
          <w:szCs w:val="16"/>
          <w:color w:val="auto"/>
        </w:rPr>
      </w:pPr>
    </w:p>
    <w:p>
      <w:pPr>
        <w:ind w:left="720" w:hanging="359"/>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grow our wholesale segment;</w:t>
      </w:r>
    </w:p>
    <w:p>
      <w:pPr>
        <w:spacing w:after="0" w:line="52" w:lineRule="exact"/>
        <w:rPr>
          <w:rFonts w:ascii="Arial" w:cs="Arial" w:eastAsia="Arial" w:hAnsi="Arial"/>
          <w:sz w:val="16"/>
          <w:szCs w:val="16"/>
          <w:color w:val="auto"/>
        </w:rPr>
      </w:pPr>
    </w:p>
    <w:p>
      <w:pPr>
        <w:ind w:left="720" w:hanging="359"/>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develop and implement our omni-channel initiatives;</w:t>
      </w:r>
    </w:p>
    <w:p>
      <w:pPr>
        <w:spacing w:after="0" w:line="52" w:lineRule="exact"/>
        <w:rPr>
          <w:rFonts w:ascii="Arial" w:cs="Arial" w:eastAsia="Arial" w:hAnsi="Arial"/>
          <w:sz w:val="16"/>
          <w:szCs w:val="16"/>
          <w:color w:val="auto"/>
        </w:rPr>
      </w:pPr>
    </w:p>
    <w:p>
      <w:pPr>
        <w:ind w:left="720" w:hanging="359"/>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maintain our central distribution center;</w:t>
      </w:r>
    </w:p>
    <w:p>
      <w:pPr>
        <w:spacing w:after="0" w:line="52" w:lineRule="exact"/>
        <w:rPr>
          <w:rFonts w:ascii="Arial" w:cs="Arial" w:eastAsia="Arial" w:hAnsi="Arial"/>
          <w:sz w:val="16"/>
          <w:szCs w:val="16"/>
          <w:color w:val="auto"/>
        </w:rPr>
      </w:pPr>
    </w:p>
    <w:p>
      <w:pPr>
        <w:ind w:left="720" w:hanging="359"/>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identify suitable store locations with acceptable lease terms;</w:t>
      </w:r>
    </w:p>
    <w:p>
      <w:pPr>
        <w:spacing w:after="0" w:line="52" w:lineRule="exact"/>
        <w:rPr>
          <w:rFonts w:ascii="Arial" w:cs="Arial" w:eastAsia="Arial" w:hAnsi="Arial"/>
          <w:sz w:val="16"/>
          <w:szCs w:val="16"/>
          <w:color w:val="auto"/>
        </w:rPr>
      </w:pPr>
    </w:p>
    <w:p>
      <w:pPr>
        <w:ind w:left="720" w:hanging="359"/>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be successful in a highly competitive market;</w:t>
      </w:r>
    </w:p>
    <w:p>
      <w:pPr>
        <w:spacing w:after="0" w:line="52" w:lineRule="exact"/>
        <w:rPr>
          <w:rFonts w:ascii="Arial" w:cs="Arial" w:eastAsia="Arial" w:hAnsi="Arial"/>
          <w:sz w:val="16"/>
          <w:szCs w:val="16"/>
          <w:color w:val="auto"/>
        </w:rPr>
      </w:pPr>
    </w:p>
    <w:p>
      <w:pPr>
        <w:ind w:left="720" w:hanging="359"/>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engage third parties to manufacture our merchandise;</w:t>
      </w:r>
    </w:p>
    <w:p>
      <w:pPr>
        <w:spacing w:after="0" w:line="52" w:lineRule="exact"/>
        <w:rPr>
          <w:rFonts w:ascii="Arial" w:cs="Arial" w:eastAsia="Arial" w:hAnsi="Arial"/>
          <w:sz w:val="16"/>
          <w:szCs w:val="16"/>
          <w:color w:val="auto"/>
        </w:rPr>
      </w:pPr>
    </w:p>
    <w:p>
      <w:pPr>
        <w:ind w:left="720" w:hanging="359"/>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operate with economic, health and political issues abroad and in the U.S;</w:t>
      </w:r>
    </w:p>
    <w:p>
      <w:pPr>
        <w:spacing w:after="0" w:line="52" w:lineRule="exact"/>
        <w:rPr>
          <w:rFonts w:ascii="Arial" w:cs="Arial" w:eastAsia="Arial" w:hAnsi="Arial"/>
          <w:sz w:val="16"/>
          <w:szCs w:val="16"/>
          <w:color w:val="auto"/>
        </w:rPr>
      </w:pPr>
    </w:p>
    <w:p>
      <w:pPr>
        <w:ind w:left="720" w:hanging="359"/>
        <w:spacing w:after="0"/>
        <w:tabs>
          <w:tab w:leader="none" w:pos="720" w:val="left"/>
        </w:tabs>
        <w:numPr>
          <w:ilvl w:val="0"/>
          <w:numId w:val="2"/>
        </w:numPr>
        <w:rPr>
          <w:rFonts w:ascii="Arial" w:cs="Arial" w:eastAsia="Arial" w:hAnsi="Arial"/>
          <w:sz w:val="13"/>
          <w:szCs w:val="13"/>
          <w:color w:val="auto"/>
        </w:rPr>
      </w:pPr>
      <w:r>
        <w:rPr>
          <w:rFonts w:ascii="Arial" w:cs="Arial" w:eastAsia="Arial" w:hAnsi="Arial"/>
          <w:sz w:val="13"/>
          <w:szCs w:val="13"/>
          <w:color w:val="auto"/>
        </w:rPr>
        <w:t>Our ability to operate and expand our business and to respond to changing business and economic conditions will depend on the availability of adequate capital;</w:t>
      </w:r>
    </w:p>
    <w:p>
      <w:pPr>
        <w:spacing w:after="0" w:line="86" w:lineRule="exact"/>
        <w:rPr>
          <w:rFonts w:ascii="Arial" w:cs="Arial" w:eastAsia="Arial" w:hAnsi="Arial"/>
          <w:sz w:val="13"/>
          <w:szCs w:val="13"/>
          <w:color w:val="auto"/>
        </w:rPr>
      </w:pPr>
    </w:p>
    <w:p>
      <w:pPr>
        <w:ind w:left="720" w:hanging="359"/>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protect the proprietary information of our customers and our security systems;</w:t>
      </w:r>
    </w:p>
    <w:p>
      <w:pPr>
        <w:spacing w:after="0" w:line="52" w:lineRule="exact"/>
        <w:rPr>
          <w:rFonts w:ascii="Arial" w:cs="Arial" w:eastAsia="Arial" w:hAnsi="Arial"/>
          <w:sz w:val="16"/>
          <w:szCs w:val="16"/>
          <w:color w:val="auto"/>
        </w:rPr>
      </w:pPr>
    </w:p>
    <w:p>
      <w:pPr>
        <w:ind w:left="720" w:hanging="359"/>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predict fashion trends and customer preferences successfully;</w:t>
      </w:r>
    </w:p>
    <w:p>
      <w:pPr>
        <w:spacing w:after="0" w:line="52" w:lineRule="exact"/>
        <w:rPr>
          <w:rFonts w:ascii="Arial" w:cs="Arial" w:eastAsia="Arial" w:hAnsi="Arial"/>
          <w:sz w:val="16"/>
          <w:szCs w:val="16"/>
          <w:color w:val="auto"/>
        </w:rPr>
      </w:pPr>
    </w:p>
    <w:p>
      <w:pPr>
        <w:ind w:left="720" w:hanging="359"/>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maintain our key trademarks and licenses;</w:t>
      </w:r>
    </w:p>
    <w:p>
      <w:pPr>
        <w:spacing w:after="0" w:line="52" w:lineRule="exact"/>
        <w:rPr>
          <w:rFonts w:ascii="Arial" w:cs="Arial" w:eastAsia="Arial" w:hAnsi="Arial"/>
          <w:sz w:val="16"/>
          <w:szCs w:val="16"/>
          <w:color w:val="auto"/>
        </w:rPr>
      </w:pPr>
    </w:p>
    <w:p>
      <w:pPr>
        <w:ind w:left="720" w:hanging="359"/>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attract and maintain key personnel;</w:t>
      </w:r>
    </w:p>
    <w:p>
      <w:pPr>
        <w:spacing w:after="0" w:line="52" w:lineRule="exact"/>
        <w:rPr>
          <w:rFonts w:ascii="Arial" w:cs="Arial" w:eastAsia="Arial" w:hAnsi="Arial"/>
          <w:sz w:val="16"/>
          <w:szCs w:val="16"/>
          <w:color w:val="auto"/>
        </w:rPr>
      </w:pPr>
    </w:p>
    <w:p>
      <w:pPr>
        <w:ind w:left="720" w:hanging="359"/>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manage the price, availability and quality of raw materials and finished goods;</w:t>
      </w:r>
    </w:p>
    <w:p>
      <w:pPr>
        <w:spacing w:after="0" w:line="52" w:lineRule="exact"/>
        <w:rPr>
          <w:rFonts w:ascii="Arial" w:cs="Arial" w:eastAsia="Arial" w:hAnsi="Arial"/>
          <w:sz w:val="16"/>
          <w:szCs w:val="16"/>
          <w:color w:val="auto"/>
        </w:rPr>
      </w:pPr>
    </w:p>
    <w:p>
      <w:pPr>
        <w:ind w:left="720" w:hanging="359"/>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comply with laws, rules and regulations;</w:t>
      </w:r>
    </w:p>
    <w:p>
      <w:pPr>
        <w:spacing w:after="0" w:line="52" w:lineRule="exact"/>
        <w:rPr>
          <w:rFonts w:ascii="Arial" w:cs="Arial" w:eastAsia="Arial" w:hAnsi="Arial"/>
          <w:sz w:val="16"/>
          <w:szCs w:val="16"/>
          <w:color w:val="auto"/>
        </w:rPr>
      </w:pPr>
    </w:p>
    <w:p>
      <w:pPr>
        <w:ind w:left="720" w:hanging="359"/>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ability of our stock price to withstand volatility due to many factors;</w:t>
      </w:r>
    </w:p>
    <w:p>
      <w:pPr>
        <w:spacing w:after="0" w:line="52" w:lineRule="exact"/>
        <w:rPr>
          <w:rFonts w:ascii="Arial" w:cs="Arial" w:eastAsia="Arial" w:hAnsi="Arial"/>
          <w:sz w:val="16"/>
          <w:szCs w:val="16"/>
          <w:color w:val="auto"/>
        </w:rPr>
      </w:pPr>
    </w:p>
    <w:p>
      <w:pPr>
        <w:ind w:left="720" w:hanging="359"/>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maintain listing of our common stock on the Nasdaq Global Select Market; and</w:t>
      </w:r>
    </w:p>
    <w:p>
      <w:pPr>
        <w:spacing w:after="0" w:line="52" w:lineRule="exact"/>
        <w:rPr>
          <w:rFonts w:ascii="Arial" w:cs="Arial" w:eastAsia="Arial" w:hAnsi="Arial"/>
          <w:sz w:val="16"/>
          <w:szCs w:val="16"/>
          <w:color w:val="auto"/>
        </w:rPr>
      </w:pPr>
    </w:p>
    <w:p>
      <w:pPr>
        <w:ind w:left="720" w:hanging="359"/>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maintain as a going concern.</w:t>
      </w:r>
    </w:p>
    <w:p>
      <w:pPr>
        <w:spacing w:after="0" w:line="100" w:lineRule="exact"/>
        <w:rPr>
          <w:sz w:val="20"/>
          <w:szCs w:val="20"/>
          <w:color w:val="auto"/>
        </w:rPr>
      </w:pPr>
    </w:p>
    <w:p>
      <w:pPr>
        <w:ind w:right="80"/>
        <w:spacing w:after="0" w:line="330" w:lineRule="auto"/>
        <w:rPr>
          <w:sz w:val="20"/>
          <w:szCs w:val="20"/>
          <w:color w:val="auto"/>
        </w:rPr>
      </w:pPr>
      <w:r>
        <w:rPr>
          <w:rFonts w:ascii="Arial" w:cs="Arial" w:eastAsia="Arial" w:hAnsi="Arial"/>
          <w:sz w:val="13"/>
          <w:szCs w:val="13"/>
          <w:color w:val="auto"/>
        </w:rPr>
        <w:t>New risk factors emerge from time to time and it is not possible for us to predict all risk factors, nor can we assess the impact of all factors on our business or the extent to which any factor, or combination of factors, may cause actual results to differ materially from those contained in any forward-looking statements. These forward-looking statements speak only as of the date of the document in which they are made. We disclaim any obligation or undertaking to provide any updates or revisions to any forward-looking statement to reflect any change in its expectations or any change in events, conditions or circumstances in which the forward-looking statement is based.</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6470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USE OF PROCEEDS</w:t>
      </w:r>
    </w:p>
    <w:p>
      <w:pPr>
        <w:spacing w:after="0" w:line="198" w:lineRule="exact"/>
        <w:rPr>
          <w:sz w:val="20"/>
          <w:szCs w:val="20"/>
          <w:color w:val="auto"/>
        </w:rPr>
      </w:pPr>
    </w:p>
    <w:p>
      <w:pPr>
        <w:ind w:firstLine="751"/>
        <w:spacing w:after="0" w:line="250" w:lineRule="auto"/>
        <w:rPr>
          <w:sz w:val="20"/>
          <w:szCs w:val="20"/>
          <w:color w:val="auto"/>
        </w:rPr>
      </w:pPr>
      <w:r>
        <w:rPr>
          <w:rFonts w:ascii="Arial" w:cs="Arial" w:eastAsia="Arial" w:hAnsi="Arial"/>
          <w:sz w:val="16"/>
          <w:szCs w:val="16"/>
          <w:color w:val="auto"/>
        </w:rPr>
        <w:t>We currently intend to use the estimated net proceeds from the sale of these securities for working capital and other general corporate purposes. Working capital and other general corporate purposes may include repaying debt, making capital expenditures, funding general and administrative expenses and any other purpose that we may specify in any prospectus supplement. We have not yet determined the amount of net proceeds to be used specifically for any of the foregoing purposes. Accordingly, our management will have significant discretion and flexibility in applying the net proceeds from the sale of these securities. Pending any use, as described above, we intend to invest the net proceeds in high-quality, short-term, interest-bearing securities. Our plans to use the estimated net proceeds from the sale of these securities may change, and if they do, we will update this information in a prospectus supplement.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SECURITIES WE MAY OFFER</w:t>
      </w:r>
    </w:p>
    <w:p>
      <w:pPr>
        <w:spacing w:after="0" w:line="198" w:lineRule="exact"/>
        <w:rPr>
          <w:sz w:val="20"/>
          <w:szCs w:val="20"/>
          <w:color w:val="auto"/>
        </w:rPr>
      </w:pPr>
    </w:p>
    <w:p>
      <w:pPr>
        <w:ind w:right="120" w:firstLine="751"/>
        <w:spacing w:after="0" w:line="251" w:lineRule="auto"/>
        <w:rPr>
          <w:sz w:val="20"/>
          <w:szCs w:val="20"/>
          <w:color w:val="auto"/>
        </w:rPr>
      </w:pPr>
      <w:r>
        <w:rPr>
          <w:rFonts w:ascii="Arial" w:cs="Arial" w:eastAsia="Arial" w:hAnsi="Arial"/>
          <w:sz w:val="16"/>
          <w:szCs w:val="16"/>
          <w:color w:val="auto"/>
        </w:rPr>
        <w:t>The descriptions of the securities contained in this prospectus, together with the applicable prospectus supplements, summarize the material terms and provisions of the various types of securities that we may offer. We will describe in the applicable prospectus supplement relating to any securities the particular terms of the securities offered by that prospectus supplement. If we so indicate in the applicable prospectus supplement, the terms of the securities may differ from the terms we have summarized below. We will also include in the prospectus supplement information, where applicable, about material United States federal income tax considerations relating to the securities, and the securities exchange, if any, on which the securities will be listed.</w:t>
      </w:r>
    </w:p>
    <w:p>
      <w:pPr>
        <w:spacing w:after="0" w:line="172" w:lineRule="exact"/>
        <w:rPr>
          <w:sz w:val="20"/>
          <w:szCs w:val="20"/>
          <w:color w:val="auto"/>
        </w:rPr>
      </w:pPr>
    </w:p>
    <w:p>
      <w:pPr>
        <w:ind w:left="740"/>
        <w:spacing w:after="0"/>
        <w:rPr>
          <w:sz w:val="20"/>
          <w:szCs w:val="20"/>
          <w:color w:val="auto"/>
        </w:rPr>
      </w:pPr>
      <w:r>
        <w:rPr>
          <w:rFonts w:ascii="Arial" w:cs="Arial" w:eastAsia="Arial" w:hAnsi="Arial"/>
          <w:sz w:val="16"/>
          <w:szCs w:val="16"/>
          <w:color w:val="auto"/>
        </w:rPr>
        <w:t>We may sell from time to time, in one or more offerings:</w:t>
      </w:r>
    </w:p>
    <w:p>
      <w:pPr>
        <w:spacing w:after="0" w:line="194" w:lineRule="exact"/>
        <w:rPr>
          <w:sz w:val="20"/>
          <w:szCs w:val="20"/>
          <w:color w:val="auto"/>
        </w:rPr>
      </w:pPr>
    </w:p>
    <w:p>
      <w:pPr>
        <w:ind w:left="1100" w:hanging="361"/>
        <w:spacing w:after="0"/>
        <w:tabs>
          <w:tab w:leader="none" w:pos="11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common stock;</w:t>
      </w:r>
    </w:p>
    <w:p>
      <w:pPr>
        <w:spacing w:after="0" w:line="194" w:lineRule="exact"/>
        <w:rPr>
          <w:rFonts w:ascii="Arial" w:cs="Arial" w:eastAsia="Arial" w:hAnsi="Arial"/>
          <w:sz w:val="16"/>
          <w:szCs w:val="16"/>
          <w:color w:val="auto"/>
        </w:rPr>
      </w:pPr>
    </w:p>
    <w:p>
      <w:pPr>
        <w:ind w:left="1100" w:hanging="361"/>
        <w:spacing w:after="0"/>
        <w:tabs>
          <w:tab w:leader="none" w:pos="110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preferred stock;</w:t>
      </w:r>
    </w:p>
    <w:p>
      <w:pPr>
        <w:spacing w:after="0" w:line="194" w:lineRule="exact"/>
        <w:rPr>
          <w:rFonts w:ascii="Arial" w:cs="Arial" w:eastAsia="Arial" w:hAnsi="Arial"/>
          <w:sz w:val="16"/>
          <w:szCs w:val="16"/>
          <w:color w:val="auto"/>
        </w:rPr>
      </w:pPr>
    </w:p>
    <w:p>
      <w:pPr>
        <w:ind w:left="1100" w:hanging="361"/>
        <w:spacing w:after="0"/>
        <w:tabs>
          <w:tab w:leader="none" w:pos="110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depositary shares;</w:t>
      </w:r>
    </w:p>
    <w:p>
      <w:pPr>
        <w:spacing w:after="0" w:line="194" w:lineRule="exact"/>
        <w:rPr>
          <w:rFonts w:ascii="Arial" w:cs="Arial" w:eastAsia="Arial" w:hAnsi="Arial"/>
          <w:sz w:val="16"/>
          <w:szCs w:val="16"/>
          <w:color w:val="auto"/>
        </w:rPr>
      </w:pPr>
    </w:p>
    <w:p>
      <w:pPr>
        <w:ind w:left="1100" w:hanging="361"/>
        <w:spacing w:after="0"/>
        <w:tabs>
          <w:tab w:leader="none" w:pos="11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warrants to purchase common stock, preferred stock, depositary shares or units;</w:t>
      </w:r>
    </w:p>
    <w:p>
      <w:pPr>
        <w:spacing w:after="0" w:line="194" w:lineRule="exact"/>
        <w:rPr>
          <w:rFonts w:ascii="Arial" w:cs="Arial" w:eastAsia="Arial" w:hAnsi="Arial"/>
          <w:sz w:val="16"/>
          <w:szCs w:val="16"/>
          <w:color w:val="auto"/>
        </w:rPr>
      </w:pPr>
    </w:p>
    <w:p>
      <w:pPr>
        <w:ind w:left="1100" w:hanging="361"/>
        <w:spacing w:after="0"/>
        <w:tabs>
          <w:tab w:leader="none" w:pos="110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debt securities;</w:t>
      </w:r>
    </w:p>
    <w:p>
      <w:pPr>
        <w:spacing w:after="0" w:line="194" w:lineRule="exact"/>
        <w:rPr>
          <w:rFonts w:ascii="Arial" w:cs="Arial" w:eastAsia="Arial" w:hAnsi="Arial"/>
          <w:sz w:val="16"/>
          <w:szCs w:val="16"/>
          <w:color w:val="auto"/>
        </w:rPr>
      </w:pPr>
    </w:p>
    <w:p>
      <w:pPr>
        <w:ind w:left="1100" w:hanging="361"/>
        <w:spacing w:after="0"/>
        <w:tabs>
          <w:tab w:leader="none" w:pos="1100" w:val="left"/>
        </w:tabs>
        <w:numPr>
          <w:ilvl w:val="0"/>
          <w:numId w:val="3"/>
        </w:numPr>
        <w:rPr>
          <w:rFonts w:ascii="Arial" w:cs="Arial" w:eastAsia="Arial" w:hAnsi="Arial"/>
          <w:sz w:val="16"/>
          <w:szCs w:val="16"/>
          <w:color w:val="auto"/>
        </w:rPr>
      </w:pPr>
      <w:r>
        <w:rPr>
          <w:rFonts w:ascii="Arial" w:cs="Arial" w:eastAsia="Arial" w:hAnsi="Arial"/>
          <w:sz w:val="16"/>
          <w:szCs w:val="16"/>
          <w:color w:val="auto"/>
        </w:rPr>
        <w:t>purchase contracts;</w:t>
      </w:r>
    </w:p>
    <w:p>
      <w:pPr>
        <w:spacing w:after="0" w:line="194" w:lineRule="exact"/>
        <w:rPr>
          <w:rFonts w:ascii="Arial" w:cs="Arial" w:eastAsia="Arial" w:hAnsi="Arial"/>
          <w:sz w:val="16"/>
          <w:szCs w:val="16"/>
          <w:color w:val="auto"/>
        </w:rPr>
      </w:pPr>
    </w:p>
    <w:p>
      <w:pPr>
        <w:ind w:left="1100" w:hanging="361"/>
        <w:spacing w:after="0"/>
        <w:tabs>
          <w:tab w:leader="none" w:pos="11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rights to purchase common stock, preferred stock, depositary shares or warrants; or</w:t>
      </w:r>
    </w:p>
    <w:p>
      <w:pPr>
        <w:spacing w:after="0" w:line="194" w:lineRule="exact"/>
        <w:rPr>
          <w:rFonts w:ascii="Arial" w:cs="Arial" w:eastAsia="Arial" w:hAnsi="Arial"/>
          <w:sz w:val="16"/>
          <w:szCs w:val="16"/>
          <w:color w:val="auto"/>
        </w:rPr>
      </w:pPr>
    </w:p>
    <w:p>
      <w:pPr>
        <w:ind w:left="1100" w:hanging="361"/>
        <w:spacing w:after="0"/>
        <w:tabs>
          <w:tab w:leader="none" w:pos="110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units comprised of common stock, preferred stock, depositary shares, debt securities, warrants and purchase contracts in any combination.</w:t>
      </w:r>
    </w:p>
    <w:p>
      <w:pPr>
        <w:spacing w:after="0" w:line="194" w:lineRule="exact"/>
        <w:rPr>
          <w:sz w:val="20"/>
          <w:szCs w:val="20"/>
          <w:color w:val="auto"/>
        </w:rPr>
      </w:pPr>
    </w:p>
    <w:p>
      <w:pPr>
        <w:ind w:right="380" w:firstLine="751"/>
        <w:spacing w:after="0" w:line="267" w:lineRule="auto"/>
        <w:rPr>
          <w:sz w:val="20"/>
          <w:szCs w:val="20"/>
          <w:color w:val="auto"/>
        </w:rPr>
      </w:pPr>
      <w:r>
        <w:rPr>
          <w:rFonts w:ascii="Arial" w:cs="Arial" w:eastAsia="Arial" w:hAnsi="Arial"/>
          <w:sz w:val="16"/>
          <w:szCs w:val="16"/>
          <w:color w:val="auto"/>
        </w:rPr>
        <w:t>In this prospectus, we refer to the common stock, preferred stock, depositary shares, warrants, debt securities, purchase contracts, rights and units collectively as “securities.” The total dollar amount of all securities that we may issue will not exceed $25,000,000.</w:t>
      </w:r>
    </w:p>
    <w:p>
      <w:pPr>
        <w:spacing w:after="0" w:line="158"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This prospectus may not be used to consummate a sale of securities unless it is accompanied by a prospectus supplement.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6470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6"/>
          <w:szCs w:val="16"/>
          <w:b w:val="1"/>
          <w:bCs w:val="1"/>
          <w:color w:val="auto"/>
        </w:rPr>
        <w:t>DESCRIPTION OF COMMON STOCK</w:t>
      </w:r>
    </w:p>
    <w:p>
      <w:pPr>
        <w:spacing w:after="0" w:line="198" w:lineRule="exact"/>
        <w:rPr>
          <w:sz w:val="20"/>
          <w:szCs w:val="20"/>
          <w:color w:val="auto"/>
        </w:rPr>
      </w:pPr>
    </w:p>
    <w:p>
      <w:pPr>
        <w:ind w:firstLine="751"/>
        <w:spacing w:after="0" w:line="385" w:lineRule="auto"/>
        <w:rPr>
          <w:sz w:val="20"/>
          <w:szCs w:val="20"/>
          <w:color w:val="auto"/>
        </w:rPr>
      </w:pPr>
      <w:r>
        <w:rPr>
          <w:rFonts w:ascii="Arial" w:cs="Arial" w:eastAsia="Arial" w:hAnsi="Arial"/>
          <w:sz w:val="13"/>
          <w:szCs w:val="13"/>
          <w:color w:val="auto"/>
        </w:rPr>
        <w:t>For a description of our common stock, please see the Description of Securities of the Company filed as Exhibit 4.1 to our Annual Report on Form 10-K for the fiscal year ended February 1, 2020 filed with the SEC on March 19, 2020, and any future description of capital stock filed thereafter for the purpose of updating such description.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6470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00"/>
          </w:cols>
          <w:pgMar w:left="320" w:top="312" w:right="37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6"/>
          <w:szCs w:val="16"/>
          <w:b w:val="1"/>
          <w:bCs w:val="1"/>
          <w:color w:val="auto"/>
        </w:rPr>
        <w:t>DESCRIPTION OF PREFERRED STOCK</w:t>
      </w:r>
    </w:p>
    <w:p>
      <w:pPr>
        <w:spacing w:after="0" w:line="198" w:lineRule="exact"/>
        <w:rPr>
          <w:sz w:val="20"/>
          <w:szCs w:val="20"/>
          <w:color w:val="auto"/>
        </w:rPr>
      </w:pPr>
    </w:p>
    <w:p>
      <w:pPr>
        <w:jc w:val="both"/>
        <w:ind w:right="80" w:firstLine="751"/>
        <w:spacing w:after="0" w:line="257" w:lineRule="auto"/>
        <w:rPr>
          <w:sz w:val="20"/>
          <w:szCs w:val="20"/>
          <w:color w:val="auto"/>
        </w:rPr>
      </w:pPr>
      <w:r>
        <w:rPr>
          <w:rFonts w:ascii="Arial" w:cs="Arial" w:eastAsia="Arial" w:hAnsi="Arial"/>
          <w:sz w:val="16"/>
          <w:szCs w:val="16"/>
          <w:color w:val="auto"/>
        </w:rPr>
        <w:t>Under our certificate of incorporation, we have authority to issue 1,000,000 shares of preferred stock, par value $.01 per share. Of these shares, 50,000 shares have been designated as “Series A Junior Participating Preferred Stock,” none of which are outstanding, and 200,000 shares have been designated as “Series B Convertible Preferred Stock,” none of which are outstanding.</w:t>
      </w:r>
    </w:p>
    <w:p>
      <w:pPr>
        <w:spacing w:after="0" w:line="165" w:lineRule="exact"/>
        <w:rPr>
          <w:sz w:val="20"/>
          <w:szCs w:val="20"/>
          <w:color w:val="auto"/>
        </w:rPr>
      </w:pPr>
    </w:p>
    <w:p>
      <w:pPr>
        <w:ind w:firstLine="751"/>
        <w:spacing w:after="0" w:line="250" w:lineRule="auto"/>
        <w:rPr>
          <w:sz w:val="20"/>
          <w:szCs w:val="20"/>
          <w:color w:val="auto"/>
        </w:rPr>
      </w:pPr>
      <w:r>
        <w:rPr>
          <w:rFonts w:ascii="Arial" w:cs="Arial" w:eastAsia="Arial" w:hAnsi="Arial"/>
          <w:sz w:val="16"/>
          <w:szCs w:val="16"/>
          <w:color w:val="auto"/>
        </w:rPr>
        <w:t>Shares of preferred stock may be issued from time to time, in one or more series, as authorized by our board of directors. Prior to the issuance of shares of each series, the board of directors is required by the Delaware General Corporation Law and our certificate of incorporation to fix, for each series, the designations, powers and preferences and the relative, participating, optional or other special rights of the shares of each series and any qualifications, limitations and restrictions thereof, as are permitted by Delaware law. Our board of directors could authorize the issuance of shares of preferred stock with terms and conditions that could have the effect of discouraging a takeover or other transactions that holders of common stock might believe to be in their best interests or in which holders of some, or a majority, of the shares of common stock might receive a premium for their shares over the then market price of such shares of common stock. When issued, the preferred stock will be fully paid and nonassessable and will have no preemptive rights.</w:t>
      </w:r>
    </w:p>
    <w:p>
      <w:pPr>
        <w:spacing w:after="0" w:line="171" w:lineRule="exact"/>
        <w:rPr>
          <w:sz w:val="20"/>
          <w:szCs w:val="20"/>
          <w:color w:val="auto"/>
        </w:rPr>
      </w:pPr>
    </w:p>
    <w:p>
      <w:pPr>
        <w:ind w:right="420" w:firstLine="751"/>
        <w:spacing w:after="0" w:line="267" w:lineRule="auto"/>
        <w:rPr>
          <w:sz w:val="20"/>
          <w:szCs w:val="20"/>
          <w:color w:val="auto"/>
        </w:rPr>
      </w:pPr>
      <w:r>
        <w:rPr>
          <w:rFonts w:ascii="Arial" w:cs="Arial" w:eastAsia="Arial" w:hAnsi="Arial"/>
          <w:sz w:val="16"/>
          <w:szCs w:val="16"/>
          <w:color w:val="auto"/>
        </w:rPr>
        <w:t>If we decide to issue any preferred stock pursuant to this prospectus, we will describe in a prospectus supplement the terms of the preferred stock, including, if applicable, the following:</w:t>
      </w:r>
    </w:p>
    <w:p>
      <w:pPr>
        <w:spacing w:after="0" w:line="252" w:lineRule="exact"/>
        <w:rPr>
          <w:sz w:val="20"/>
          <w:szCs w:val="20"/>
          <w:color w:val="auto"/>
        </w:rPr>
      </w:pPr>
    </w:p>
    <w:p>
      <w:pPr>
        <w:ind w:left="1100" w:hanging="361"/>
        <w:spacing w:after="0"/>
        <w:tabs>
          <w:tab w:leader="none" w:pos="11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title of the series and stated value;</w:t>
      </w:r>
    </w:p>
    <w:p>
      <w:pPr>
        <w:spacing w:after="0" w:line="99" w:lineRule="exact"/>
        <w:rPr>
          <w:rFonts w:ascii="Arial" w:cs="Arial" w:eastAsia="Arial" w:hAnsi="Arial"/>
          <w:sz w:val="16"/>
          <w:szCs w:val="16"/>
          <w:color w:val="auto"/>
        </w:rPr>
      </w:pPr>
    </w:p>
    <w:p>
      <w:pPr>
        <w:ind w:left="1100" w:hanging="361"/>
        <w:spacing w:after="0"/>
        <w:tabs>
          <w:tab w:leader="none" w:pos="11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number of shares of the series of preferred stock offered, the liquidation preference per share, if applicable, and the offering price;</w:t>
      </w:r>
    </w:p>
    <w:p>
      <w:pPr>
        <w:spacing w:after="0" w:line="99" w:lineRule="exact"/>
        <w:rPr>
          <w:rFonts w:ascii="Arial" w:cs="Arial" w:eastAsia="Arial" w:hAnsi="Arial"/>
          <w:sz w:val="16"/>
          <w:szCs w:val="16"/>
          <w:color w:val="auto"/>
        </w:rPr>
      </w:pPr>
    </w:p>
    <w:p>
      <w:pPr>
        <w:ind w:left="1100" w:hanging="361"/>
        <w:spacing w:after="0"/>
        <w:tabs>
          <w:tab w:leader="none" w:pos="11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applicable dividend rate(s) or amount(s), period(s) and payment date(s) or method(s) of calculation thereof;</w:t>
      </w:r>
    </w:p>
    <w:p>
      <w:pPr>
        <w:spacing w:after="0" w:line="99" w:lineRule="exact"/>
        <w:rPr>
          <w:rFonts w:ascii="Arial" w:cs="Arial" w:eastAsia="Arial" w:hAnsi="Arial"/>
          <w:sz w:val="16"/>
          <w:szCs w:val="16"/>
          <w:color w:val="auto"/>
        </w:rPr>
      </w:pPr>
    </w:p>
    <w:p>
      <w:pPr>
        <w:ind w:left="1100" w:hanging="361"/>
        <w:spacing w:after="0"/>
        <w:tabs>
          <w:tab w:leader="none" w:pos="11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date from which dividends on the preferred stock will accumulate, if applicable;</w:t>
      </w:r>
    </w:p>
    <w:p>
      <w:pPr>
        <w:spacing w:after="0" w:line="99" w:lineRule="exact"/>
        <w:rPr>
          <w:rFonts w:ascii="Arial" w:cs="Arial" w:eastAsia="Arial" w:hAnsi="Arial"/>
          <w:sz w:val="16"/>
          <w:szCs w:val="16"/>
          <w:color w:val="auto"/>
        </w:rPr>
      </w:pPr>
    </w:p>
    <w:p>
      <w:pPr>
        <w:ind w:left="1100" w:hanging="361"/>
        <w:spacing w:after="0"/>
        <w:tabs>
          <w:tab w:leader="none" w:pos="11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procedures for auction and remarketing;</w:t>
      </w:r>
    </w:p>
    <w:p>
      <w:pPr>
        <w:spacing w:after="0" w:line="99" w:lineRule="exact"/>
        <w:rPr>
          <w:rFonts w:ascii="Arial" w:cs="Arial" w:eastAsia="Arial" w:hAnsi="Arial"/>
          <w:sz w:val="16"/>
          <w:szCs w:val="16"/>
          <w:color w:val="auto"/>
        </w:rPr>
      </w:pPr>
    </w:p>
    <w:p>
      <w:pPr>
        <w:ind w:left="1100" w:hanging="361"/>
        <w:spacing w:after="0"/>
        <w:tabs>
          <w:tab w:leader="none" w:pos="11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provisions for a sinking fund;</w:t>
      </w:r>
    </w:p>
    <w:p>
      <w:pPr>
        <w:spacing w:after="0" w:line="99" w:lineRule="exact"/>
        <w:rPr>
          <w:rFonts w:ascii="Arial" w:cs="Arial" w:eastAsia="Arial" w:hAnsi="Arial"/>
          <w:sz w:val="16"/>
          <w:szCs w:val="16"/>
          <w:color w:val="auto"/>
        </w:rPr>
      </w:pPr>
    </w:p>
    <w:p>
      <w:pPr>
        <w:ind w:left="1100" w:hanging="361"/>
        <w:spacing w:after="0"/>
        <w:tabs>
          <w:tab w:leader="none" w:pos="11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applicable provision for redemption and the price or prices, terms and conditions on which preferred stock may be redeemed;</w:t>
      </w:r>
    </w:p>
    <w:p>
      <w:pPr>
        <w:spacing w:after="0" w:line="99" w:lineRule="exact"/>
        <w:rPr>
          <w:rFonts w:ascii="Arial" w:cs="Arial" w:eastAsia="Arial" w:hAnsi="Arial"/>
          <w:sz w:val="16"/>
          <w:szCs w:val="16"/>
          <w:color w:val="auto"/>
        </w:rPr>
      </w:pPr>
    </w:p>
    <w:p>
      <w:pPr>
        <w:ind w:left="1100" w:hanging="361"/>
        <w:spacing w:after="0"/>
        <w:tabs>
          <w:tab w:leader="none" w:pos="11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securities exchange listing;</w:t>
      </w:r>
    </w:p>
    <w:p>
      <w:pPr>
        <w:spacing w:after="0" w:line="99" w:lineRule="exact"/>
        <w:rPr>
          <w:rFonts w:ascii="Arial" w:cs="Arial" w:eastAsia="Arial" w:hAnsi="Arial"/>
          <w:sz w:val="16"/>
          <w:szCs w:val="16"/>
          <w:color w:val="auto"/>
        </w:rPr>
      </w:pPr>
    </w:p>
    <w:p>
      <w:pPr>
        <w:ind w:left="1100" w:hanging="361"/>
        <w:spacing w:after="0"/>
        <w:tabs>
          <w:tab w:leader="none" w:pos="11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voting rights and powers;</w:t>
      </w:r>
    </w:p>
    <w:p>
      <w:pPr>
        <w:spacing w:after="0" w:line="99" w:lineRule="exact"/>
        <w:rPr>
          <w:rFonts w:ascii="Arial" w:cs="Arial" w:eastAsia="Arial" w:hAnsi="Arial"/>
          <w:sz w:val="16"/>
          <w:szCs w:val="16"/>
          <w:color w:val="auto"/>
        </w:rPr>
      </w:pPr>
    </w:p>
    <w:p>
      <w:pPr>
        <w:ind w:left="1100" w:hanging="361"/>
        <w:spacing w:after="0"/>
        <w:tabs>
          <w:tab w:leader="none" w:pos="11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whether interests in the preferred stock will be represented by depositary shares;</w:t>
      </w:r>
    </w:p>
    <w:p>
      <w:pPr>
        <w:spacing w:after="0" w:line="99" w:lineRule="exact"/>
        <w:rPr>
          <w:rFonts w:ascii="Arial" w:cs="Arial" w:eastAsia="Arial" w:hAnsi="Arial"/>
          <w:sz w:val="16"/>
          <w:szCs w:val="16"/>
          <w:color w:val="auto"/>
        </w:rPr>
      </w:pPr>
    </w:p>
    <w:p>
      <w:pPr>
        <w:ind w:left="1100" w:hanging="361"/>
        <w:spacing w:after="0"/>
        <w:tabs>
          <w:tab w:leader="none" w:pos="11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terms and conditions, if applicable, of conversion into shares of our common stock, including the conversion price or rate or manner of calculation thereof;</w:t>
      </w:r>
    </w:p>
    <w:p>
      <w:pPr>
        <w:spacing w:after="0" w:line="134" w:lineRule="exact"/>
        <w:rPr>
          <w:rFonts w:ascii="Arial" w:cs="Arial" w:eastAsia="Arial" w:hAnsi="Arial"/>
          <w:sz w:val="13"/>
          <w:szCs w:val="13"/>
          <w:color w:val="auto"/>
        </w:rPr>
      </w:pPr>
    </w:p>
    <w:p>
      <w:pPr>
        <w:ind w:left="1100" w:hanging="361"/>
        <w:spacing w:after="0"/>
        <w:tabs>
          <w:tab w:leader="none" w:pos="11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discussion of any material U.S. federal income tax considerations;</w:t>
      </w:r>
    </w:p>
    <w:p>
      <w:pPr>
        <w:spacing w:after="0" w:line="99" w:lineRule="exact"/>
        <w:rPr>
          <w:rFonts w:ascii="Arial" w:cs="Arial" w:eastAsia="Arial" w:hAnsi="Arial"/>
          <w:sz w:val="16"/>
          <w:szCs w:val="16"/>
          <w:color w:val="auto"/>
        </w:rPr>
      </w:pPr>
    </w:p>
    <w:p>
      <w:pPr>
        <w:ind w:left="1100" w:hanging="361"/>
        <w:spacing w:after="0"/>
        <w:tabs>
          <w:tab w:leader="none" w:pos="11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relative ranking and preference as to dividend rights and rights upon our liquidation, dissolution or the winding up of our affairs;</w:t>
      </w:r>
    </w:p>
    <w:p>
      <w:pPr>
        <w:spacing w:after="0" w:line="99" w:lineRule="exact"/>
        <w:rPr>
          <w:rFonts w:ascii="Arial" w:cs="Arial" w:eastAsia="Arial" w:hAnsi="Arial"/>
          <w:sz w:val="16"/>
          <w:szCs w:val="16"/>
          <w:color w:val="auto"/>
        </w:rPr>
      </w:pPr>
    </w:p>
    <w:p>
      <w:pPr>
        <w:ind w:left="1100" w:right="180" w:hanging="361"/>
        <w:spacing w:after="0" w:line="267" w:lineRule="auto"/>
        <w:tabs>
          <w:tab w:leader="none" w:pos="11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limitations on issuance of any series of preferred stock ranking senior to or on a parity with such series of preferred stock as to dividend rights and rights upon our liquidation, dissolution or the winding up of our affairs; and</w:t>
      </w:r>
    </w:p>
    <w:p>
      <w:pPr>
        <w:spacing w:after="0" w:line="63" w:lineRule="exact"/>
        <w:rPr>
          <w:rFonts w:ascii="Arial" w:cs="Arial" w:eastAsia="Arial" w:hAnsi="Arial"/>
          <w:sz w:val="16"/>
          <w:szCs w:val="16"/>
          <w:color w:val="auto"/>
        </w:rPr>
      </w:pPr>
    </w:p>
    <w:p>
      <w:pPr>
        <w:ind w:left="1100" w:hanging="361"/>
        <w:spacing w:after="0"/>
        <w:tabs>
          <w:tab w:leader="none" w:pos="11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other specific terms, preferences, rights, limitations or restrictions of such series of preferred stock.</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6470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160"/>
          </w:cols>
          <w:pgMar w:left="320" w:top="312" w:right="41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6"/>
          <w:szCs w:val="16"/>
          <w:b w:val="1"/>
          <w:bCs w:val="1"/>
          <w:color w:val="auto"/>
        </w:rPr>
        <w:t>DESCRIPTION OF DEPOSITARY SHARES</w:t>
      </w:r>
    </w:p>
    <w:p>
      <w:pPr>
        <w:spacing w:after="0" w:line="198" w:lineRule="exact"/>
        <w:rPr>
          <w:sz w:val="20"/>
          <w:szCs w:val="20"/>
          <w:color w:val="auto"/>
        </w:rPr>
      </w:pPr>
    </w:p>
    <w:p>
      <w:pPr>
        <w:ind w:right="680" w:firstLine="751"/>
        <w:spacing w:after="0" w:line="267" w:lineRule="auto"/>
        <w:rPr>
          <w:sz w:val="20"/>
          <w:szCs w:val="20"/>
          <w:color w:val="auto"/>
        </w:rPr>
      </w:pPr>
      <w:r>
        <w:rPr>
          <w:rFonts w:ascii="Arial" w:cs="Arial" w:eastAsia="Arial" w:hAnsi="Arial"/>
          <w:sz w:val="16"/>
          <w:szCs w:val="16"/>
          <w:color w:val="auto"/>
        </w:rPr>
        <w:t>We may issue receipts for depositary shares representing fractional shares of preferred stock. The fractional share of the applicable series of preferred stock represented by each depositary share will be set forth in the applicable prospectus supplement.</w:t>
      </w:r>
    </w:p>
    <w:p>
      <w:pPr>
        <w:spacing w:after="0" w:line="158" w:lineRule="exact"/>
        <w:rPr>
          <w:sz w:val="20"/>
          <w:szCs w:val="20"/>
          <w:color w:val="auto"/>
        </w:rPr>
      </w:pPr>
    </w:p>
    <w:p>
      <w:pPr>
        <w:ind w:right="120" w:firstLine="751"/>
        <w:spacing w:after="0" w:line="253" w:lineRule="auto"/>
        <w:rPr>
          <w:sz w:val="20"/>
          <w:szCs w:val="20"/>
          <w:color w:val="auto"/>
        </w:rPr>
      </w:pPr>
      <w:r>
        <w:rPr>
          <w:rFonts w:ascii="Arial" w:cs="Arial" w:eastAsia="Arial" w:hAnsi="Arial"/>
          <w:sz w:val="16"/>
          <w:szCs w:val="16"/>
          <w:color w:val="auto"/>
        </w:rPr>
        <w:t>The shares of any series of preferred stock underlying any depositary shares that we may sell under this prospectus will be deposited under a deposit agreement between us and a depositary selected by us. Subject to the terms of the deposit agreement, each holder of a depositary share will be entitled, in proportion to the applicable fraction of a share of the preferred stock underlying the depositary share, to all of the rights, preferences, and privileges, and will be subject to the qualifications and restrictions, of the preferred stock underlying that depositary share.</w:t>
      </w:r>
    </w:p>
    <w:p>
      <w:pPr>
        <w:spacing w:after="0" w:line="169" w:lineRule="exact"/>
        <w:rPr>
          <w:sz w:val="20"/>
          <w:szCs w:val="20"/>
          <w:color w:val="auto"/>
        </w:rPr>
      </w:pPr>
    </w:p>
    <w:p>
      <w:pPr>
        <w:ind w:firstLine="751"/>
        <w:spacing w:after="0" w:line="270" w:lineRule="auto"/>
        <w:rPr>
          <w:sz w:val="20"/>
          <w:szCs w:val="20"/>
          <w:color w:val="auto"/>
        </w:rPr>
      </w:pPr>
      <w:r>
        <w:rPr>
          <w:rFonts w:ascii="Arial" w:cs="Arial" w:eastAsia="Arial" w:hAnsi="Arial"/>
          <w:sz w:val="15"/>
          <w:szCs w:val="15"/>
          <w:color w:val="auto"/>
        </w:rPr>
        <w:t>The depositary shares will be evidenced by depositary receipts issued under the deposit agreement. Depositary receipts will be distributed to the holders of the depositary shares that are sold in the applicable offering. We will incorporate by reference into the registration statement of which this prospectus is a part the form of any deposit agreement, including a form of depositary receipt, that describes the terms of any depositary shares we are offering before the issuance of the related depositary shares. The following summaries of material provisions of the deposit agreement, the depositary shares, and the depositary receipts are subject to, and qualified in their entirety by reference to, all of the provisions of the deposit agreement applicable to a particular offering of depositary shares. We urge you to read the prospectus supplements relating to any depositary shares that are sold under this prospectus, as well as the complete deposit agreement and depositary receipt.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Form</w:t>
      </w:r>
    </w:p>
    <w:p>
      <w:pPr>
        <w:spacing w:after="0" w:line="198" w:lineRule="exact"/>
        <w:rPr>
          <w:sz w:val="20"/>
          <w:szCs w:val="20"/>
          <w:color w:val="auto"/>
        </w:rPr>
      </w:pPr>
    </w:p>
    <w:p>
      <w:pPr>
        <w:ind w:right="80" w:firstLine="751"/>
        <w:spacing w:after="0" w:line="257" w:lineRule="auto"/>
        <w:rPr>
          <w:sz w:val="20"/>
          <w:szCs w:val="20"/>
          <w:color w:val="auto"/>
        </w:rPr>
      </w:pPr>
      <w:r>
        <w:rPr>
          <w:rFonts w:ascii="Arial" w:cs="Arial" w:eastAsia="Arial" w:hAnsi="Arial"/>
          <w:sz w:val="16"/>
          <w:szCs w:val="16"/>
          <w:color w:val="auto"/>
        </w:rPr>
        <w:t>Pending the preparation of definitive depositary receipts, the depositary may, upon our written order, issue temporary depositary receipts substantially identical to the definitive depositary receipts but not in definitive form. These temporary depositary receipts will entitle their holders to all of the rights of definitive depositary receipts. Temporary depositary receipts will then be exchangeable for definitive depositary receipts at our expense.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 and Other Distributions</w:t>
      </w:r>
    </w:p>
    <w:p>
      <w:pPr>
        <w:spacing w:after="0" w:line="198" w:lineRule="exact"/>
        <w:rPr>
          <w:sz w:val="20"/>
          <w:szCs w:val="20"/>
          <w:color w:val="auto"/>
        </w:rPr>
      </w:pPr>
    </w:p>
    <w:p>
      <w:pPr>
        <w:ind w:right="100" w:firstLine="751"/>
        <w:spacing w:after="0" w:line="267" w:lineRule="auto"/>
        <w:rPr>
          <w:sz w:val="20"/>
          <w:szCs w:val="20"/>
          <w:color w:val="auto"/>
        </w:rPr>
      </w:pPr>
      <w:r>
        <w:rPr>
          <w:rFonts w:ascii="Arial" w:cs="Arial" w:eastAsia="Arial" w:hAnsi="Arial"/>
          <w:sz w:val="16"/>
          <w:szCs w:val="16"/>
          <w:color w:val="auto"/>
        </w:rPr>
        <w:t>The depositary will distribute all cash dividends or other cash distributions received with respect to the underlying preferred stock to the record holders of depositary shares in proportion to the number of depositary shares owned by those holders.</w:t>
      </w:r>
    </w:p>
    <w:p>
      <w:pPr>
        <w:spacing w:after="0" w:line="158" w:lineRule="exact"/>
        <w:rPr>
          <w:sz w:val="20"/>
          <w:szCs w:val="20"/>
          <w:color w:val="auto"/>
        </w:rPr>
      </w:pPr>
    </w:p>
    <w:p>
      <w:pPr>
        <w:ind w:right="100" w:firstLine="751"/>
        <w:spacing w:after="0" w:line="282" w:lineRule="auto"/>
        <w:rPr>
          <w:sz w:val="20"/>
          <w:szCs w:val="20"/>
          <w:color w:val="auto"/>
        </w:rPr>
      </w:pPr>
      <w:r>
        <w:rPr>
          <w:rFonts w:ascii="Arial" w:cs="Arial" w:eastAsia="Arial" w:hAnsi="Arial"/>
          <w:sz w:val="15"/>
          <w:szCs w:val="15"/>
          <w:color w:val="auto"/>
        </w:rPr>
        <w:t>If there is a distribution other than in cash, the depositary will distribute property received by it to the record holders of depositary shares in proportion to the number of depositary shares owned by those holders, unless the depositary determines that it is not feasible to do so. If this occurs, the depositary may, with our approval, sell the property and distribute the net proceeds from the sale to those holders in proportion to the number of depositary shares owned by them.</w:t>
      </w:r>
    </w:p>
    <w:p>
      <w:pPr>
        <w:spacing w:after="0" w:line="148" w:lineRule="exact"/>
        <w:rPr>
          <w:sz w:val="20"/>
          <w:szCs w:val="20"/>
          <w:color w:val="auto"/>
        </w:rPr>
      </w:pPr>
    </w:p>
    <w:p>
      <w:pPr>
        <w:ind w:right="240" w:firstLine="751"/>
        <w:spacing w:after="0" w:line="267" w:lineRule="auto"/>
        <w:rPr>
          <w:sz w:val="20"/>
          <w:szCs w:val="20"/>
          <w:color w:val="auto"/>
        </w:rPr>
      </w:pPr>
      <w:r>
        <w:rPr>
          <w:rFonts w:ascii="Arial" w:cs="Arial" w:eastAsia="Arial" w:hAnsi="Arial"/>
          <w:sz w:val="16"/>
          <w:szCs w:val="16"/>
          <w:color w:val="auto"/>
        </w:rPr>
        <w:t>The amount distributed to holders of depositary shares will be reduced by any amounts required to be withheld by us or the depositary on account of taxes or other governmental charges.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Liquidation Preference</w:t>
      </w:r>
    </w:p>
    <w:p>
      <w:pPr>
        <w:spacing w:after="0" w:line="198" w:lineRule="exact"/>
        <w:rPr>
          <w:sz w:val="20"/>
          <w:szCs w:val="20"/>
          <w:color w:val="auto"/>
        </w:rPr>
      </w:pPr>
    </w:p>
    <w:p>
      <w:pPr>
        <w:ind w:right="80" w:firstLine="751"/>
        <w:spacing w:after="0" w:line="257" w:lineRule="auto"/>
        <w:rPr>
          <w:sz w:val="20"/>
          <w:szCs w:val="20"/>
          <w:color w:val="auto"/>
        </w:rPr>
      </w:pPr>
      <w:r>
        <w:rPr>
          <w:rFonts w:ascii="Arial" w:cs="Arial" w:eastAsia="Arial" w:hAnsi="Arial"/>
          <w:sz w:val="16"/>
          <w:szCs w:val="16"/>
          <w:color w:val="auto"/>
        </w:rPr>
        <w:t>If a series of preferred stock underlying the depositary shares has a liquidation preference, in the event of our voluntary or involuntary liquidation, dissolution, or winding up, holders of depositary shares will be entitled to receive the fraction of the liquidation preference accorded each share of the applicable series of preferred stock, as set forth in the applicable prospectus supplement.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Withdrawal of Underlying Preferred Stock</w:t>
      </w:r>
    </w:p>
    <w:p>
      <w:pPr>
        <w:spacing w:after="0" w:line="198" w:lineRule="exact"/>
        <w:rPr>
          <w:sz w:val="20"/>
          <w:szCs w:val="20"/>
          <w:color w:val="auto"/>
        </w:rPr>
      </w:pPr>
    </w:p>
    <w:p>
      <w:pPr>
        <w:ind w:right="20" w:firstLine="751"/>
        <w:spacing w:after="0" w:line="330" w:lineRule="auto"/>
        <w:rPr>
          <w:sz w:val="20"/>
          <w:szCs w:val="20"/>
          <w:color w:val="auto"/>
        </w:rPr>
      </w:pPr>
      <w:r>
        <w:rPr>
          <w:rFonts w:ascii="Arial" w:cs="Arial" w:eastAsia="Arial" w:hAnsi="Arial"/>
          <w:sz w:val="13"/>
          <w:szCs w:val="13"/>
          <w:color w:val="auto"/>
        </w:rPr>
        <w:t>Except as otherwise provided in a prospectus supplement, holders may surrender depositary receipts at the principal office of the depositary and, upon payment of any unpaid amount due to the depositary, be entitled to receive the number of whole shares of underlying preferred stock and all money and other property represented by the related depositary shares. We will not issue any partial shares of preferred stock. If the holder delivers depositary receipts evidencing a number of depositary shares that represent more than a whole number of shares of preferred stock, the depositary will issue a new depositary receipt evidencing the excess number of depositary shares to the holder.</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Redemption of Depositary Shares</w:t>
      </w:r>
    </w:p>
    <w:p>
      <w:pPr>
        <w:spacing w:after="0" w:line="198" w:lineRule="exact"/>
        <w:rPr>
          <w:sz w:val="20"/>
          <w:szCs w:val="20"/>
          <w:color w:val="auto"/>
        </w:rPr>
      </w:pPr>
    </w:p>
    <w:p>
      <w:pPr>
        <w:ind w:right="240" w:firstLine="751"/>
        <w:spacing w:after="0" w:line="267" w:lineRule="auto"/>
        <w:rPr>
          <w:sz w:val="20"/>
          <w:szCs w:val="20"/>
          <w:color w:val="auto"/>
        </w:rPr>
      </w:pPr>
      <w:r>
        <w:rPr>
          <w:rFonts w:ascii="Arial" w:cs="Arial" w:eastAsia="Arial" w:hAnsi="Arial"/>
          <w:sz w:val="16"/>
          <w:szCs w:val="16"/>
          <w:color w:val="auto"/>
        </w:rPr>
        <w:t>If the preferred stock underlying any depositary shares we may sell under this prospectus is subject to redemption, the depositary shares will be redeemed from the proceeds received by the depositary resulting from any such redemption, in whole or in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6470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10" w:name="page11"/>
    <w:bookmarkEnd w:id="10"/>
    <w:p>
      <w:pPr>
        <w:spacing w:after="0" w:line="275" w:lineRule="auto"/>
        <w:rPr>
          <w:sz w:val="20"/>
          <w:szCs w:val="20"/>
          <w:color w:val="auto"/>
        </w:rPr>
      </w:pPr>
      <w:r>
        <w:rPr>
          <w:rFonts w:ascii="Arial" w:cs="Arial" w:eastAsia="Arial" w:hAnsi="Arial"/>
          <w:sz w:val="15"/>
          <w:szCs w:val="15"/>
          <w:color w:val="auto"/>
        </w:rPr>
        <w:t>part, of that underlying preferred stock. The redemption price per depositary share will be equal to the applicable fraction of the redemption price per share payable with respect to the underlying preferred stock. Whenever we redeem shares of underlying preferred stock that are held by the depositary, the depositary will redeem, as of the same redemption date, the number of depositary shares representing the shares of underlying preferred stock so redeemed. If fewer than all of the depositary shares are to be redeemed, the depositary shares to be redeemed will be selected by lot or proportionately, as may be determined by the depositary.</w:t>
      </w:r>
    </w:p>
    <w:p>
      <w:pPr>
        <w:spacing w:after="0" w:line="155" w:lineRule="exact"/>
        <w:rPr>
          <w:sz w:val="20"/>
          <w:szCs w:val="20"/>
          <w:color w:val="auto"/>
        </w:rPr>
      </w:pPr>
    </w:p>
    <w:p>
      <w:pPr>
        <w:ind w:right="20" w:firstLine="751"/>
        <w:spacing w:after="0" w:line="253" w:lineRule="auto"/>
        <w:rPr>
          <w:sz w:val="20"/>
          <w:szCs w:val="20"/>
          <w:color w:val="auto"/>
        </w:rPr>
      </w:pPr>
      <w:r>
        <w:rPr>
          <w:rFonts w:ascii="Arial" w:cs="Arial" w:eastAsia="Arial" w:hAnsi="Arial"/>
          <w:sz w:val="16"/>
          <w:szCs w:val="16"/>
          <w:color w:val="auto"/>
        </w:rPr>
        <w:t>After the date fixed for redemption, the depositary shares called for redemption will no longer be deemed to be outstanding, and all rights of the holders of the depositary shares will cease, except the right to receive the monies payable and any other property to which the holders were entitled upon the redemption upon surrender to the depositary of the depositary receipts evidencing the depositary shares. Any funds deposited by us with the depositary for any depositary shares that the holders fail to redeem will be returned to us after a period of two years from the date the funds are deposited.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w:t>
      </w:r>
    </w:p>
    <w:p>
      <w:pPr>
        <w:spacing w:after="0" w:line="198" w:lineRule="exact"/>
        <w:rPr>
          <w:sz w:val="20"/>
          <w:szCs w:val="20"/>
          <w:color w:val="auto"/>
        </w:rPr>
      </w:pPr>
    </w:p>
    <w:p>
      <w:pPr>
        <w:ind w:firstLine="751"/>
        <w:spacing w:after="0" w:line="269" w:lineRule="auto"/>
        <w:rPr>
          <w:sz w:val="20"/>
          <w:szCs w:val="20"/>
          <w:color w:val="auto"/>
        </w:rPr>
      </w:pPr>
      <w:r>
        <w:rPr>
          <w:rFonts w:ascii="Arial" w:cs="Arial" w:eastAsia="Arial" w:hAnsi="Arial"/>
          <w:sz w:val="15"/>
          <w:szCs w:val="15"/>
          <w:color w:val="auto"/>
        </w:rPr>
        <w:t>Upon receipt of notice of any meeting at which holders of the preferred stock underlying any depositary shares that we may sell under this prospectus are entitled to vote, the depositary will mail the information contained in the notice to the record holders of the depositary shares. Each record holder of the depositary shares on the record date, which will be the same date as the record date for the underlying preferred stock, will be entitled to instruct the depositary as to the exercise of the voting rights pertaining to the amount of the underlying preferred stock represented by the holder’s depositary shares. The depositary will then try, as far as practicable, to vote the number of shares of preferred stock underlying those depositary shares in accordance with those instructions, and we will agree to take all reasonable actions which may be deemed necessary by the depositary to enable the depositary to do so. The depositary will not vote the underlying preferred stock to the extent it does not receive specific instructions with respect to the depositary shares representing such preferred stock.</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Conversion of Preferred Stock</w:t>
      </w:r>
    </w:p>
    <w:p>
      <w:pPr>
        <w:spacing w:after="0" w:line="198" w:lineRule="exact"/>
        <w:rPr>
          <w:sz w:val="20"/>
          <w:szCs w:val="20"/>
          <w:color w:val="auto"/>
        </w:rPr>
      </w:pPr>
    </w:p>
    <w:p>
      <w:pPr>
        <w:ind w:right="60" w:firstLine="751"/>
        <w:spacing w:after="0" w:line="319" w:lineRule="auto"/>
        <w:rPr>
          <w:sz w:val="20"/>
          <w:szCs w:val="20"/>
          <w:color w:val="auto"/>
        </w:rPr>
      </w:pPr>
      <w:r>
        <w:rPr>
          <w:rFonts w:ascii="Arial" w:cs="Arial" w:eastAsia="Arial" w:hAnsi="Arial"/>
          <w:sz w:val="13"/>
          <w:szCs w:val="13"/>
          <w:color w:val="auto"/>
        </w:rPr>
        <w:t>If the prospectus supplement relating to any depositary shares that we may sell under this prospectus states that the underlying preferred stock is convertible into our common stock or other securities, the following will apply. The depositary shares, as such, will not be convertible into any of our securities. Rather, any holder of the depositary shares may surrender the related depositary receipts to the depositary with written instructions that direct us to cause conversion of the preferred stock represented by the depositary shares into or for whole shares of our common stock or other securities, as applicable. Upon receipt of those instructions and any amounts payable by the holder in connection with the conversion, we will cause the conversion using the same procedures as those provided for conversion of the underlying preferred stock. If only some of a holder’s depositary shares are converted, a new depositary receipt or receipts will be issued to the holder for any depositary shares not converted.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 and Termination of the Deposit Agreement</w:t>
      </w:r>
    </w:p>
    <w:p>
      <w:pPr>
        <w:spacing w:after="0" w:line="198" w:lineRule="exact"/>
        <w:rPr>
          <w:sz w:val="20"/>
          <w:szCs w:val="20"/>
          <w:color w:val="auto"/>
        </w:rPr>
      </w:pPr>
    </w:p>
    <w:p>
      <w:pPr>
        <w:ind w:right="80" w:firstLine="751"/>
        <w:spacing w:after="0" w:line="319" w:lineRule="auto"/>
        <w:rPr>
          <w:sz w:val="20"/>
          <w:szCs w:val="20"/>
          <w:color w:val="auto"/>
        </w:rPr>
      </w:pPr>
      <w:r>
        <w:rPr>
          <w:rFonts w:ascii="Arial" w:cs="Arial" w:eastAsia="Arial" w:hAnsi="Arial"/>
          <w:sz w:val="13"/>
          <w:szCs w:val="13"/>
          <w:color w:val="auto"/>
        </w:rPr>
        <w:t>The form of depositary receipt evidencing the depositary shares and any provision of the deposit agreement may at any time be amended by agreement between us and the depositary. However, any amendment which materially and adversely alters the rights of the holders of depositary shares will not be effective until 90 days after notice of that amendment has been given to the holders. Each holder of depositary shares at the time any amendment becomes effective shall be deemed to consent and agree to that amendment and to be bound by the deposit agreement as so amended. The deposit agreement may be terminated by us or by the depositary only if all outstanding depositary shares have been redeemed or converted into any other securities into which the underlying preferred stock is convertible or there has been a final distribution, including to holders of depositary receipts, of the underlying preferred stock in connection with our liquidation, dissolution, or winding up.</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Charges of Depositary</w:t>
      </w:r>
    </w:p>
    <w:p>
      <w:pPr>
        <w:spacing w:after="0" w:line="198" w:lineRule="exact"/>
        <w:rPr>
          <w:sz w:val="20"/>
          <w:szCs w:val="20"/>
          <w:color w:val="auto"/>
        </w:rPr>
      </w:pPr>
    </w:p>
    <w:p>
      <w:pPr>
        <w:ind w:right="40" w:firstLine="751"/>
        <w:spacing w:after="0" w:line="272" w:lineRule="auto"/>
        <w:rPr>
          <w:sz w:val="20"/>
          <w:szCs w:val="20"/>
          <w:color w:val="auto"/>
        </w:rPr>
      </w:pPr>
      <w:r>
        <w:rPr>
          <w:rFonts w:ascii="Arial" w:cs="Arial" w:eastAsia="Arial" w:hAnsi="Arial"/>
          <w:sz w:val="15"/>
          <w:szCs w:val="15"/>
          <w:color w:val="auto"/>
        </w:rPr>
        <w:t>We will pay all transfer and other taxes and governmental charges arising solely from the existence of the depositary arrangement. We will also pay charges of the depositary in connection with the initial deposit of the preferred stock, the initial issuance of the depositary shares, any redemption of the preferred stock, and all withdrawals of preferred stock by owners of depositary shares. Holders of depositary receipts will pay transfer, income, and other taxes and governmental charges and other specified charges as provided in the deposit arrangement for their accounts. If these charges have not been paid, the depositary may refuse to transfer depositary shares, withhold dividends and distributions, and sell the depositary shares evidenced by the depositary receipt.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 on Liability</w:t>
      </w:r>
    </w:p>
    <w:p>
      <w:pPr>
        <w:spacing w:after="0" w:line="198" w:lineRule="exact"/>
        <w:rPr>
          <w:sz w:val="20"/>
          <w:szCs w:val="20"/>
          <w:color w:val="auto"/>
        </w:rPr>
      </w:pPr>
    </w:p>
    <w:p>
      <w:pPr>
        <w:ind w:right="520" w:firstLine="751"/>
        <w:spacing w:after="0" w:line="267" w:lineRule="auto"/>
        <w:rPr>
          <w:sz w:val="20"/>
          <w:szCs w:val="20"/>
          <w:color w:val="auto"/>
        </w:rPr>
      </w:pPr>
      <w:r>
        <w:rPr>
          <w:rFonts w:ascii="Arial" w:cs="Arial" w:eastAsia="Arial" w:hAnsi="Arial"/>
          <w:sz w:val="16"/>
          <w:szCs w:val="16"/>
          <w:color w:val="auto"/>
        </w:rPr>
        <w:t>Neither we nor the depositary will be liable if either of us is prevented or delayed by law or any circumstance beyond our control in performing our respective obligations under the deposit agreement. Our obligations and those of the depositary will be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6470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40"/>
          </w:cols>
          <w:pgMar w:left="320" w:top="316" w:right="339" w:bottom="1440" w:gutter="0" w:footer="0" w:header="0"/>
        </w:sectPr>
      </w:pPr>
    </w:p>
    <w:bookmarkStart w:id="11" w:name="page12"/>
    <w:bookmarkEnd w:id="11"/>
    <w:p>
      <w:pPr>
        <w:ind w:right="240"/>
        <w:spacing w:after="0" w:line="282" w:lineRule="auto"/>
        <w:rPr>
          <w:sz w:val="20"/>
          <w:szCs w:val="20"/>
          <w:color w:val="auto"/>
        </w:rPr>
      </w:pPr>
      <w:r>
        <w:rPr>
          <w:rFonts w:ascii="Arial" w:cs="Arial" w:eastAsia="Arial" w:hAnsi="Arial"/>
          <w:sz w:val="15"/>
          <w:szCs w:val="15"/>
          <w:color w:val="auto"/>
        </w:rPr>
        <w:t>limited to performance of our respective duties under the deposit agreement without, in our case, negligence or bad faith or, in the case of the depositary, negligence or willful misconduct. We and the depositary may rely upon advice of counsel or accountants, or upon information provided by persons presenting the underlying preferred stock for deposit, holders of depositary receipts, or other persons believed by us in good faith to be competent and on documents believed to be genuine.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Trust Office of Depositary</w:t>
      </w:r>
    </w:p>
    <w:p>
      <w:pPr>
        <w:spacing w:after="0" w:line="198" w:lineRule="exact"/>
        <w:rPr>
          <w:sz w:val="20"/>
          <w:szCs w:val="20"/>
          <w:color w:val="auto"/>
        </w:rPr>
      </w:pPr>
    </w:p>
    <w:p>
      <w:pPr>
        <w:ind w:right="140" w:firstLine="751"/>
        <w:spacing w:after="0" w:line="257" w:lineRule="auto"/>
        <w:rPr>
          <w:sz w:val="20"/>
          <w:szCs w:val="20"/>
          <w:color w:val="auto"/>
        </w:rPr>
      </w:pPr>
      <w:r>
        <w:rPr>
          <w:rFonts w:ascii="Arial" w:cs="Arial" w:eastAsia="Arial" w:hAnsi="Arial"/>
          <w:sz w:val="16"/>
          <w:szCs w:val="16"/>
          <w:color w:val="auto"/>
        </w:rPr>
        <w:t>The depositary’s corporate trust office will be set forth in the applicable prospectus supplement relating to a series of depositary shares. The depositary will act as transfer agent and registrar for depositary receipts, and, if shares of a series of preferred stock are redeemable, the depositary will act as redemption agent for the corresponding depositary receipts.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Resignation and Removal of Depositary</w:t>
      </w:r>
    </w:p>
    <w:p>
      <w:pPr>
        <w:spacing w:after="0" w:line="198" w:lineRule="exact"/>
        <w:rPr>
          <w:sz w:val="20"/>
          <w:szCs w:val="20"/>
          <w:color w:val="auto"/>
        </w:rPr>
      </w:pPr>
    </w:p>
    <w:p>
      <w:pPr>
        <w:ind w:firstLine="751"/>
        <w:spacing w:after="0" w:line="385" w:lineRule="auto"/>
        <w:rPr>
          <w:sz w:val="20"/>
          <w:szCs w:val="20"/>
          <w:color w:val="auto"/>
        </w:rPr>
      </w:pPr>
      <w:r>
        <w:rPr>
          <w:rFonts w:ascii="Arial" w:cs="Arial" w:eastAsia="Arial" w:hAnsi="Arial"/>
          <w:sz w:val="13"/>
          <w:szCs w:val="13"/>
          <w:color w:val="212121"/>
        </w:rPr>
        <w:t>The depositary may resign at any time by delivering to us notice of its intent to do so, and we may at any time remove the depositary, any such resignation or removal to take effect upon the appointment of a successor depositary meeting the requirements specified in the deposit agreement and its acceptance of such appointment.</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Reports to Holders</w:t>
      </w:r>
    </w:p>
    <w:p>
      <w:pPr>
        <w:spacing w:after="0" w:line="198" w:lineRule="exact"/>
        <w:rPr>
          <w:sz w:val="20"/>
          <w:szCs w:val="20"/>
          <w:color w:val="auto"/>
        </w:rPr>
      </w:pPr>
    </w:p>
    <w:p>
      <w:pPr>
        <w:ind w:right="160" w:firstLine="751"/>
        <w:spacing w:after="0" w:line="253" w:lineRule="auto"/>
        <w:rPr>
          <w:sz w:val="20"/>
          <w:szCs w:val="20"/>
          <w:color w:val="auto"/>
        </w:rPr>
      </w:pPr>
      <w:r>
        <w:rPr>
          <w:rFonts w:ascii="Arial" w:cs="Arial" w:eastAsia="Arial" w:hAnsi="Arial"/>
          <w:sz w:val="16"/>
          <w:szCs w:val="16"/>
          <w:color w:val="auto"/>
        </w:rPr>
        <w:t>We will deliver all required reports and communications to holders of the preferred stock to the depositary, and it will forward those reports and communications to the holders of depositary shares. Upon request, the depositary will provide for inspection to the holders of depositary shares the transfer books of the depositary and the list of holders of receipts; provided that any requesting holder certifies to the depositary that such inspection is for a proper purpose reasonably related to such person’s interest as an owner of depositary shares evidenced by the receipts.</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6470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00"/>
          </w:cols>
          <w:pgMar w:left="320" w:top="316" w:right="37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6"/>
          <w:szCs w:val="16"/>
          <w:b w:val="1"/>
          <w:bCs w:val="1"/>
          <w:color w:val="auto"/>
        </w:rPr>
        <w:t>DESCRIPTION OF WARRANTS</w:t>
      </w:r>
    </w:p>
    <w:p>
      <w:pPr>
        <w:spacing w:after="0" w:line="198" w:lineRule="exact"/>
        <w:rPr>
          <w:sz w:val="20"/>
          <w:szCs w:val="20"/>
          <w:color w:val="auto"/>
        </w:rPr>
      </w:pPr>
    </w:p>
    <w:p>
      <w:pPr>
        <w:ind w:right="100" w:firstLine="751"/>
        <w:spacing w:after="0" w:line="257" w:lineRule="auto"/>
        <w:rPr>
          <w:sz w:val="20"/>
          <w:szCs w:val="20"/>
          <w:color w:val="auto"/>
        </w:rPr>
      </w:pPr>
      <w:r>
        <w:rPr>
          <w:rFonts w:ascii="Arial" w:cs="Arial" w:eastAsia="Arial" w:hAnsi="Arial"/>
          <w:sz w:val="16"/>
          <w:szCs w:val="16"/>
          <w:color w:val="auto"/>
        </w:rPr>
        <w:t>We may issue the warrants in one or more series under one or more warrant agreements, each to be entered into between us and a bank, trust company, or other financial institution as warrant agent. We may add, replace, or terminate warrant agents from time to time. We may also choose to act as our own warrant agent, or may choose one of our subsidiaries to do so.</w:t>
      </w:r>
    </w:p>
    <w:p>
      <w:pPr>
        <w:spacing w:after="0" w:line="165" w:lineRule="exact"/>
        <w:rPr>
          <w:sz w:val="20"/>
          <w:szCs w:val="20"/>
          <w:color w:val="auto"/>
        </w:rPr>
      </w:pPr>
    </w:p>
    <w:p>
      <w:pPr>
        <w:ind w:firstLine="751"/>
        <w:spacing w:after="0" w:line="275" w:lineRule="auto"/>
        <w:rPr>
          <w:sz w:val="20"/>
          <w:szCs w:val="20"/>
          <w:color w:val="auto"/>
        </w:rPr>
      </w:pPr>
      <w:r>
        <w:rPr>
          <w:rFonts w:ascii="Arial" w:cs="Arial" w:eastAsia="Arial" w:hAnsi="Arial"/>
          <w:sz w:val="15"/>
          <w:szCs w:val="15"/>
          <w:color w:val="auto"/>
        </w:rPr>
        <w:t>The warrant agent under a warrant agreement will act solely as our agent in connection with the warrants issued under that agreement. The warrant agent will not assume any obligation or relationship of agency or trust for or with any holders of those warrants. Any holder of warrants may, without the consent of any other person, enforce by appropriate legal action, on its own behalf, its right to exercise those warrants in accordance with their terms. Until the warrant is properly exercised, no holder of any warrant will be entitled to any rights of a holder of the warrant property purchasable upon exercise of the warrant.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Terms</w:t>
      </w:r>
    </w:p>
    <w:p>
      <w:pPr>
        <w:spacing w:after="0" w:line="198"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The applicable prospectus supplement will describe the terms of any warrants in respect of which this prospectus is being delivered, including:</w:t>
      </w:r>
    </w:p>
    <w:p>
      <w:pPr>
        <w:spacing w:after="0" w:line="100" w:lineRule="exact"/>
        <w:rPr>
          <w:sz w:val="20"/>
          <w:szCs w:val="20"/>
          <w:color w:val="auto"/>
        </w:rPr>
      </w:pPr>
    </w:p>
    <w:p>
      <w:pPr>
        <w:ind w:left="840" w:hanging="95"/>
        <w:spacing w:after="0"/>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title of such warrants;</w:t>
      </w:r>
    </w:p>
    <w:p>
      <w:pPr>
        <w:spacing w:after="0" w:line="99" w:lineRule="exact"/>
        <w:rPr>
          <w:rFonts w:ascii="Arial" w:cs="Arial" w:eastAsia="Arial" w:hAnsi="Arial"/>
          <w:sz w:val="16"/>
          <w:szCs w:val="16"/>
          <w:color w:val="auto"/>
        </w:rPr>
      </w:pPr>
    </w:p>
    <w:p>
      <w:pPr>
        <w:ind w:left="840" w:hanging="95"/>
        <w:spacing w:after="0"/>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aggregate number of such warrants;</w:t>
      </w:r>
    </w:p>
    <w:p>
      <w:pPr>
        <w:spacing w:after="0" w:line="99" w:lineRule="exact"/>
        <w:rPr>
          <w:rFonts w:ascii="Arial" w:cs="Arial" w:eastAsia="Arial" w:hAnsi="Arial"/>
          <w:sz w:val="16"/>
          <w:szCs w:val="16"/>
          <w:color w:val="auto"/>
        </w:rPr>
      </w:pPr>
    </w:p>
    <w:p>
      <w:pPr>
        <w:ind w:left="840" w:hanging="95"/>
        <w:spacing w:after="0"/>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price or prices at which such warrants will be issued;</w:t>
      </w:r>
    </w:p>
    <w:p>
      <w:pPr>
        <w:spacing w:after="0" w:line="99" w:lineRule="exact"/>
        <w:rPr>
          <w:rFonts w:ascii="Arial" w:cs="Arial" w:eastAsia="Arial" w:hAnsi="Arial"/>
          <w:sz w:val="16"/>
          <w:szCs w:val="16"/>
          <w:color w:val="auto"/>
        </w:rPr>
      </w:pPr>
    </w:p>
    <w:p>
      <w:pPr>
        <w:ind w:left="840" w:hanging="95"/>
        <w:spacing w:after="0"/>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currency or currencies, in which the price of such warrants will be payable;</w:t>
      </w:r>
    </w:p>
    <w:p>
      <w:pPr>
        <w:spacing w:after="0" w:line="99" w:lineRule="exact"/>
        <w:rPr>
          <w:rFonts w:ascii="Arial" w:cs="Arial" w:eastAsia="Arial" w:hAnsi="Arial"/>
          <w:sz w:val="16"/>
          <w:szCs w:val="16"/>
          <w:color w:val="auto"/>
        </w:rPr>
      </w:pPr>
    </w:p>
    <w:p>
      <w:pPr>
        <w:ind w:left="840" w:hanging="95"/>
        <w:spacing w:after="0"/>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securities purchasable upon exercise of such warrants;</w:t>
      </w:r>
    </w:p>
    <w:p>
      <w:pPr>
        <w:spacing w:after="0" w:line="99" w:lineRule="exact"/>
        <w:rPr>
          <w:rFonts w:ascii="Arial" w:cs="Arial" w:eastAsia="Arial" w:hAnsi="Arial"/>
          <w:sz w:val="16"/>
          <w:szCs w:val="16"/>
          <w:color w:val="auto"/>
        </w:rPr>
      </w:pPr>
    </w:p>
    <w:p>
      <w:pPr>
        <w:ind w:left="840" w:hanging="88"/>
        <w:spacing w:after="0"/>
        <w:tabs>
          <w:tab w:leader="none" w:pos="84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price at which and the currency or currencies in which the securities or other rights purchasable upon exercise of such warrants may be purchased;</w:t>
      </w:r>
    </w:p>
    <w:p>
      <w:pPr>
        <w:spacing w:after="0" w:line="111" w:lineRule="exact"/>
        <w:rPr>
          <w:rFonts w:ascii="Arial" w:cs="Arial" w:eastAsia="Arial" w:hAnsi="Arial"/>
          <w:sz w:val="15"/>
          <w:szCs w:val="15"/>
          <w:color w:val="auto"/>
        </w:rPr>
      </w:pPr>
    </w:p>
    <w:p>
      <w:pPr>
        <w:ind w:left="840" w:hanging="95"/>
        <w:spacing w:after="0"/>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date on which the right to exercise such warrants shall commence and the date on which such right shall expire;</w:t>
      </w:r>
    </w:p>
    <w:p>
      <w:pPr>
        <w:spacing w:after="0" w:line="99" w:lineRule="exact"/>
        <w:rPr>
          <w:rFonts w:ascii="Arial" w:cs="Arial" w:eastAsia="Arial" w:hAnsi="Arial"/>
          <w:sz w:val="16"/>
          <w:szCs w:val="16"/>
          <w:color w:val="auto"/>
        </w:rPr>
      </w:pPr>
    </w:p>
    <w:p>
      <w:pPr>
        <w:ind w:left="840" w:hanging="95"/>
        <w:spacing w:after="0"/>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applicable, the minimum or maximum amount of such warrants which may be exercised at any one time;</w:t>
      </w:r>
    </w:p>
    <w:p>
      <w:pPr>
        <w:spacing w:after="0" w:line="99" w:lineRule="exact"/>
        <w:rPr>
          <w:rFonts w:ascii="Arial" w:cs="Arial" w:eastAsia="Arial" w:hAnsi="Arial"/>
          <w:sz w:val="16"/>
          <w:szCs w:val="16"/>
          <w:color w:val="auto"/>
        </w:rPr>
      </w:pPr>
    </w:p>
    <w:p>
      <w:pPr>
        <w:ind w:left="860" w:hanging="100"/>
        <w:spacing w:after="0"/>
        <w:tabs>
          <w:tab w:leader="none" w:pos="860" w:val="left"/>
        </w:tabs>
        <w:numPr>
          <w:ilvl w:val="1"/>
          <w:numId w:val="5"/>
        </w:numPr>
        <w:rPr>
          <w:rFonts w:ascii="Arial" w:cs="Arial" w:eastAsia="Arial" w:hAnsi="Arial"/>
          <w:sz w:val="13"/>
          <w:szCs w:val="13"/>
          <w:color w:val="auto"/>
        </w:rPr>
      </w:pPr>
      <w:r>
        <w:rPr>
          <w:rFonts w:ascii="Arial" w:cs="Arial" w:eastAsia="Arial" w:hAnsi="Arial"/>
          <w:sz w:val="13"/>
          <w:szCs w:val="13"/>
          <w:color w:val="auto"/>
        </w:rPr>
        <w:t>if applicable, the designation and terms of the securities with which such warrants are issued and the number of such warrants issued with each such security;</w:t>
      </w:r>
    </w:p>
    <w:p>
      <w:pPr>
        <w:spacing w:after="0" w:line="134" w:lineRule="exact"/>
        <w:rPr>
          <w:rFonts w:ascii="Arial" w:cs="Arial" w:eastAsia="Arial" w:hAnsi="Arial"/>
          <w:sz w:val="13"/>
          <w:szCs w:val="13"/>
          <w:color w:val="auto"/>
        </w:rPr>
      </w:pPr>
    </w:p>
    <w:p>
      <w:pPr>
        <w:ind w:left="840" w:hanging="95"/>
        <w:spacing w:after="0"/>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applicable, the date on and after which such warrants and the related securities will be separately transferable;</w:t>
      </w:r>
    </w:p>
    <w:p>
      <w:pPr>
        <w:spacing w:after="0" w:line="99" w:lineRule="exact"/>
        <w:rPr>
          <w:rFonts w:ascii="Arial" w:cs="Arial" w:eastAsia="Arial" w:hAnsi="Arial"/>
          <w:sz w:val="16"/>
          <w:szCs w:val="16"/>
          <w:color w:val="auto"/>
        </w:rPr>
      </w:pPr>
    </w:p>
    <w:p>
      <w:pPr>
        <w:ind w:left="840" w:hanging="95"/>
        <w:spacing w:after="0"/>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information with respect to book-entry procedures, if any;</w:t>
      </w:r>
    </w:p>
    <w:p>
      <w:pPr>
        <w:spacing w:after="0" w:line="99" w:lineRule="exact"/>
        <w:rPr>
          <w:rFonts w:ascii="Arial" w:cs="Arial" w:eastAsia="Arial" w:hAnsi="Arial"/>
          <w:sz w:val="16"/>
          <w:szCs w:val="16"/>
          <w:color w:val="auto"/>
        </w:rPr>
      </w:pPr>
    </w:p>
    <w:p>
      <w:pPr>
        <w:ind w:left="840" w:hanging="95"/>
        <w:spacing w:after="0"/>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applicable, a discussion of any material United States federal income tax considerations; and</w:t>
      </w:r>
    </w:p>
    <w:p>
      <w:pPr>
        <w:spacing w:after="0" w:line="99" w:lineRule="exact"/>
        <w:rPr>
          <w:rFonts w:ascii="Arial" w:cs="Arial" w:eastAsia="Arial" w:hAnsi="Arial"/>
          <w:sz w:val="16"/>
          <w:szCs w:val="16"/>
          <w:color w:val="auto"/>
        </w:rPr>
      </w:pPr>
    </w:p>
    <w:p>
      <w:pPr>
        <w:ind w:left="840" w:hanging="88"/>
        <w:spacing w:after="0"/>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Form, Exchange, and Transfer</w:t>
      </w:r>
    </w:p>
    <w:p>
      <w:pPr>
        <w:spacing w:after="0" w:line="198" w:lineRule="exact"/>
        <w:rPr>
          <w:sz w:val="20"/>
          <w:szCs w:val="20"/>
          <w:color w:val="auto"/>
        </w:rPr>
      </w:pPr>
    </w:p>
    <w:p>
      <w:pPr>
        <w:ind w:right="60" w:firstLine="751"/>
        <w:spacing w:after="0" w:line="270" w:lineRule="auto"/>
        <w:rPr>
          <w:sz w:val="20"/>
          <w:szCs w:val="20"/>
          <w:color w:val="auto"/>
        </w:rPr>
      </w:pPr>
      <w:r>
        <w:rPr>
          <w:rFonts w:ascii="Arial" w:cs="Arial" w:eastAsia="Arial" w:hAnsi="Arial"/>
          <w:sz w:val="15"/>
          <w:szCs w:val="15"/>
          <w:color w:val="auto"/>
        </w:rPr>
        <w:t>We may issue the warrants in registered form or bearer form. Warrants issued in registered form, i.e., book-entry form, will be represented by a global security registered in the name of a depository, which will be the holder of all the warrants represented by the global security. Those investors who own beneficial interests in a global warrant will do so through participants in the depository’s system, and the rights of these indirect owners will be governed solely by the applicable procedures of the depository and its participants. In addition, we may issue warrants in non-global form, i.e., bearer form. If any warrants are issued in non-global form, warrant certificates may be exchanged for new warrant certificates of different denominations, and holders may exchange, transfer, or exercise their warrants at the warrant agent’s office or any other office indicated in the applicable prospectus supplement, information incorporate by reference or free writing prospectus.</w:t>
      </w:r>
    </w:p>
    <w:p>
      <w:pPr>
        <w:spacing w:after="0" w:line="159" w:lineRule="exact"/>
        <w:rPr>
          <w:sz w:val="20"/>
          <w:szCs w:val="20"/>
          <w:color w:val="auto"/>
        </w:rPr>
      </w:pPr>
    </w:p>
    <w:p>
      <w:pPr>
        <w:ind w:right="160" w:firstLine="751"/>
        <w:spacing w:after="0" w:line="251" w:lineRule="auto"/>
        <w:rPr>
          <w:sz w:val="20"/>
          <w:szCs w:val="20"/>
          <w:color w:val="auto"/>
        </w:rPr>
      </w:pPr>
      <w:r>
        <w:rPr>
          <w:rFonts w:ascii="Arial" w:cs="Arial" w:eastAsia="Arial" w:hAnsi="Arial"/>
          <w:sz w:val="16"/>
          <w:szCs w:val="16"/>
          <w:color w:val="auto"/>
        </w:rPr>
        <w:t>Prior to the exercise of their warrants, holders of warrants exercisable for debt securities will not have any of the rights of holders of the debt securities purchasable upon such exercise and will not be entitled to payments of principal (or premium, if any) or interest, if any, on the debt securities purchasable upon such exercise. Prior to the exercise of their warrants, holders of warrants exercisable for shares of preferred stock or common stock will not have any rights of holders of the preferred stock or common stock purchasable upon such exercise and will not be entitled to dividend payments, if any, or voting rights of the preferred stock or common stock purchasable upon such exercise.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Exercise of Warrants</w:t>
      </w:r>
    </w:p>
    <w:p>
      <w:pPr>
        <w:spacing w:after="0" w:line="198" w:lineRule="exact"/>
        <w:rPr>
          <w:sz w:val="20"/>
          <w:szCs w:val="20"/>
          <w:color w:val="auto"/>
        </w:rPr>
      </w:pPr>
    </w:p>
    <w:p>
      <w:pPr>
        <w:ind w:left="740"/>
        <w:spacing w:after="0"/>
        <w:rPr>
          <w:sz w:val="20"/>
          <w:szCs w:val="20"/>
          <w:color w:val="auto"/>
        </w:rPr>
      </w:pPr>
      <w:r>
        <w:rPr>
          <w:rFonts w:ascii="Arial" w:cs="Arial" w:eastAsia="Arial" w:hAnsi="Arial"/>
          <w:sz w:val="16"/>
          <w:szCs w:val="16"/>
          <w:color w:val="auto"/>
        </w:rPr>
        <w:t>A warrant will entitle the holder to purchase an amount of securities at an exercise price that will be stated in, or that will be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6470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00"/>
          </w:cols>
          <w:pgMar w:left="320" w:top="312" w:right="379" w:bottom="1440" w:gutter="0" w:footer="0" w:header="0"/>
        </w:sectPr>
      </w:pPr>
    </w:p>
    <w:bookmarkStart w:id="13" w:name="page14"/>
    <w:bookmarkEnd w:id="13"/>
    <w:p>
      <w:pPr>
        <w:spacing w:after="0" w:line="253" w:lineRule="auto"/>
        <w:rPr>
          <w:sz w:val="20"/>
          <w:szCs w:val="20"/>
          <w:color w:val="auto"/>
        </w:rPr>
      </w:pPr>
      <w:r>
        <w:rPr>
          <w:rFonts w:ascii="Arial" w:cs="Arial" w:eastAsia="Arial" w:hAnsi="Arial"/>
          <w:sz w:val="16"/>
          <w:szCs w:val="16"/>
          <w:color w:val="auto"/>
        </w:rPr>
        <w:t>determinable as described in, the applicable prospectus supplement or information incorporated by reference therein. Holders of warrants may exercise the warrants at any time up to the specified time on the expiration date set forth in the applicable prospectus supplement or information incorporated by reference therein. After the close of business on the expiration date, unexercised warrants will become void. Warrants may be redeemed as set forth in the applicable prospectus supplement or information incorporated by reference therein.</w:t>
      </w:r>
    </w:p>
    <w:p>
      <w:pPr>
        <w:spacing w:after="0" w:line="169" w:lineRule="exact"/>
        <w:rPr>
          <w:sz w:val="20"/>
          <w:szCs w:val="20"/>
          <w:color w:val="auto"/>
        </w:rPr>
      </w:pPr>
    </w:p>
    <w:p>
      <w:pPr>
        <w:ind w:firstLine="751"/>
        <w:spacing w:after="0" w:line="275" w:lineRule="auto"/>
        <w:rPr>
          <w:sz w:val="20"/>
          <w:szCs w:val="20"/>
          <w:color w:val="auto"/>
        </w:rPr>
      </w:pPr>
      <w:r>
        <w:rPr>
          <w:rFonts w:ascii="Arial" w:cs="Arial" w:eastAsia="Arial" w:hAnsi="Arial"/>
          <w:sz w:val="15"/>
          <w:szCs w:val="15"/>
          <w:color w:val="auto"/>
        </w:rPr>
        <w:t>Warrants may be exercised as set forth in the applicable prospectus supplement or information incorporated by reference therein. Upon receipt of payment and the warrant certificate properly completed and duly executed at the corporate trust office of the warrant agent or any other office indicated in the prospectus supplement or information incorporated by reference therein, we will forward, as soon as practicable, the securities purchasable upon such exercise. If less than all of the warrants represented by such warrant certificate are exercised, a new warrant certificate will be issued for the remaining warrants.</w:t>
      </w:r>
    </w:p>
    <w:p>
      <w:pPr>
        <w:spacing w:after="0" w:line="200" w:lineRule="exact"/>
        <w:rPr>
          <w:sz w:val="20"/>
          <w:szCs w:val="20"/>
          <w:color w:val="auto"/>
        </w:rPr>
      </w:pPr>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6470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100"/>
          </w:cols>
          <w:pgMar w:left="320" w:top="316" w:right="47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6"/>
          <w:szCs w:val="16"/>
          <w:b w:val="1"/>
          <w:bCs w:val="1"/>
          <w:color w:val="auto"/>
        </w:rPr>
        <w:t>DESCRIPTION OF DEBT SECURITES</w:t>
      </w:r>
    </w:p>
    <w:p>
      <w:pPr>
        <w:spacing w:after="0" w:line="198" w:lineRule="exact"/>
        <w:rPr>
          <w:sz w:val="20"/>
          <w:szCs w:val="20"/>
          <w:color w:val="auto"/>
        </w:rPr>
      </w:pPr>
    </w:p>
    <w:p>
      <w:pPr>
        <w:ind w:right="20" w:firstLine="751"/>
        <w:spacing w:after="0" w:line="253" w:lineRule="auto"/>
        <w:rPr>
          <w:sz w:val="20"/>
          <w:szCs w:val="20"/>
          <w:color w:val="auto"/>
        </w:rPr>
      </w:pPr>
      <w:r>
        <w:rPr>
          <w:rFonts w:ascii="Arial" w:cs="Arial" w:eastAsia="Arial" w:hAnsi="Arial"/>
          <w:sz w:val="16"/>
          <w:szCs w:val="16"/>
          <w:color w:val="auto"/>
        </w:rPr>
        <w:t>Our debt securities may be issued from time to time in one or more series and may include senior debt securities, subordinated debt securities, convertible debt securities and exchangeable debt securities. The particular terms of any series of debt securities and the extent to which the general provisions may apply to a particular series of debt securities will be described in the prospectus supplement relating to that series. When describing any debt securities, references to “we,” “us” and “our” refer to the issuer of those debt securities and not to any of its subsidiaries.</w:t>
      </w:r>
    </w:p>
    <w:p>
      <w:pPr>
        <w:spacing w:after="0" w:line="169" w:lineRule="exact"/>
        <w:rPr>
          <w:sz w:val="20"/>
          <w:szCs w:val="20"/>
          <w:color w:val="auto"/>
        </w:rPr>
      </w:pPr>
    </w:p>
    <w:p>
      <w:pPr>
        <w:ind w:right="80" w:firstLine="751"/>
        <w:spacing w:after="0" w:line="319" w:lineRule="auto"/>
        <w:rPr>
          <w:sz w:val="20"/>
          <w:szCs w:val="20"/>
          <w:color w:val="auto"/>
        </w:rPr>
      </w:pPr>
      <w:r>
        <w:rPr>
          <w:rFonts w:ascii="Arial" w:cs="Arial" w:eastAsia="Arial" w:hAnsi="Arial"/>
          <w:sz w:val="13"/>
          <w:szCs w:val="13"/>
          <w:color w:val="auto"/>
        </w:rPr>
        <w:t>The debt securities we offer will be issued under an indenture between us and the trustee named in the indenture. You should also read the indenture under which the debt securities are to be issued. We have filed a form of indenture governing different types of debt securities with the SEC as an exhibit to the registration statement of which this prospectus is a part. The following summary of the indenture does not purport to be complete and is subject to, and qualified in its entirety by reference to, all of the provisions of the indenture, including definitions therein of certain terms. A form of each debt security, reflecting the specific terms and provisions of that series of debt securities, will be filed with the SEC in connection with each offering and will be incorporated by reference in the registration statement of which this prospectus forms a part. You may obtain a copy of the indenture and any form of debt security that has been filed in the manner described under “Where You Can Find More Information.”</w:t>
      </w:r>
    </w:p>
    <w:p>
      <w:pPr>
        <w:spacing w:after="0" w:line="131" w:lineRule="exact"/>
        <w:rPr>
          <w:sz w:val="20"/>
          <w:szCs w:val="20"/>
          <w:color w:val="auto"/>
        </w:rPr>
      </w:pPr>
    </w:p>
    <w:p>
      <w:pPr>
        <w:jc w:val="both"/>
        <w:ind w:right="180" w:firstLine="751"/>
        <w:spacing w:after="0" w:line="257" w:lineRule="auto"/>
        <w:rPr>
          <w:sz w:val="20"/>
          <w:szCs w:val="20"/>
          <w:color w:val="auto"/>
        </w:rPr>
      </w:pPr>
      <w:r>
        <w:rPr>
          <w:rFonts w:ascii="Arial" w:cs="Arial" w:eastAsia="Arial" w:hAnsi="Arial"/>
          <w:sz w:val="16"/>
          <w:szCs w:val="16"/>
          <w:color w:val="auto"/>
        </w:rPr>
        <w:t>For a comprehensive description of any series of debt securities being offered to you pursuant to this prospectus, you should read this prospectus and the applicable prospectus supplement, indenture (including any amendments or supplements we may enter into from time to time that are permitted under the debt securities or indenture) and form of debt security.</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Terms of the Indenture</w:t>
      </w:r>
    </w:p>
    <w:p>
      <w:pPr>
        <w:spacing w:after="0" w:line="198" w:lineRule="exact"/>
        <w:rPr>
          <w:sz w:val="20"/>
          <w:szCs w:val="20"/>
          <w:color w:val="auto"/>
        </w:rPr>
      </w:pPr>
    </w:p>
    <w:p>
      <w:pPr>
        <w:ind w:right="40" w:firstLine="751"/>
        <w:spacing w:after="0" w:line="251" w:lineRule="auto"/>
        <w:rPr>
          <w:sz w:val="20"/>
          <w:szCs w:val="20"/>
          <w:color w:val="auto"/>
        </w:rPr>
      </w:pPr>
      <w:r>
        <w:rPr>
          <w:rFonts w:ascii="Arial" w:cs="Arial" w:eastAsia="Arial" w:hAnsi="Arial"/>
          <w:sz w:val="16"/>
          <w:szCs w:val="16"/>
          <w:color w:val="auto"/>
        </w:rPr>
        <w:t>The indenture does not limit the amount of debt securities that we may issue. The indenture does provide that we may issue debt securities up to the principal amount that we may authorize, which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For each series of debt securities, any restrictive covenants for those debt securities will be described in the applicable prospectus supplement for those debt securities.</w:t>
      </w:r>
    </w:p>
    <w:p>
      <w:pPr>
        <w:spacing w:after="0" w:line="172" w:lineRule="exact"/>
        <w:rPr>
          <w:sz w:val="20"/>
          <w:szCs w:val="20"/>
          <w:color w:val="auto"/>
        </w:rPr>
      </w:pPr>
    </w:p>
    <w:p>
      <w:pPr>
        <w:ind w:right="80" w:firstLine="751"/>
        <w:spacing w:after="0" w:line="275" w:lineRule="auto"/>
        <w:rPr>
          <w:sz w:val="20"/>
          <w:szCs w:val="20"/>
          <w:color w:val="auto"/>
        </w:rPr>
      </w:pPr>
      <w:r>
        <w:rPr>
          <w:rFonts w:ascii="Arial" w:cs="Arial" w:eastAsia="Arial" w:hAnsi="Arial"/>
          <w:sz w:val="15"/>
          <w:szCs w:val="15"/>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United States federal income tax purposes, be treated as if they were issued with “original issue discount,” or OID, because of interest payment and other characteristics. Special United States federal income tax considerations applicable to debt securities issued with original issue discount will be described in more detail in any applicable prospectus supplement.</w:t>
      </w:r>
    </w:p>
    <w:p>
      <w:pPr>
        <w:spacing w:after="0" w:line="155" w:lineRule="exact"/>
        <w:rPr>
          <w:sz w:val="20"/>
          <w:szCs w:val="20"/>
          <w:color w:val="auto"/>
        </w:rPr>
      </w:pPr>
    </w:p>
    <w:p>
      <w:pPr>
        <w:ind w:right="100" w:firstLine="751"/>
        <w:spacing w:after="0" w:line="267" w:lineRule="auto"/>
        <w:rPr>
          <w:sz w:val="20"/>
          <w:szCs w:val="20"/>
          <w:color w:val="auto"/>
        </w:rPr>
      </w:pPr>
      <w:r>
        <w:rPr>
          <w:rFonts w:ascii="Arial" w:cs="Arial" w:eastAsia="Arial" w:hAnsi="Arial"/>
          <w:sz w:val="16"/>
          <w:szCs w:val="16"/>
          <w:color w:val="auto"/>
        </w:rPr>
        <w:t>The prospectus supplement relating to a particular series of debt securities will describe the terms of the debt securities offered by that prospectus supplement and by this prospectus, including the following:</w:t>
      </w:r>
    </w:p>
    <w:p>
      <w:pPr>
        <w:spacing w:after="0" w:line="140" w:lineRule="exact"/>
        <w:rPr>
          <w:sz w:val="20"/>
          <w:szCs w:val="20"/>
          <w:color w:val="auto"/>
        </w:rPr>
      </w:pPr>
    </w:p>
    <w:p>
      <w:pPr>
        <w:ind w:left="2220" w:hanging="359"/>
        <w:spacing w:after="0"/>
        <w:tabs>
          <w:tab w:leader="none" w:pos="2220" w:val="left"/>
        </w:tabs>
        <w:numPr>
          <w:ilvl w:val="0"/>
          <w:numId w:val="6"/>
        </w:numPr>
        <w:rPr>
          <w:rFonts w:ascii="Arial" w:cs="Arial" w:eastAsia="Arial" w:hAnsi="Arial"/>
          <w:sz w:val="19"/>
          <w:szCs w:val="19"/>
          <w:color w:val="auto"/>
        </w:rPr>
      </w:pPr>
      <w:r>
        <w:rPr>
          <w:rFonts w:ascii="Arial" w:cs="Arial" w:eastAsia="Arial" w:hAnsi="Arial"/>
          <w:sz w:val="16"/>
          <w:szCs w:val="16"/>
          <w:color w:val="auto"/>
        </w:rPr>
        <w:t>the title and authorized denominations of the debt securities;</w:t>
      </w:r>
    </w:p>
    <w:p>
      <w:pPr>
        <w:spacing w:after="0" w:line="26" w:lineRule="exact"/>
        <w:rPr>
          <w:rFonts w:ascii="Arial" w:cs="Arial" w:eastAsia="Arial" w:hAnsi="Arial"/>
          <w:sz w:val="19"/>
          <w:szCs w:val="19"/>
          <w:color w:val="auto"/>
        </w:rPr>
      </w:pPr>
    </w:p>
    <w:p>
      <w:pPr>
        <w:ind w:left="2220" w:hanging="359"/>
        <w:spacing w:after="0" w:line="204" w:lineRule="auto"/>
        <w:tabs>
          <w:tab w:leader="none" w:pos="2220" w:val="left"/>
        </w:tabs>
        <w:numPr>
          <w:ilvl w:val="0"/>
          <w:numId w:val="6"/>
        </w:numPr>
        <w:rPr>
          <w:rFonts w:ascii="Arial" w:cs="Arial" w:eastAsia="Arial" w:hAnsi="Arial"/>
          <w:sz w:val="19"/>
          <w:szCs w:val="19"/>
          <w:color w:val="auto"/>
        </w:rPr>
      </w:pPr>
      <w:r>
        <w:rPr>
          <w:rFonts w:ascii="Arial" w:cs="Arial" w:eastAsia="Arial" w:hAnsi="Arial"/>
          <w:sz w:val="16"/>
          <w:szCs w:val="16"/>
          <w:color w:val="auto"/>
        </w:rPr>
        <w:t>any limit on the aggregate principal amount of that series of debt securities;</w:t>
      </w:r>
    </w:p>
    <w:p>
      <w:pPr>
        <w:spacing w:after="0" w:line="26" w:lineRule="exact"/>
        <w:rPr>
          <w:rFonts w:ascii="Arial" w:cs="Arial" w:eastAsia="Arial" w:hAnsi="Arial"/>
          <w:sz w:val="19"/>
          <w:szCs w:val="19"/>
          <w:color w:val="auto"/>
        </w:rPr>
      </w:pPr>
    </w:p>
    <w:p>
      <w:pPr>
        <w:ind w:left="2220" w:hanging="359"/>
        <w:spacing w:after="0" w:line="204" w:lineRule="auto"/>
        <w:tabs>
          <w:tab w:leader="none" w:pos="2220" w:val="left"/>
        </w:tabs>
        <w:numPr>
          <w:ilvl w:val="0"/>
          <w:numId w:val="6"/>
        </w:numPr>
        <w:rPr>
          <w:rFonts w:ascii="Arial" w:cs="Arial" w:eastAsia="Arial" w:hAnsi="Arial"/>
          <w:sz w:val="19"/>
          <w:szCs w:val="19"/>
          <w:color w:val="auto"/>
        </w:rPr>
      </w:pPr>
      <w:r>
        <w:rPr>
          <w:rFonts w:ascii="Arial" w:cs="Arial" w:eastAsia="Arial" w:hAnsi="Arial"/>
          <w:sz w:val="16"/>
          <w:szCs w:val="16"/>
          <w:color w:val="auto"/>
        </w:rPr>
        <w:t>the date or dates on which principal and premium, if any, of the debt securities of that series is payable;</w:t>
      </w:r>
    </w:p>
    <w:p>
      <w:pPr>
        <w:spacing w:after="0" w:line="26" w:lineRule="exact"/>
        <w:rPr>
          <w:rFonts w:ascii="Arial" w:cs="Arial" w:eastAsia="Arial" w:hAnsi="Arial"/>
          <w:sz w:val="19"/>
          <w:szCs w:val="19"/>
          <w:color w:val="auto"/>
        </w:rPr>
      </w:pPr>
    </w:p>
    <w:p>
      <w:pPr>
        <w:ind w:left="2220" w:right="160" w:hanging="359"/>
        <w:spacing w:after="0" w:line="223" w:lineRule="auto"/>
        <w:tabs>
          <w:tab w:leader="none" w:pos="2220" w:val="left"/>
        </w:tabs>
        <w:numPr>
          <w:ilvl w:val="0"/>
          <w:numId w:val="6"/>
        </w:numPr>
        <w:rPr>
          <w:rFonts w:ascii="Arial" w:cs="Arial" w:eastAsia="Arial" w:hAnsi="Arial"/>
          <w:sz w:val="19"/>
          <w:szCs w:val="19"/>
          <w:color w:val="auto"/>
        </w:rPr>
      </w:pPr>
      <w:r>
        <w:rPr>
          <w:rFonts w:ascii="Arial" w:cs="Arial" w:eastAsia="Arial" w:hAnsi="Arial"/>
          <w:sz w:val="16"/>
          <w:szCs w:val="16"/>
          <w:color w:val="auto"/>
        </w:rPr>
        <w:t>interest rates, and the dates from which interest, if any, on the debt securities of that series will accrue, and the dates when interest is payable and the maturity;</w:t>
      </w:r>
    </w:p>
    <w:p>
      <w:pPr>
        <w:spacing w:after="0" w:line="1" w:lineRule="exact"/>
        <w:rPr>
          <w:rFonts w:ascii="Arial" w:cs="Arial" w:eastAsia="Arial" w:hAnsi="Arial"/>
          <w:sz w:val="19"/>
          <w:szCs w:val="19"/>
          <w:color w:val="auto"/>
        </w:rPr>
      </w:pPr>
    </w:p>
    <w:p>
      <w:pPr>
        <w:ind w:left="2220" w:hanging="359"/>
        <w:spacing w:after="0" w:line="207" w:lineRule="auto"/>
        <w:tabs>
          <w:tab w:leader="none" w:pos="2220" w:val="left"/>
        </w:tabs>
        <w:numPr>
          <w:ilvl w:val="0"/>
          <w:numId w:val="6"/>
        </w:numPr>
        <w:rPr>
          <w:rFonts w:ascii="Arial" w:cs="Arial" w:eastAsia="Arial" w:hAnsi="Arial"/>
          <w:sz w:val="19"/>
          <w:szCs w:val="19"/>
          <w:color w:val="auto"/>
        </w:rPr>
      </w:pPr>
      <w:r>
        <w:rPr>
          <w:rFonts w:ascii="Arial" w:cs="Arial" w:eastAsia="Arial" w:hAnsi="Arial"/>
          <w:sz w:val="16"/>
          <w:szCs w:val="16"/>
          <w:color w:val="auto"/>
        </w:rPr>
        <w:t>the right, if any, to extend the interest payment periods and the duration of the extensions;</w:t>
      </w:r>
    </w:p>
    <w:p>
      <w:pPr>
        <w:spacing w:after="0" w:line="26" w:lineRule="exact"/>
        <w:rPr>
          <w:rFonts w:ascii="Arial" w:cs="Arial" w:eastAsia="Arial" w:hAnsi="Arial"/>
          <w:sz w:val="19"/>
          <w:szCs w:val="19"/>
          <w:color w:val="auto"/>
        </w:rPr>
      </w:pPr>
    </w:p>
    <w:p>
      <w:pPr>
        <w:ind w:left="2220" w:hanging="359"/>
        <w:spacing w:after="0" w:line="204" w:lineRule="auto"/>
        <w:tabs>
          <w:tab w:leader="none" w:pos="2220" w:val="left"/>
        </w:tabs>
        <w:numPr>
          <w:ilvl w:val="0"/>
          <w:numId w:val="6"/>
        </w:numPr>
        <w:rPr>
          <w:rFonts w:ascii="Arial" w:cs="Arial" w:eastAsia="Arial" w:hAnsi="Arial"/>
          <w:sz w:val="19"/>
          <w:szCs w:val="19"/>
          <w:color w:val="auto"/>
        </w:rPr>
      </w:pPr>
      <w:r>
        <w:rPr>
          <w:rFonts w:ascii="Arial" w:cs="Arial" w:eastAsia="Arial" w:hAnsi="Arial"/>
          <w:sz w:val="16"/>
          <w:szCs w:val="16"/>
          <w:color w:val="auto"/>
        </w:rPr>
        <w:t>the guarantors, if any, of our obligations under the debt securities;</w:t>
      </w:r>
    </w:p>
    <w:p>
      <w:pPr>
        <w:spacing w:after="0" w:line="26" w:lineRule="exact"/>
        <w:rPr>
          <w:rFonts w:ascii="Arial" w:cs="Arial" w:eastAsia="Arial" w:hAnsi="Arial"/>
          <w:sz w:val="19"/>
          <w:szCs w:val="19"/>
          <w:color w:val="auto"/>
        </w:rPr>
      </w:pPr>
    </w:p>
    <w:p>
      <w:pPr>
        <w:ind w:left="2220" w:right="60" w:hanging="359"/>
        <w:spacing w:after="0" w:line="230" w:lineRule="auto"/>
        <w:tabs>
          <w:tab w:leader="none" w:pos="2220" w:val="left"/>
        </w:tabs>
        <w:numPr>
          <w:ilvl w:val="0"/>
          <w:numId w:val="6"/>
        </w:numPr>
        <w:rPr>
          <w:rFonts w:ascii="Arial" w:cs="Arial" w:eastAsia="Arial" w:hAnsi="Arial"/>
          <w:sz w:val="19"/>
          <w:szCs w:val="19"/>
          <w:color w:val="auto"/>
        </w:rPr>
      </w:pPr>
      <w:r>
        <w:rPr>
          <w:rFonts w:ascii="Arial" w:cs="Arial" w:eastAsia="Arial" w:hAnsi="Arial"/>
          <w:sz w:val="16"/>
          <w:szCs w:val="16"/>
          <w:color w:val="auto"/>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p>
      <w:pPr>
        <w:spacing w:after="0" w:line="2" w:lineRule="exact"/>
        <w:rPr>
          <w:rFonts w:ascii="Arial" w:cs="Arial" w:eastAsia="Arial" w:hAnsi="Arial"/>
          <w:sz w:val="19"/>
          <w:szCs w:val="19"/>
          <w:color w:val="auto"/>
        </w:rPr>
      </w:pPr>
    </w:p>
    <w:p>
      <w:pPr>
        <w:ind w:left="2220" w:hanging="359"/>
        <w:spacing w:after="0" w:line="254" w:lineRule="auto"/>
        <w:tabs>
          <w:tab w:leader="none" w:pos="2220" w:val="left"/>
        </w:tabs>
        <w:numPr>
          <w:ilvl w:val="0"/>
          <w:numId w:val="6"/>
        </w:numPr>
        <w:rPr>
          <w:rFonts w:ascii="Arial" w:cs="Arial" w:eastAsia="Arial" w:hAnsi="Arial"/>
          <w:sz w:val="17"/>
          <w:szCs w:val="17"/>
          <w:color w:val="auto"/>
        </w:rPr>
      </w:pPr>
      <w:r>
        <w:rPr>
          <w:rFonts w:ascii="Arial" w:cs="Arial" w:eastAsia="Arial" w:hAnsi="Arial"/>
          <w:sz w:val="14"/>
          <w:szCs w:val="14"/>
          <w:color w:val="auto"/>
        </w:rPr>
        <w:t>the place or places where and the manner in which principal of, premium, if any, and interest, if any, on the debt securities of that series will be payable and the place or places where those debt securities may be presented for transfer and, if applicable, conversion or exchange;</w:t>
      </w:r>
    </w:p>
    <w:p>
      <w:pPr>
        <w:ind w:left="2220" w:right="40" w:hanging="359"/>
        <w:spacing w:after="0" w:line="232" w:lineRule="auto"/>
        <w:tabs>
          <w:tab w:leader="none" w:pos="2220" w:val="left"/>
        </w:tabs>
        <w:numPr>
          <w:ilvl w:val="0"/>
          <w:numId w:val="6"/>
        </w:numPr>
        <w:rPr>
          <w:rFonts w:ascii="Arial" w:cs="Arial" w:eastAsia="Arial" w:hAnsi="Arial"/>
          <w:sz w:val="19"/>
          <w:szCs w:val="19"/>
          <w:color w:val="auto"/>
        </w:rPr>
      </w:pPr>
      <w:r>
        <w:rPr>
          <w:rFonts w:ascii="Arial" w:cs="Arial" w:eastAsia="Arial" w:hAnsi="Arial"/>
          <w:sz w:val="16"/>
          <w:szCs w:val="16"/>
          <w:color w:val="auto"/>
        </w:rPr>
        <w:t>the period or periods within which, the price or prices at which, the currency or currencies in which, and other terms and conditions upon which those debt securities may be redeemed, in whole or in part, at our option or the option of a holder of those securities, if we or a holder is to have that option;</w:t>
      </w:r>
    </w:p>
    <w:p>
      <w:pPr>
        <w:ind w:left="2220" w:right="80" w:hanging="359"/>
        <w:spacing w:after="0" w:line="232" w:lineRule="auto"/>
        <w:tabs>
          <w:tab w:leader="none" w:pos="2220" w:val="left"/>
        </w:tabs>
        <w:numPr>
          <w:ilvl w:val="0"/>
          <w:numId w:val="6"/>
        </w:numPr>
        <w:rPr>
          <w:rFonts w:ascii="Arial" w:cs="Arial" w:eastAsia="Arial" w:hAnsi="Arial"/>
          <w:sz w:val="19"/>
          <w:szCs w:val="19"/>
          <w:color w:val="auto"/>
        </w:rPr>
      </w:pPr>
      <w:r>
        <w:rPr>
          <w:rFonts w:ascii="Arial" w:cs="Arial" w:eastAsia="Arial" w:hAnsi="Arial"/>
          <w:sz w:val="16"/>
          <w:szCs w:val="16"/>
          <w:color w:val="auto"/>
        </w:rPr>
        <w:t>our obligation or right, if any, to redeem, repay or purchase those debt securities pursuant to any sinking fund or analogous provision or at the option of a holder of those securities, and the terms and conditions upon which the debt securities will be redeemed, repaid or purchased, in whole or in part, pursuant to that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6470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15" w:name="page16"/>
    <w:bookmarkEnd w:id="15"/>
    <w:p>
      <w:pPr>
        <w:ind w:left="2220"/>
        <w:spacing w:after="0"/>
        <w:rPr>
          <w:sz w:val="20"/>
          <w:szCs w:val="20"/>
          <w:color w:val="auto"/>
        </w:rPr>
      </w:pPr>
      <w:r>
        <w:rPr>
          <w:rFonts w:ascii="Arial" w:cs="Arial" w:eastAsia="Arial" w:hAnsi="Arial"/>
          <w:sz w:val="16"/>
          <w:szCs w:val="16"/>
          <w:color w:val="auto"/>
        </w:rPr>
        <w:t>obligation;</w:t>
      </w:r>
    </w:p>
    <w:p>
      <w:pPr>
        <w:spacing w:after="0" w:line="29" w:lineRule="exact"/>
        <w:rPr>
          <w:sz w:val="20"/>
          <w:szCs w:val="20"/>
          <w:color w:val="auto"/>
        </w:rPr>
      </w:pPr>
    </w:p>
    <w:p>
      <w:pPr>
        <w:ind w:left="2220" w:right="140" w:hanging="359"/>
        <w:spacing w:after="0" w:line="232" w:lineRule="auto"/>
        <w:tabs>
          <w:tab w:leader="none" w:pos="2220" w:val="left"/>
        </w:tabs>
        <w:numPr>
          <w:ilvl w:val="0"/>
          <w:numId w:val="7"/>
        </w:numPr>
        <w:rPr>
          <w:rFonts w:ascii="Arial" w:cs="Arial" w:eastAsia="Arial" w:hAnsi="Arial"/>
          <w:sz w:val="19"/>
          <w:szCs w:val="19"/>
          <w:color w:val="auto"/>
        </w:rPr>
      </w:pPr>
      <w:r>
        <w:rPr>
          <w:rFonts w:ascii="Arial" w:cs="Arial" w:eastAsia="Arial" w:hAnsi="Arial"/>
          <w:sz w:val="16"/>
          <w:szCs w:val="16"/>
          <w:color w:val="auto"/>
        </w:rPr>
        <w:t>the terms, if any, on which the debt securities of that series and any guarantees thereof will be subordinate in right and priority of payment to our other debt;</w:t>
      </w:r>
    </w:p>
    <w:p>
      <w:pPr>
        <w:ind w:left="2220" w:hanging="359"/>
        <w:spacing w:after="0" w:line="207" w:lineRule="auto"/>
        <w:tabs>
          <w:tab w:leader="none" w:pos="2220" w:val="left"/>
        </w:tabs>
        <w:numPr>
          <w:ilvl w:val="0"/>
          <w:numId w:val="7"/>
        </w:numPr>
        <w:rPr>
          <w:rFonts w:ascii="Arial" w:cs="Arial" w:eastAsia="Arial" w:hAnsi="Arial"/>
          <w:sz w:val="19"/>
          <w:szCs w:val="19"/>
          <w:color w:val="auto"/>
        </w:rPr>
      </w:pPr>
      <w:r>
        <w:rPr>
          <w:rFonts w:ascii="Arial" w:cs="Arial" w:eastAsia="Arial" w:hAnsi="Arial"/>
          <w:sz w:val="16"/>
          <w:szCs w:val="16"/>
          <w:color w:val="auto"/>
        </w:rPr>
        <w:t>the denominations in which those debt securities will be issuable;</w:t>
      </w:r>
    </w:p>
    <w:p>
      <w:pPr>
        <w:spacing w:after="0" w:line="26" w:lineRule="exact"/>
        <w:rPr>
          <w:rFonts w:ascii="Arial" w:cs="Arial" w:eastAsia="Arial" w:hAnsi="Arial"/>
          <w:sz w:val="19"/>
          <w:szCs w:val="19"/>
          <w:color w:val="auto"/>
        </w:rPr>
      </w:pPr>
    </w:p>
    <w:p>
      <w:pPr>
        <w:ind w:left="2220" w:right="200" w:hanging="359"/>
        <w:spacing w:after="0" w:line="223" w:lineRule="auto"/>
        <w:tabs>
          <w:tab w:leader="none" w:pos="2220" w:val="left"/>
        </w:tabs>
        <w:numPr>
          <w:ilvl w:val="0"/>
          <w:numId w:val="7"/>
        </w:numPr>
        <w:rPr>
          <w:rFonts w:ascii="Arial" w:cs="Arial" w:eastAsia="Arial" w:hAnsi="Arial"/>
          <w:sz w:val="19"/>
          <w:szCs w:val="19"/>
          <w:color w:val="auto"/>
        </w:rPr>
      </w:pPr>
      <w:r>
        <w:rPr>
          <w:rFonts w:ascii="Arial" w:cs="Arial" w:eastAsia="Arial" w:hAnsi="Arial"/>
          <w:sz w:val="16"/>
          <w:szCs w:val="16"/>
          <w:color w:val="auto"/>
        </w:rPr>
        <w:t>if other than the entire principal amount of the debt securities when issued, the portion of the principal amount payable upon acceleration of maturity as a result of a default on our obligations;</w:t>
      </w:r>
    </w:p>
    <w:p>
      <w:pPr>
        <w:spacing w:after="0" w:line="1" w:lineRule="exact"/>
        <w:rPr>
          <w:rFonts w:ascii="Arial" w:cs="Arial" w:eastAsia="Arial" w:hAnsi="Arial"/>
          <w:sz w:val="19"/>
          <w:szCs w:val="19"/>
          <w:color w:val="auto"/>
        </w:rPr>
      </w:pPr>
    </w:p>
    <w:p>
      <w:pPr>
        <w:ind w:left="2220" w:right="100" w:hanging="359"/>
        <w:spacing w:after="0" w:line="225" w:lineRule="auto"/>
        <w:tabs>
          <w:tab w:leader="none" w:pos="2220" w:val="left"/>
        </w:tabs>
        <w:numPr>
          <w:ilvl w:val="0"/>
          <w:numId w:val="7"/>
        </w:numPr>
        <w:rPr>
          <w:rFonts w:ascii="Arial" w:cs="Arial" w:eastAsia="Arial" w:hAnsi="Arial"/>
          <w:sz w:val="19"/>
          <w:szCs w:val="19"/>
          <w:color w:val="auto"/>
        </w:rPr>
      </w:pPr>
      <w:r>
        <w:rPr>
          <w:rFonts w:ascii="Arial" w:cs="Arial" w:eastAsia="Arial" w:hAnsi="Arial"/>
          <w:sz w:val="16"/>
          <w:szCs w:val="16"/>
          <w:color w:val="auto"/>
        </w:rPr>
        <w:t>whether those debt securities will be issued in fully registered form without coupons or in a form registered as to principal only with coupons or in bearer form with coupons;</w:t>
      </w:r>
    </w:p>
    <w:p>
      <w:pPr>
        <w:ind w:left="2220" w:right="340" w:hanging="359"/>
        <w:spacing w:after="0" w:line="225" w:lineRule="auto"/>
        <w:tabs>
          <w:tab w:leader="none" w:pos="2220" w:val="left"/>
        </w:tabs>
        <w:numPr>
          <w:ilvl w:val="0"/>
          <w:numId w:val="7"/>
        </w:numPr>
        <w:rPr>
          <w:rFonts w:ascii="Arial" w:cs="Arial" w:eastAsia="Arial" w:hAnsi="Arial"/>
          <w:sz w:val="19"/>
          <w:szCs w:val="19"/>
          <w:color w:val="auto"/>
        </w:rPr>
      </w:pPr>
      <w:r>
        <w:rPr>
          <w:rFonts w:ascii="Arial" w:cs="Arial" w:eastAsia="Arial" w:hAnsi="Arial"/>
          <w:sz w:val="16"/>
          <w:szCs w:val="16"/>
          <w:color w:val="auto"/>
        </w:rPr>
        <w:t>whether any securities of that series are to be issued in whole or in part in the form of one or more global securities and the depositary for those global securities;</w:t>
      </w:r>
    </w:p>
    <w:p>
      <w:pPr>
        <w:ind w:left="2220" w:right="440" w:hanging="359"/>
        <w:spacing w:after="0" w:line="225" w:lineRule="auto"/>
        <w:tabs>
          <w:tab w:leader="none" w:pos="2220" w:val="left"/>
        </w:tabs>
        <w:numPr>
          <w:ilvl w:val="0"/>
          <w:numId w:val="7"/>
        </w:numPr>
        <w:rPr>
          <w:rFonts w:ascii="Arial" w:cs="Arial" w:eastAsia="Arial" w:hAnsi="Arial"/>
          <w:sz w:val="19"/>
          <w:szCs w:val="19"/>
          <w:color w:val="auto"/>
        </w:rPr>
      </w:pPr>
      <w:r>
        <w:rPr>
          <w:rFonts w:ascii="Arial" w:cs="Arial" w:eastAsia="Arial" w:hAnsi="Arial"/>
          <w:sz w:val="16"/>
          <w:szCs w:val="16"/>
          <w:color w:val="auto"/>
        </w:rPr>
        <w:t>if other than United States dollars, the currency or currencies in which payment of principal of or any premium or interest on those debt securities will be payable;</w:t>
      </w:r>
    </w:p>
    <w:p>
      <w:pPr>
        <w:ind w:left="2220" w:hanging="359"/>
        <w:spacing w:after="0" w:line="263" w:lineRule="auto"/>
        <w:tabs>
          <w:tab w:leader="none" w:pos="2220" w:val="left"/>
        </w:tabs>
        <w:numPr>
          <w:ilvl w:val="0"/>
          <w:numId w:val="7"/>
        </w:numPr>
        <w:rPr>
          <w:rFonts w:ascii="Arial" w:cs="Arial" w:eastAsia="Arial" w:hAnsi="Arial"/>
          <w:sz w:val="17"/>
          <w:szCs w:val="17"/>
          <w:color w:val="auto"/>
        </w:rPr>
      </w:pPr>
      <w:r>
        <w:rPr>
          <w:rFonts w:ascii="Arial" w:cs="Arial" w:eastAsia="Arial" w:hAnsi="Arial"/>
          <w:sz w:val="14"/>
          <w:szCs w:val="14"/>
          <w:color w:val="auto"/>
        </w:rPr>
        <w:t>if the principal of or any premium or interest on the debt securities of that series is to be payable, or is to be payable at our election or the election of a holder of those securities, in securities or other property, the type and amount of those securities or other property, or the manner of determining that amount, and the period or periods within which, and the terms and conditions upon which, any such election may be made;</w:t>
      </w:r>
    </w:p>
    <w:p>
      <w:pPr>
        <w:ind w:left="2220" w:right="200" w:hanging="359"/>
        <w:spacing w:after="0" w:line="225" w:lineRule="auto"/>
        <w:tabs>
          <w:tab w:leader="none" w:pos="2220" w:val="left"/>
        </w:tabs>
        <w:numPr>
          <w:ilvl w:val="0"/>
          <w:numId w:val="7"/>
        </w:numPr>
        <w:rPr>
          <w:rFonts w:ascii="Arial" w:cs="Arial" w:eastAsia="Arial" w:hAnsi="Arial"/>
          <w:sz w:val="19"/>
          <w:szCs w:val="19"/>
          <w:color w:val="auto"/>
        </w:rPr>
      </w:pPr>
      <w:r>
        <w:rPr>
          <w:rFonts w:ascii="Arial" w:cs="Arial" w:eastAsia="Arial" w:hAnsi="Arial"/>
          <w:sz w:val="16"/>
          <w:szCs w:val="16"/>
          <w:color w:val="auto"/>
        </w:rPr>
        <w:t>the covenants relating to the debt securities that are in addition to, modify or delete those described in this prospectus, including the merger, consolidation and sale covenant;</w:t>
      </w:r>
    </w:p>
    <w:p>
      <w:pPr>
        <w:ind w:left="2220" w:hanging="359"/>
        <w:spacing w:after="0" w:line="207" w:lineRule="auto"/>
        <w:tabs>
          <w:tab w:leader="none" w:pos="2220" w:val="left"/>
        </w:tabs>
        <w:numPr>
          <w:ilvl w:val="0"/>
          <w:numId w:val="7"/>
        </w:numPr>
        <w:rPr>
          <w:rFonts w:ascii="Arial" w:cs="Arial" w:eastAsia="Arial" w:hAnsi="Arial"/>
          <w:sz w:val="19"/>
          <w:szCs w:val="19"/>
          <w:color w:val="auto"/>
        </w:rPr>
      </w:pPr>
      <w:r>
        <w:rPr>
          <w:rFonts w:ascii="Arial" w:cs="Arial" w:eastAsia="Arial" w:hAnsi="Arial"/>
          <w:sz w:val="16"/>
          <w:szCs w:val="16"/>
          <w:color w:val="auto"/>
        </w:rPr>
        <w:t>the events of default relating to the debt securities that are in addition to, modify or delete those described in this prospectus;</w:t>
      </w:r>
    </w:p>
    <w:p>
      <w:pPr>
        <w:spacing w:after="0" w:line="26" w:lineRule="exact"/>
        <w:rPr>
          <w:rFonts w:ascii="Arial" w:cs="Arial" w:eastAsia="Arial" w:hAnsi="Arial"/>
          <w:sz w:val="19"/>
          <w:szCs w:val="19"/>
          <w:color w:val="auto"/>
        </w:rPr>
      </w:pPr>
    </w:p>
    <w:p>
      <w:pPr>
        <w:ind w:left="2220" w:hanging="359"/>
        <w:spacing w:after="0" w:line="204" w:lineRule="auto"/>
        <w:tabs>
          <w:tab w:leader="none" w:pos="2220" w:val="left"/>
        </w:tabs>
        <w:numPr>
          <w:ilvl w:val="0"/>
          <w:numId w:val="7"/>
        </w:numPr>
        <w:rPr>
          <w:rFonts w:ascii="Arial" w:cs="Arial" w:eastAsia="Arial" w:hAnsi="Arial"/>
          <w:sz w:val="19"/>
          <w:szCs w:val="19"/>
          <w:color w:val="auto"/>
        </w:rPr>
      </w:pPr>
      <w:r>
        <w:rPr>
          <w:rFonts w:ascii="Arial" w:cs="Arial" w:eastAsia="Arial" w:hAnsi="Arial"/>
          <w:sz w:val="16"/>
          <w:szCs w:val="16"/>
          <w:color w:val="auto"/>
        </w:rPr>
        <w:t>conversion or exchange provisions, if any, including conversion or exchange prices or rates and adjustments thereto;</w:t>
      </w:r>
    </w:p>
    <w:p>
      <w:pPr>
        <w:spacing w:after="0" w:line="26" w:lineRule="exact"/>
        <w:rPr>
          <w:rFonts w:ascii="Arial" w:cs="Arial" w:eastAsia="Arial" w:hAnsi="Arial"/>
          <w:sz w:val="19"/>
          <w:szCs w:val="19"/>
          <w:color w:val="auto"/>
        </w:rPr>
      </w:pPr>
    </w:p>
    <w:p>
      <w:pPr>
        <w:ind w:left="2220" w:hanging="359"/>
        <w:spacing w:after="0" w:line="204" w:lineRule="auto"/>
        <w:tabs>
          <w:tab w:leader="none" w:pos="2220" w:val="left"/>
        </w:tabs>
        <w:numPr>
          <w:ilvl w:val="0"/>
          <w:numId w:val="7"/>
        </w:numPr>
        <w:rPr>
          <w:rFonts w:ascii="Arial" w:cs="Arial" w:eastAsia="Arial" w:hAnsi="Arial"/>
          <w:sz w:val="19"/>
          <w:szCs w:val="19"/>
          <w:color w:val="auto"/>
        </w:rPr>
      </w:pPr>
      <w:r>
        <w:rPr>
          <w:rFonts w:ascii="Arial" w:cs="Arial" w:eastAsia="Arial" w:hAnsi="Arial"/>
          <w:sz w:val="16"/>
          <w:szCs w:val="16"/>
          <w:color w:val="auto"/>
        </w:rPr>
        <w:t>whether and upon what terms the debt securities may be defeased, if different from the provisions set forth in the indenture;</w:t>
      </w:r>
    </w:p>
    <w:p>
      <w:pPr>
        <w:spacing w:after="0" w:line="26" w:lineRule="exact"/>
        <w:rPr>
          <w:rFonts w:ascii="Arial" w:cs="Arial" w:eastAsia="Arial" w:hAnsi="Arial"/>
          <w:sz w:val="19"/>
          <w:szCs w:val="19"/>
          <w:color w:val="auto"/>
        </w:rPr>
      </w:pPr>
    </w:p>
    <w:p>
      <w:pPr>
        <w:ind w:left="2220" w:hanging="359"/>
        <w:spacing w:after="0" w:line="204" w:lineRule="auto"/>
        <w:tabs>
          <w:tab w:leader="none" w:pos="2220" w:val="left"/>
        </w:tabs>
        <w:numPr>
          <w:ilvl w:val="0"/>
          <w:numId w:val="7"/>
        </w:numPr>
        <w:rPr>
          <w:rFonts w:ascii="Arial" w:cs="Arial" w:eastAsia="Arial" w:hAnsi="Arial"/>
          <w:sz w:val="19"/>
          <w:szCs w:val="19"/>
          <w:color w:val="auto"/>
        </w:rPr>
      </w:pPr>
      <w:r>
        <w:rPr>
          <w:rFonts w:ascii="Arial" w:cs="Arial" w:eastAsia="Arial" w:hAnsi="Arial"/>
          <w:sz w:val="16"/>
          <w:szCs w:val="16"/>
          <w:color w:val="auto"/>
        </w:rPr>
        <w:t>the nature and terms of any security for any secured debt securities;</w:t>
      </w:r>
    </w:p>
    <w:p>
      <w:pPr>
        <w:spacing w:after="0" w:line="26" w:lineRule="exact"/>
        <w:rPr>
          <w:rFonts w:ascii="Arial" w:cs="Arial" w:eastAsia="Arial" w:hAnsi="Arial"/>
          <w:sz w:val="19"/>
          <w:szCs w:val="19"/>
          <w:color w:val="auto"/>
        </w:rPr>
      </w:pPr>
    </w:p>
    <w:p>
      <w:pPr>
        <w:ind w:left="2220" w:hanging="359"/>
        <w:spacing w:after="0" w:line="204" w:lineRule="auto"/>
        <w:tabs>
          <w:tab w:leader="none" w:pos="2220" w:val="left"/>
        </w:tabs>
        <w:numPr>
          <w:ilvl w:val="0"/>
          <w:numId w:val="7"/>
        </w:numPr>
        <w:rPr>
          <w:rFonts w:ascii="Arial" w:cs="Arial" w:eastAsia="Arial" w:hAnsi="Arial"/>
          <w:sz w:val="19"/>
          <w:szCs w:val="19"/>
          <w:color w:val="auto"/>
        </w:rPr>
      </w:pPr>
      <w:r>
        <w:rPr>
          <w:rFonts w:ascii="Arial" w:cs="Arial" w:eastAsia="Arial" w:hAnsi="Arial"/>
          <w:sz w:val="16"/>
          <w:szCs w:val="16"/>
          <w:color w:val="auto"/>
        </w:rPr>
        <w:t>the terms applicable to any debt securities issued at a discount from their stated principal amount; and</w:t>
      </w:r>
    </w:p>
    <w:p>
      <w:pPr>
        <w:spacing w:after="0" w:line="26" w:lineRule="exact"/>
        <w:rPr>
          <w:rFonts w:ascii="Arial" w:cs="Arial" w:eastAsia="Arial" w:hAnsi="Arial"/>
          <w:sz w:val="19"/>
          <w:szCs w:val="19"/>
          <w:color w:val="auto"/>
        </w:rPr>
      </w:pPr>
    </w:p>
    <w:p>
      <w:pPr>
        <w:ind w:left="2220" w:hanging="359"/>
        <w:spacing w:after="0" w:line="204" w:lineRule="auto"/>
        <w:tabs>
          <w:tab w:leader="none" w:pos="2220" w:val="left"/>
        </w:tabs>
        <w:numPr>
          <w:ilvl w:val="0"/>
          <w:numId w:val="7"/>
        </w:numPr>
        <w:rPr>
          <w:rFonts w:ascii="Arial" w:cs="Arial" w:eastAsia="Arial" w:hAnsi="Arial"/>
          <w:sz w:val="19"/>
          <w:szCs w:val="19"/>
          <w:color w:val="auto"/>
        </w:rPr>
      </w:pPr>
      <w:r>
        <w:rPr>
          <w:rFonts w:ascii="Arial" w:cs="Arial" w:eastAsia="Arial" w:hAnsi="Arial"/>
          <w:sz w:val="16"/>
          <w:szCs w:val="16"/>
          <w:color w:val="auto"/>
        </w:rPr>
        <w:t>any other specific terms of any debt securities.</w:t>
      </w:r>
    </w:p>
    <w:p>
      <w:pPr>
        <w:spacing w:after="0" w:line="202" w:lineRule="exact"/>
        <w:rPr>
          <w:sz w:val="20"/>
          <w:szCs w:val="20"/>
          <w:color w:val="auto"/>
        </w:rPr>
      </w:pPr>
    </w:p>
    <w:p>
      <w:pPr>
        <w:ind w:right="440" w:firstLine="751"/>
        <w:spacing w:after="0" w:line="267" w:lineRule="auto"/>
        <w:rPr>
          <w:sz w:val="20"/>
          <w:szCs w:val="20"/>
          <w:color w:val="auto"/>
        </w:rPr>
      </w:pPr>
      <w:r>
        <w:rPr>
          <w:rFonts w:ascii="Arial" w:cs="Arial" w:eastAsia="Arial" w:hAnsi="Arial"/>
          <w:sz w:val="16"/>
          <w:szCs w:val="16"/>
          <w:color w:val="auto"/>
        </w:rPr>
        <w:t>The applicable prospectus supplement will present material United States federal income tax considerations for holders of any debt securities and the securities exchange or quotation system on which any debt securities are to be listed or quoted.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and Transfer</w:t>
      </w:r>
    </w:p>
    <w:p>
      <w:pPr>
        <w:spacing w:after="0" w:line="198" w:lineRule="exact"/>
        <w:rPr>
          <w:sz w:val="20"/>
          <w:szCs w:val="20"/>
          <w:color w:val="auto"/>
        </w:rPr>
      </w:pPr>
    </w:p>
    <w:p>
      <w:pPr>
        <w:ind w:right="200" w:firstLine="751"/>
        <w:spacing w:after="0" w:line="267" w:lineRule="auto"/>
        <w:rPr>
          <w:sz w:val="20"/>
          <w:szCs w:val="20"/>
          <w:color w:val="auto"/>
        </w:rPr>
      </w:pPr>
      <w:r>
        <w:rPr>
          <w:rFonts w:ascii="Arial" w:cs="Arial" w:eastAsia="Arial" w:hAnsi="Arial"/>
          <w:sz w:val="16"/>
          <w:szCs w:val="16"/>
          <w:color w:val="auto"/>
        </w:rPr>
        <w:t>Unless otherwise indicated in the applicable prospectus supplement, each series of debt securities will be issued in registered form only, without coupons, and such registered securities will be issued in denominations of $1,000 or any integral multiple thereof.</w:t>
      </w:r>
    </w:p>
    <w:p>
      <w:pPr>
        <w:spacing w:after="0" w:line="158" w:lineRule="exact"/>
        <w:rPr>
          <w:sz w:val="20"/>
          <w:szCs w:val="20"/>
          <w:color w:val="auto"/>
        </w:rPr>
      </w:pPr>
    </w:p>
    <w:p>
      <w:pPr>
        <w:ind w:right="200" w:firstLine="751"/>
        <w:spacing w:after="0" w:line="253" w:lineRule="auto"/>
        <w:rPr>
          <w:sz w:val="20"/>
          <w:szCs w:val="20"/>
          <w:color w:val="auto"/>
        </w:rPr>
      </w:pPr>
      <w:r>
        <w:rPr>
          <w:rFonts w:ascii="Arial" w:cs="Arial" w:eastAsia="Arial" w:hAnsi="Arial"/>
          <w:sz w:val="16"/>
          <w:szCs w:val="16"/>
          <w:color w:val="auto"/>
        </w:rPr>
        <w:t>Unless otherwise indicated in the applicable prospectus supplement, we will pay interest on the debt securities to the persons who are their registered holders at the close of business on a certain date preceding the respective interest payment date. We will not be required to register the transfer or exchange of debt securities of any series during a period beginning 15 days before the mailing of a notice of redemption of or an offer to repurchase debt securities of that series or 15 days before an interest payment date.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Conversion or Exchange Rights</w:t>
      </w:r>
    </w:p>
    <w:p>
      <w:pPr>
        <w:spacing w:after="0" w:line="198" w:lineRule="exact"/>
        <w:rPr>
          <w:sz w:val="20"/>
          <w:szCs w:val="20"/>
          <w:color w:val="auto"/>
        </w:rPr>
      </w:pPr>
    </w:p>
    <w:p>
      <w:pPr>
        <w:ind w:right="20" w:firstLine="751"/>
        <w:spacing w:after="0" w:line="252" w:lineRule="auto"/>
        <w:rPr>
          <w:sz w:val="20"/>
          <w:szCs w:val="20"/>
          <w:color w:val="auto"/>
        </w:rPr>
      </w:pPr>
      <w:r>
        <w:rPr>
          <w:rFonts w:ascii="Arial" w:cs="Arial" w:eastAsia="Arial" w:hAnsi="Arial"/>
          <w:sz w:val="16"/>
          <w:szCs w:val="16"/>
          <w:color w:val="auto"/>
        </w:rPr>
        <w:t>Debt securities may be convertible into or exchangeable for shares of our common stock or other securities. The terms and conditions of conversion or exchange will be stated in the applicable prospectus supplement. The terms will include, among others, the following:</w:t>
      </w:r>
    </w:p>
    <w:p>
      <w:pPr>
        <w:ind w:left="2220" w:hanging="359"/>
        <w:spacing w:after="0" w:line="210" w:lineRule="auto"/>
        <w:tabs>
          <w:tab w:leader="none" w:pos="2220" w:val="left"/>
        </w:tabs>
        <w:numPr>
          <w:ilvl w:val="0"/>
          <w:numId w:val="8"/>
        </w:numPr>
        <w:rPr>
          <w:rFonts w:ascii="Arial" w:cs="Arial" w:eastAsia="Arial" w:hAnsi="Arial"/>
          <w:sz w:val="19"/>
          <w:szCs w:val="19"/>
          <w:color w:val="auto"/>
        </w:rPr>
      </w:pPr>
      <w:r>
        <w:rPr>
          <w:rFonts w:ascii="Arial" w:cs="Arial" w:eastAsia="Arial" w:hAnsi="Arial"/>
          <w:sz w:val="16"/>
          <w:szCs w:val="16"/>
          <w:color w:val="auto"/>
        </w:rPr>
        <w:t>the conversion or exchange price;</w:t>
      </w:r>
    </w:p>
    <w:p>
      <w:pPr>
        <w:spacing w:after="0" w:line="27" w:lineRule="exact"/>
        <w:rPr>
          <w:rFonts w:ascii="Arial" w:cs="Arial" w:eastAsia="Arial" w:hAnsi="Arial"/>
          <w:sz w:val="19"/>
          <w:szCs w:val="19"/>
          <w:color w:val="auto"/>
        </w:rPr>
      </w:pPr>
    </w:p>
    <w:p>
      <w:pPr>
        <w:ind w:left="2220" w:hanging="359"/>
        <w:spacing w:after="0" w:line="204" w:lineRule="auto"/>
        <w:tabs>
          <w:tab w:leader="none" w:pos="2220" w:val="left"/>
        </w:tabs>
        <w:numPr>
          <w:ilvl w:val="0"/>
          <w:numId w:val="8"/>
        </w:numPr>
        <w:rPr>
          <w:rFonts w:ascii="Arial" w:cs="Arial" w:eastAsia="Arial" w:hAnsi="Arial"/>
          <w:sz w:val="19"/>
          <w:szCs w:val="19"/>
          <w:color w:val="auto"/>
        </w:rPr>
      </w:pPr>
      <w:r>
        <w:rPr>
          <w:rFonts w:ascii="Arial" w:cs="Arial" w:eastAsia="Arial" w:hAnsi="Arial"/>
          <w:sz w:val="16"/>
          <w:szCs w:val="16"/>
          <w:color w:val="auto"/>
        </w:rPr>
        <w:t>the conversion or exchange period;</w:t>
      </w:r>
    </w:p>
    <w:p>
      <w:pPr>
        <w:spacing w:after="0" w:line="26" w:lineRule="exact"/>
        <w:rPr>
          <w:rFonts w:ascii="Arial" w:cs="Arial" w:eastAsia="Arial" w:hAnsi="Arial"/>
          <w:sz w:val="19"/>
          <w:szCs w:val="19"/>
          <w:color w:val="auto"/>
        </w:rPr>
      </w:pPr>
    </w:p>
    <w:p>
      <w:pPr>
        <w:ind w:left="2220" w:hanging="359"/>
        <w:spacing w:after="0" w:line="204" w:lineRule="auto"/>
        <w:tabs>
          <w:tab w:leader="none" w:pos="2220" w:val="left"/>
        </w:tabs>
        <w:numPr>
          <w:ilvl w:val="0"/>
          <w:numId w:val="8"/>
        </w:numPr>
        <w:rPr>
          <w:rFonts w:ascii="Arial" w:cs="Arial" w:eastAsia="Arial" w:hAnsi="Arial"/>
          <w:sz w:val="19"/>
          <w:szCs w:val="19"/>
          <w:color w:val="auto"/>
        </w:rPr>
      </w:pPr>
      <w:r>
        <w:rPr>
          <w:rFonts w:ascii="Arial" w:cs="Arial" w:eastAsia="Arial" w:hAnsi="Arial"/>
          <w:sz w:val="16"/>
          <w:szCs w:val="16"/>
          <w:color w:val="auto"/>
        </w:rPr>
        <w:t>provisions regarding our ability or the ability of any holder to convert or exchange the debt securities;</w:t>
      </w:r>
    </w:p>
    <w:p>
      <w:pPr>
        <w:spacing w:after="0" w:line="26" w:lineRule="exact"/>
        <w:rPr>
          <w:rFonts w:ascii="Arial" w:cs="Arial" w:eastAsia="Arial" w:hAnsi="Arial"/>
          <w:sz w:val="19"/>
          <w:szCs w:val="19"/>
          <w:color w:val="auto"/>
        </w:rPr>
      </w:pPr>
    </w:p>
    <w:p>
      <w:pPr>
        <w:ind w:left="2220" w:hanging="359"/>
        <w:spacing w:after="0" w:line="204" w:lineRule="auto"/>
        <w:tabs>
          <w:tab w:leader="none" w:pos="2220" w:val="left"/>
        </w:tabs>
        <w:numPr>
          <w:ilvl w:val="0"/>
          <w:numId w:val="8"/>
        </w:numPr>
        <w:rPr>
          <w:rFonts w:ascii="Arial" w:cs="Arial" w:eastAsia="Arial" w:hAnsi="Arial"/>
          <w:sz w:val="19"/>
          <w:szCs w:val="19"/>
          <w:color w:val="auto"/>
        </w:rPr>
      </w:pPr>
      <w:r>
        <w:rPr>
          <w:rFonts w:ascii="Arial" w:cs="Arial" w:eastAsia="Arial" w:hAnsi="Arial"/>
          <w:sz w:val="16"/>
          <w:szCs w:val="16"/>
          <w:color w:val="auto"/>
        </w:rPr>
        <w:t>events requiring adjustment to the conversion or exchange price; and</w:t>
      </w:r>
    </w:p>
    <w:p>
      <w:pPr>
        <w:spacing w:after="0" w:line="26" w:lineRule="exact"/>
        <w:rPr>
          <w:rFonts w:ascii="Arial" w:cs="Arial" w:eastAsia="Arial" w:hAnsi="Arial"/>
          <w:sz w:val="19"/>
          <w:szCs w:val="19"/>
          <w:color w:val="auto"/>
        </w:rPr>
      </w:pPr>
    </w:p>
    <w:p>
      <w:pPr>
        <w:ind w:left="2220" w:hanging="359"/>
        <w:spacing w:after="0" w:line="204" w:lineRule="auto"/>
        <w:tabs>
          <w:tab w:leader="none" w:pos="2220" w:val="left"/>
        </w:tabs>
        <w:numPr>
          <w:ilvl w:val="0"/>
          <w:numId w:val="8"/>
        </w:numPr>
        <w:rPr>
          <w:rFonts w:ascii="Arial" w:cs="Arial" w:eastAsia="Arial" w:hAnsi="Arial"/>
          <w:sz w:val="19"/>
          <w:szCs w:val="19"/>
          <w:color w:val="auto"/>
        </w:rPr>
      </w:pPr>
      <w:r>
        <w:rPr>
          <w:rFonts w:ascii="Arial" w:cs="Arial" w:eastAsia="Arial" w:hAnsi="Arial"/>
          <w:sz w:val="16"/>
          <w:szCs w:val="16"/>
          <w:color w:val="auto"/>
        </w:rPr>
        <w:t>provisions affecting conversion or exchange in the event of our redemption of the debt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Consolidation, Merger or Sale</w:t>
      </w:r>
    </w:p>
    <w:p>
      <w:pPr>
        <w:spacing w:after="0" w:line="198"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The indenture generally permits a consolidation or merger between us and another entity, and another corporation, if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6470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20"/>
          </w:cols>
          <w:pgMar w:left="320" w:top="316" w:right="359" w:bottom="1440" w:gutter="0" w:footer="0" w:header="0"/>
        </w:sectPr>
      </w:pPr>
    </w:p>
    <w:bookmarkStart w:id="16" w:name="page17"/>
    <w:bookmarkEnd w:id="16"/>
    <w:p>
      <w:pPr>
        <w:ind w:right="80"/>
        <w:spacing w:after="0" w:line="257" w:lineRule="auto"/>
        <w:rPr>
          <w:sz w:val="20"/>
          <w:szCs w:val="20"/>
          <w:color w:val="auto"/>
        </w:rPr>
      </w:pPr>
      <w:r>
        <w:rPr>
          <w:rFonts w:ascii="Arial" w:cs="Arial" w:eastAsia="Arial" w:hAnsi="Arial"/>
          <w:sz w:val="16"/>
          <w:szCs w:val="16"/>
          <w:color w:val="auto"/>
        </w:rPr>
        <w:t>surviving corporation meets certain limitations and conditions. Subject to these conditions, the indenture also permits the sale or transfer by us of all or substantially all of our property and assets. If this happens, the remaining or acquiring corporation shall assume all of our responsibilities and liabilities under the indenture including the payment of all amounts due on the debt securities and performance of the covenants in the indenture.</w:t>
      </w:r>
    </w:p>
    <w:p>
      <w:pPr>
        <w:spacing w:after="0" w:line="165" w:lineRule="exact"/>
        <w:rPr>
          <w:sz w:val="20"/>
          <w:szCs w:val="20"/>
          <w:color w:val="auto"/>
        </w:rPr>
      </w:pPr>
    </w:p>
    <w:p>
      <w:pPr>
        <w:ind w:right="80" w:firstLine="751"/>
        <w:spacing w:after="0" w:line="344" w:lineRule="auto"/>
        <w:rPr>
          <w:sz w:val="20"/>
          <w:szCs w:val="20"/>
          <w:color w:val="auto"/>
        </w:rPr>
      </w:pPr>
      <w:r>
        <w:rPr>
          <w:rFonts w:ascii="Arial" w:cs="Arial" w:eastAsia="Arial" w:hAnsi="Arial"/>
          <w:sz w:val="13"/>
          <w:szCs w:val="13"/>
          <w:color w:val="auto"/>
        </w:rPr>
        <w:t>We are only permitted to consolidate or merge with or into any other corporation or sell all or substantially all of our assets according to the terms and conditions of the indenture, as indicated in the applicable prospectus supplement. The remaining or acquiring corporation will be substituted for us in the indenture with the same effect as if it had been an original party to the indenture. Thereafter, the successor corporation may exercise our rights and powers under any indenture, in our name or in its own name.</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Redemption and Repurchase</w:t>
      </w:r>
    </w:p>
    <w:p>
      <w:pPr>
        <w:spacing w:after="0" w:line="198" w:lineRule="exact"/>
        <w:rPr>
          <w:sz w:val="20"/>
          <w:szCs w:val="20"/>
          <w:color w:val="auto"/>
        </w:rPr>
      </w:pPr>
    </w:p>
    <w:p>
      <w:pPr>
        <w:ind w:right="660" w:firstLine="751"/>
        <w:spacing w:after="0" w:line="385" w:lineRule="auto"/>
        <w:rPr>
          <w:sz w:val="20"/>
          <w:szCs w:val="20"/>
          <w:color w:val="auto"/>
        </w:rPr>
      </w:pPr>
      <w:r>
        <w:rPr>
          <w:rFonts w:ascii="Arial" w:cs="Arial" w:eastAsia="Arial" w:hAnsi="Arial"/>
          <w:sz w:val="13"/>
          <w:szCs w:val="13"/>
          <w:color w:val="auto"/>
        </w:rPr>
        <w:t>The debt securities may be redeemable at our option, may be subject to mandatory redemption pursuant to a sinking fund or otherwise, or may be subject to repurchase by us at the option of the holders, in each case upon the terms, at the times and at the prices set forth in the applicable prospectus supplement.</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Events of Default</w:t>
      </w:r>
    </w:p>
    <w:p>
      <w:pPr>
        <w:spacing w:after="0" w:line="198"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The indenture provides that the following will be “events of default” with respect to any series of debt securities:</w:t>
      </w:r>
    </w:p>
    <w:p>
      <w:pPr>
        <w:spacing w:after="0" w:line="270" w:lineRule="exact"/>
        <w:rPr>
          <w:sz w:val="20"/>
          <w:szCs w:val="20"/>
          <w:color w:val="auto"/>
        </w:rPr>
      </w:pPr>
    </w:p>
    <w:p>
      <w:pPr>
        <w:ind w:left="2220" w:hanging="359"/>
        <w:spacing w:after="0"/>
        <w:tabs>
          <w:tab w:leader="none" w:pos="2220" w:val="left"/>
        </w:tabs>
        <w:numPr>
          <w:ilvl w:val="0"/>
          <w:numId w:val="9"/>
        </w:numPr>
        <w:rPr>
          <w:rFonts w:ascii="Arial" w:cs="Arial" w:eastAsia="Arial" w:hAnsi="Arial"/>
          <w:sz w:val="19"/>
          <w:szCs w:val="19"/>
          <w:color w:val="auto"/>
        </w:rPr>
      </w:pPr>
      <w:r>
        <w:rPr>
          <w:rFonts w:ascii="Arial" w:cs="Arial" w:eastAsia="Arial" w:hAnsi="Arial"/>
          <w:sz w:val="16"/>
          <w:szCs w:val="16"/>
          <w:color w:val="auto"/>
        </w:rPr>
        <w:t>failure to pay interest for 90 days after the date payment is due and payable;</w:t>
      </w:r>
    </w:p>
    <w:p>
      <w:pPr>
        <w:spacing w:after="0" w:line="106" w:lineRule="exact"/>
        <w:rPr>
          <w:rFonts w:ascii="Arial" w:cs="Arial" w:eastAsia="Arial" w:hAnsi="Arial"/>
          <w:sz w:val="19"/>
          <w:szCs w:val="19"/>
          <w:color w:val="auto"/>
        </w:rPr>
      </w:pPr>
    </w:p>
    <w:p>
      <w:pPr>
        <w:ind w:left="2220" w:right="640" w:hanging="359"/>
        <w:spacing w:after="0" w:line="232" w:lineRule="auto"/>
        <w:tabs>
          <w:tab w:leader="none" w:pos="2220" w:val="left"/>
        </w:tabs>
        <w:numPr>
          <w:ilvl w:val="0"/>
          <w:numId w:val="9"/>
        </w:numPr>
        <w:rPr>
          <w:rFonts w:ascii="Arial" w:cs="Arial" w:eastAsia="Arial" w:hAnsi="Arial"/>
          <w:sz w:val="19"/>
          <w:szCs w:val="19"/>
          <w:color w:val="auto"/>
        </w:rPr>
      </w:pPr>
      <w:r>
        <w:rPr>
          <w:rFonts w:ascii="Arial" w:cs="Arial" w:eastAsia="Arial" w:hAnsi="Arial"/>
          <w:sz w:val="16"/>
          <w:szCs w:val="16"/>
          <w:color w:val="auto"/>
        </w:rPr>
        <w:t>failure to pay principal or premium, if any, on any debt security when due, either at maturity, upon any redemption, by declaration or otherwise;</w:t>
      </w:r>
    </w:p>
    <w:p>
      <w:pPr>
        <w:spacing w:after="0" w:line="65" w:lineRule="exact"/>
        <w:rPr>
          <w:rFonts w:ascii="Arial" w:cs="Arial" w:eastAsia="Arial" w:hAnsi="Arial"/>
          <w:sz w:val="19"/>
          <w:szCs w:val="19"/>
          <w:color w:val="auto"/>
        </w:rPr>
      </w:pPr>
    </w:p>
    <w:p>
      <w:pPr>
        <w:ind w:left="2220" w:hanging="359"/>
        <w:spacing w:after="0"/>
        <w:tabs>
          <w:tab w:leader="none" w:pos="2220" w:val="left"/>
        </w:tabs>
        <w:numPr>
          <w:ilvl w:val="0"/>
          <w:numId w:val="9"/>
        </w:numPr>
        <w:rPr>
          <w:rFonts w:ascii="Arial" w:cs="Arial" w:eastAsia="Arial" w:hAnsi="Arial"/>
          <w:sz w:val="19"/>
          <w:szCs w:val="19"/>
          <w:color w:val="auto"/>
        </w:rPr>
      </w:pPr>
      <w:r>
        <w:rPr>
          <w:rFonts w:ascii="Arial" w:cs="Arial" w:eastAsia="Arial" w:hAnsi="Arial"/>
          <w:sz w:val="16"/>
          <w:szCs w:val="16"/>
          <w:color w:val="auto"/>
        </w:rPr>
        <w:t>failure to make sinking fund payments when due and continuance of such default for a period of 30 days;</w:t>
      </w:r>
    </w:p>
    <w:p>
      <w:pPr>
        <w:spacing w:after="0" w:line="88" w:lineRule="exact"/>
        <w:rPr>
          <w:rFonts w:ascii="Arial" w:cs="Arial" w:eastAsia="Arial" w:hAnsi="Arial"/>
          <w:sz w:val="19"/>
          <w:szCs w:val="19"/>
          <w:color w:val="auto"/>
        </w:rPr>
      </w:pPr>
    </w:p>
    <w:p>
      <w:pPr>
        <w:ind w:left="2220" w:hanging="359"/>
        <w:spacing w:after="0"/>
        <w:tabs>
          <w:tab w:leader="none" w:pos="2220" w:val="left"/>
        </w:tabs>
        <w:numPr>
          <w:ilvl w:val="0"/>
          <w:numId w:val="9"/>
        </w:numPr>
        <w:rPr>
          <w:rFonts w:ascii="Arial" w:cs="Arial" w:eastAsia="Arial" w:hAnsi="Arial"/>
          <w:sz w:val="19"/>
          <w:szCs w:val="19"/>
          <w:color w:val="auto"/>
        </w:rPr>
      </w:pPr>
      <w:r>
        <w:rPr>
          <w:rFonts w:ascii="Arial" w:cs="Arial" w:eastAsia="Arial" w:hAnsi="Arial"/>
          <w:sz w:val="16"/>
          <w:szCs w:val="16"/>
          <w:color w:val="auto"/>
        </w:rPr>
        <w:t>failure to perform other covenants for 90 days after notice of such default or breach and request for it to be remedied;</w:t>
      </w:r>
    </w:p>
    <w:p>
      <w:pPr>
        <w:spacing w:after="0" w:line="88" w:lineRule="exact"/>
        <w:rPr>
          <w:rFonts w:ascii="Arial" w:cs="Arial" w:eastAsia="Arial" w:hAnsi="Arial"/>
          <w:sz w:val="19"/>
          <w:szCs w:val="19"/>
          <w:color w:val="auto"/>
        </w:rPr>
      </w:pPr>
    </w:p>
    <w:p>
      <w:pPr>
        <w:ind w:left="2220" w:hanging="359"/>
        <w:spacing w:after="0"/>
        <w:tabs>
          <w:tab w:leader="none" w:pos="2220" w:val="left"/>
        </w:tabs>
        <w:numPr>
          <w:ilvl w:val="0"/>
          <w:numId w:val="9"/>
        </w:numPr>
        <w:rPr>
          <w:rFonts w:ascii="Arial" w:cs="Arial" w:eastAsia="Arial" w:hAnsi="Arial"/>
          <w:sz w:val="19"/>
          <w:szCs w:val="19"/>
          <w:color w:val="auto"/>
        </w:rPr>
      </w:pPr>
      <w:r>
        <w:rPr>
          <w:rFonts w:ascii="Arial" w:cs="Arial" w:eastAsia="Arial" w:hAnsi="Arial"/>
          <w:sz w:val="16"/>
          <w:szCs w:val="16"/>
          <w:color w:val="auto"/>
        </w:rPr>
        <w:t>events in bankruptcy, insolvency or reorganization relating to us; or</w:t>
      </w:r>
    </w:p>
    <w:p>
      <w:pPr>
        <w:spacing w:after="0" w:line="106" w:lineRule="exact"/>
        <w:rPr>
          <w:rFonts w:ascii="Arial" w:cs="Arial" w:eastAsia="Arial" w:hAnsi="Arial"/>
          <w:sz w:val="19"/>
          <w:szCs w:val="19"/>
          <w:color w:val="auto"/>
        </w:rPr>
      </w:pPr>
    </w:p>
    <w:p>
      <w:pPr>
        <w:ind w:left="2220" w:right="260" w:hanging="359"/>
        <w:spacing w:after="0" w:line="232" w:lineRule="auto"/>
        <w:tabs>
          <w:tab w:leader="none" w:pos="2220" w:val="left"/>
        </w:tabs>
        <w:numPr>
          <w:ilvl w:val="0"/>
          <w:numId w:val="9"/>
        </w:numPr>
        <w:rPr>
          <w:rFonts w:ascii="Arial" w:cs="Arial" w:eastAsia="Arial" w:hAnsi="Arial"/>
          <w:sz w:val="19"/>
          <w:szCs w:val="19"/>
          <w:color w:val="auto"/>
        </w:rPr>
      </w:pPr>
      <w:r>
        <w:rPr>
          <w:rFonts w:ascii="Arial" w:cs="Arial" w:eastAsia="Arial" w:hAnsi="Arial"/>
          <w:sz w:val="16"/>
          <w:szCs w:val="16"/>
          <w:color w:val="auto"/>
        </w:rPr>
        <w:t>any other event of default provided in the applicable officer’s certificate, resolution of our board of directors or the supplemental indenture under which we issue a series of debt securities.</w:t>
      </w:r>
    </w:p>
    <w:p>
      <w:pPr>
        <w:spacing w:after="0" w:line="202" w:lineRule="exact"/>
        <w:rPr>
          <w:sz w:val="20"/>
          <w:szCs w:val="20"/>
          <w:color w:val="auto"/>
        </w:rPr>
      </w:pPr>
    </w:p>
    <w:p>
      <w:pPr>
        <w:ind w:right="100" w:firstLine="751"/>
        <w:spacing w:after="0" w:line="385" w:lineRule="auto"/>
        <w:rPr>
          <w:sz w:val="20"/>
          <w:szCs w:val="20"/>
          <w:color w:val="auto"/>
        </w:rPr>
      </w:pPr>
      <w:r>
        <w:rPr>
          <w:rFonts w:ascii="Arial" w:cs="Arial" w:eastAsia="Arial" w:hAnsi="Arial"/>
          <w:sz w:val="13"/>
          <w:szCs w:val="13"/>
          <w:color w:val="auto"/>
        </w:rPr>
        <w:t>An event of default for a particular series of debt securities does not necessarily constitute an event of default for any other series of debt securities issued under the indenture. For each series of debt securities, any modifications to the above events of default will be described in the applicable prospectus supplement for those debt securities.</w:t>
      </w:r>
    </w:p>
    <w:p>
      <w:pPr>
        <w:spacing w:after="0" w:line="87" w:lineRule="exact"/>
        <w:rPr>
          <w:sz w:val="20"/>
          <w:szCs w:val="20"/>
          <w:color w:val="auto"/>
        </w:rPr>
      </w:pPr>
    </w:p>
    <w:p>
      <w:pPr>
        <w:ind w:firstLine="751"/>
        <w:spacing w:after="0" w:line="269" w:lineRule="auto"/>
        <w:rPr>
          <w:sz w:val="20"/>
          <w:szCs w:val="20"/>
          <w:color w:val="auto"/>
        </w:rPr>
      </w:pPr>
      <w:r>
        <w:rPr>
          <w:rFonts w:ascii="Arial" w:cs="Arial" w:eastAsia="Arial" w:hAnsi="Arial"/>
          <w:sz w:val="15"/>
          <w:szCs w:val="15"/>
          <w:color w:val="auto"/>
        </w:rPr>
        <w:t>The indenture provides that if an event of default specified in the first, second, third, fourth or sixth bullets above occurs and is continuing, either the trustee or the holders of at least 25% in aggregate principal amount of the outstanding debt securities of that series may declare the principal amount of all those debt securities (or, in the case of discount securities or indexed securities, that portion of the principal amount as may be specified in the terms of that series) to be due and payable immediately. If an event of default specified in the fifth bullet above occurs and is continuing, then the principal amount of all those debt securities (or, in the case of discount securities or indexed securities, that portion of the principal amount as may be specified in the terms of that series) will be due and payable immediately, without any declaration or other act on the part of the trustee or any holder. In certain cases, the holders of a majority in principal amount of the outstanding debt securities of any series may, on behalf of holders of all those debt securities, waive any past default and consequences of such default.</w:t>
      </w:r>
    </w:p>
    <w:p>
      <w:pPr>
        <w:spacing w:after="0" w:line="159" w:lineRule="exact"/>
        <w:rPr>
          <w:sz w:val="20"/>
          <w:szCs w:val="20"/>
          <w:color w:val="auto"/>
        </w:rPr>
      </w:pPr>
    </w:p>
    <w:p>
      <w:pPr>
        <w:ind w:right="100" w:firstLine="751"/>
        <w:spacing w:after="0" w:line="267" w:lineRule="auto"/>
        <w:rPr>
          <w:sz w:val="20"/>
          <w:szCs w:val="20"/>
          <w:color w:val="auto"/>
        </w:rPr>
      </w:pPr>
      <w:r>
        <w:rPr>
          <w:rFonts w:ascii="Arial" w:cs="Arial" w:eastAsia="Arial" w:hAnsi="Arial"/>
          <w:sz w:val="16"/>
          <w:szCs w:val="16"/>
          <w:color w:val="auto"/>
        </w:rPr>
        <w:t>The indenture imposes limitations on suits brought by holders of debt securities against us. Except for actions for payment of overdue principal or interest, no holder of debt securities of any series may institute any action against us under the indenture unless:</w:t>
      </w:r>
    </w:p>
    <w:p>
      <w:pPr>
        <w:spacing w:after="0" w:line="234" w:lineRule="exact"/>
        <w:rPr>
          <w:sz w:val="20"/>
          <w:szCs w:val="20"/>
          <w:color w:val="auto"/>
        </w:rPr>
      </w:pPr>
    </w:p>
    <w:p>
      <w:pPr>
        <w:ind w:left="2220" w:hanging="359"/>
        <w:spacing w:after="0"/>
        <w:tabs>
          <w:tab w:leader="none" w:pos="2220" w:val="left"/>
        </w:tabs>
        <w:numPr>
          <w:ilvl w:val="0"/>
          <w:numId w:val="10"/>
        </w:numPr>
        <w:rPr>
          <w:rFonts w:ascii="Arial" w:cs="Arial" w:eastAsia="Arial" w:hAnsi="Arial"/>
          <w:sz w:val="19"/>
          <w:szCs w:val="19"/>
          <w:color w:val="auto"/>
        </w:rPr>
      </w:pPr>
      <w:r>
        <w:rPr>
          <w:rFonts w:ascii="Arial" w:cs="Arial" w:eastAsia="Arial" w:hAnsi="Arial"/>
          <w:sz w:val="16"/>
          <w:szCs w:val="16"/>
          <w:color w:val="auto"/>
        </w:rPr>
        <w:t>the holder has previously given to the trustee written notice of a continuing default;</w:t>
      </w:r>
    </w:p>
    <w:p>
      <w:pPr>
        <w:spacing w:after="0" w:line="106" w:lineRule="exact"/>
        <w:rPr>
          <w:rFonts w:ascii="Arial" w:cs="Arial" w:eastAsia="Arial" w:hAnsi="Arial"/>
          <w:sz w:val="19"/>
          <w:szCs w:val="19"/>
          <w:color w:val="auto"/>
        </w:rPr>
      </w:pPr>
    </w:p>
    <w:p>
      <w:pPr>
        <w:ind w:left="2220" w:right="80" w:hanging="359"/>
        <w:spacing w:after="0" w:line="232" w:lineRule="auto"/>
        <w:tabs>
          <w:tab w:leader="none" w:pos="2220" w:val="left"/>
        </w:tabs>
        <w:numPr>
          <w:ilvl w:val="0"/>
          <w:numId w:val="10"/>
        </w:numPr>
        <w:rPr>
          <w:rFonts w:ascii="Arial" w:cs="Arial" w:eastAsia="Arial" w:hAnsi="Arial"/>
          <w:sz w:val="19"/>
          <w:szCs w:val="19"/>
          <w:color w:val="auto"/>
        </w:rPr>
      </w:pPr>
      <w:r>
        <w:rPr>
          <w:rFonts w:ascii="Arial" w:cs="Arial" w:eastAsia="Arial" w:hAnsi="Arial"/>
          <w:sz w:val="16"/>
          <w:szCs w:val="16"/>
          <w:color w:val="auto"/>
        </w:rPr>
        <w:t>the holders of at least 25% in principal amount of the outstanding debt securities of the affected series have requested that the trustee institute the action;</w:t>
      </w:r>
    </w:p>
    <w:p>
      <w:pPr>
        <w:spacing w:after="0" w:line="83" w:lineRule="exact"/>
        <w:rPr>
          <w:rFonts w:ascii="Arial" w:cs="Arial" w:eastAsia="Arial" w:hAnsi="Arial"/>
          <w:sz w:val="19"/>
          <w:szCs w:val="19"/>
          <w:color w:val="auto"/>
        </w:rPr>
      </w:pPr>
    </w:p>
    <w:p>
      <w:pPr>
        <w:ind w:left="2220" w:hanging="359"/>
        <w:spacing w:after="0"/>
        <w:tabs>
          <w:tab w:leader="none" w:pos="2220" w:val="left"/>
        </w:tabs>
        <w:numPr>
          <w:ilvl w:val="0"/>
          <w:numId w:val="10"/>
        </w:numPr>
        <w:rPr>
          <w:rFonts w:ascii="Arial" w:cs="Arial" w:eastAsia="Arial" w:hAnsi="Arial"/>
          <w:sz w:val="17"/>
          <w:szCs w:val="17"/>
          <w:color w:val="auto"/>
        </w:rPr>
      </w:pPr>
      <w:r>
        <w:rPr>
          <w:rFonts w:ascii="Arial" w:cs="Arial" w:eastAsia="Arial" w:hAnsi="Arial"/>
          <w:sz w:val="14"/>
          <w:szCs w:val="14"/>
          <w:color w:val="auto"/>
        </w:rPr>
        <w:t>the requesting holders have offered the trustee indemnity for the costs, expenses and liabilities that may be incurred by bringing the action;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6470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20"/>
          </w:cols>
          <w:pgMar w:left="320" w:top="316" w:right="359" w:bottom="1440" w:gutter="0" w:footer="0" w:header="0"/>
        </w:sectPr>
      </w:pPr>
    </w:p>
    <w:bookmarkStart w:id="17" w:name="page18"/>
    <w:bookmarkEnd w:id="17"/>
    <w:p>
      <w:pPr>
        <w:ind w:left="2220" w:hanging="359"/>
        <w:spacing w:after="0"/>
        <w:tabs>
          <w:tab w:leader="none" w:pos="2220" w:val="left"/>
        </w:tabs>
        <w:numPr>
          <w:ilvl w:val="0"/>
          <w:numId w:val="11"/>
        </w:numPr>
        <w:rPr>
          <w:rFonts w:ascii="Arial" w:cs="Arial" w:eastAsia="Arial" w:hAnsi="Arial"/>
          <w:sz w:val="19"/>
          <w:szCs w:val="19"/>
          <w:color w:val="auto"/>
        </w:rPr>
      </w:pPr>
      <w:r>
        <w:rPr>
          <w:rFonts w:ascii="Arial" w:cs="Arial" w:eastAsia="Arial" w:hAnsi="Arial"/>
          <w:sz w:val="16"/>
          <w:szCs w:val="16"/>
          <w:color w:val="auto"/>
        </w:rPr>
        <w:t>the trustee has not instituted the action within 90 days of the request and offer of indemnity; and</w:t>
      </w:r>
    </w:p>
    <w:p>
      <w:pPr>
        <w:spacing w:after="0" w:line="106" w:lineRule="exact"/>
        <w:rPr>
          <w:rFonts w:ascii="Arial" w:cs="Arial" w:eastAsia="Arial" w:hAnsi="Arial"/>
          <w:sz w:val="19"/>
          <w:szCs w:val="19"/>
          <w:color w:val="auto"/>
        </w:rPr>
      </w:pPr>
    </w:p>
    <w:p>
      <w:pPr>
        <w:ind w:left="2220" w:right="320" w:hanging="359"/>
        <w:spacing w:after="0" w:line="232" w:lineRule="auto"/>
        <w:tabs>
          <w:tab w:leader="none" w:pos="2220" w:val="left"/>
        </w:tabs>
        <w:numPr>
          <w:ilvl w:val="0"/>
          <w:numId w:val="11"/>
        </w:numPr>
        <w:rPr>
          <w:rFonts w:ascii="Arial" w:cs="Arial" w:eastAsia="Arial" w:hAnsi="Arial"/>
          <w:sz w:val="19"/>
          <w:szCs w:val="19"/>
          <w:color w:val="auto"/>
        </w:rPr>
      </w:pPr>
      <w:r>
        <w:rPr>
          <w:rFonts w:ascii="Arial" w:cs="Arial" w:eastAsia="Arial" w:hAnsi="Arial"/>
          <w:sz w:val="16"/>
          <w:szCs w:val="16"/>
          <w:color w:val="auto"/>
        </w:rPr>
        <w:t>the trustee has not received inconsistent direction by the holders of a majority in principal amount of the outstanding debt securities of the affected series.</w:t>
      </w:r>
    </w:p>
    <w:p>
      <w:pPr>
        <w:spacing w:after="0" w:line="178" w:lineRule="exact"/>
        <w:rPr>
          <w:sz w:val="20"/>
          <w:szCs w:val="20"/>
          <w:color w:val="auto"/>
        </w:rPr>
      </w:pPr>
    </w:p>
    <w:p>
      <w:pPr>
        <w:ind w:right="300" w:firstLine="751"/>
        <w:spacing w:after="0" w:line="267" w:lineRule="auto"/>
        <w:rPr>
          <w:sz w:val="20"/>
          <w:szCs w:val="20"/>
          <w:color w:val="auto"/>
        </w:rPr>
      </w:pPr>
      <w:r>
        <w:rPr>
          <w:rFonts w:ascii="Arial" w:cs="Arial" w:eastAsia="Arial" w:hAnsi="Arial"/>
          <w:sz w:val="16"/>
          <w:szCs w:val="16"/>
          <w:color w:val="auto"/>
        </w:rPr>
        <w:t>We will be required to file annually with the trustee a certificate, signed by one of our officers, stating whether or not the officer knows of any default by us in the performance, observance or fulfillment of any condition or covenant of the indenture.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Discharge, Defeasance and Covenant Defeasance</w:t>
      </w:r>
    </w:p>
    <w:p>
      <w:pPr>
        <w:spacing w:after="0" w:line="198" w:lineRule="exact"/>
        <w:rPr>
          <w:sz w:val="20"/>
          <w:szCs w:val="20"/>
          <w:color w:val="auto"/>
        </w:rPr>
      </w:pPr>
    </w:p>
    <w:p>
      <w:pPr>
        <w:ind w:left="740"/>
        <w:spacing w:after="0"/>
        <w:rPr>
          <w:sz w:val="20"/>
          <w:szCs w:val="20"/>
          <w:color w:val="auto"/>
        </w:rPr>
      </w:pPr>
      <w:r>
        <w:rPr>
          <w:rFonts w:ascii="Arial" w:cs="Arial" w:eastAsia="Arial" w:hAnsi="Arial"/>
          <w:sz w:val="16"/>
          <w:szCs w:val="16"/>
          <w:color w:val="auto"/>
        </w:rPr>
        <w:t>We can discharge or decrease our obligations under the indenture as stated below.</w:t>
      </w:r>
    </w:p>
    <w:p>
      <w:pPr>
        <w:spacing w:after="0" w:line="194" w:lineRule="exact"/>
        <w:rPr>
          <w:sz w:val="20"/>
          <w:szCs w:val="20"/>
          <w:color w:val="auto"/>
        </w:rPr>
      </w:pPr>
    </w:p>
    <w:p>
      <w:pPr>
        <w:ind w:right="20" w:firstLine="751"/>
        <w:spacing w:after="0" w:line="330" w:lineRule="auto"/>
        <w:rPr>
          <w:sz w:val="20"/>
          <w:szCs w:val="20"/>
          <w:color w:val="auto"/>
        </w:rPr>
      </w:pPr>
      <w:r>
        <w:rPr>
          <w:rFonts w:ascii="Arial" w:cs="Arial" w:eastAsia="Arial" w:hAnsi="Arial"/>
          <w:sz w:val="13"/>
          <w:szCs w:val="13"/>
          <w:color w:val="auto"/>
        </w:rPr>
        <w:t>We may discharge obligations to holders of any series of debt securities that have not already been delivered to the trustee for cancellation and that have either become due and payable or are by their terms to become due and payable, or are scheduled for redemption, within one year. We may effect a discharge by irrevocably depositing with the trustee cash or government obligations denominated in the currency of the debt securities, as trust funds, in an amount certified to be enough to pay when due, whether at maturity, upon redemption or otherwise, the principal of, and any premium and interest on, the debt securities and any mandatory sinking fund payments.</w:t>
      </w:r>
    </w:p>
    <w:p>
      <w:pPr>
        <w:spacing w:after="0" w:line="123" w:lineRule="exact"/>
        <w:rPr>
          <w:sz w:val="20"/>
          <w:szCs w:val="20"/>
          <w:color w:val="auto"/>
        </w:rPr>
      </w:pPr>
    </w:p>
    <w:p>
      <w:pPr>
        <w:ind w:right="100" w:firstLine="751"/>
        <w:spacing w:after="0" w:line="319" w:lineRule="auto"/>
        <w:rPr>
          <w:sz w:val="20"/>
          <w:szCs w:val="20"/>
          <w:color w:val="auto"/>
        </w:rPr>
      </w:pPr>
      <w:r>
        <w:rPr>
          <w:rFonts w:ascii="Arial" w:cs="Arial" w:eastAsia="Arial" w:hAnsi="Arial"/>
          <w:sz w:val="13"/>
          <w:szCs w:val="13"/>
          <w:color w:val="auto"/>
        </w:rPr>
        <w:t>Unless otherwise provided in the applicable prospectus supplement, we may also discharge certain of our obligations to holders of any series of debt securities at any time, which we refer to as defeasance. We may also be released from the obligations imposed by certain covenants of outstanding series of debt securities and provisions of the indenture, and we may omit to comply with those covenants without creating an event of default under the indenture, which we refer to as covenant defeasance. We may effect defeasance and covenant defeasance only if, among other things, we irrevocably deposit with the trustee cash or government obligations denominated in the currency of the debt securities, as trust funds, in an amount certified by a nationally recognized firm of independent certified accountants to be enough to pay at maturity, or upon redemption, the principal (including any mandatory sinking fund payments) of, and any premium and interest on, all outstanding debt securities of the series.</w:t>
      </w:r>
    </w:p>
    <w:p>
      <w:pPr>
        <w:spacing w:after="0" w:line="131" w:lineRule="exact"/>
        <w:rPr>
          <w:sz w:val="20"/>
          <w:szCs w:val="20"/>
          <w:color w:val="auto"/>
        </w:rPr>
      </w:pPr>
    </w:p>
    <w:p>
      <w:pPr>
        <w:ind w:right="60" w:firstLine="751"/>
        <w:spacing w:after="0" w:line="257" w:lineRule="auto"/>
        <w:rPr>
          <w:sz w:val="20"/>
          <w:szCs w:val="20"/>
          <w:color w:val="auto"/>
        </w:rPr>
      </w:pPr>
      <w:r>
        <w:rPr>
          <w:rFonts w:ascii="Arial" w:cs="Arial" w:eastAsia="Arial" w:hAnsi="Arial"/>
          <w:sz w:val="16"/>
          <w:szCs w:val="16"/>
          <w:color w:val="auto"/>
        </w:rPr>
        <w:t>Although we may discharge or decrease our obligations under the indenture as described in the preceding paragraphs, we may not discharge certain enumerated obligations, including but not limited to,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Modification of the Indenture and Waivers</w:t>
      </w:r>
    </w:p>
    <w:p>
      <w:pPr>
        <w:spacing w:after="0" w:line="198" w:lineRule="exact"/>
        <w:rPr>
          <w:sz w:val="20"/>
          <w:szCs w:val="20"/>
          <w:color w:val="auto"/>
        </w:rPr>
      </w:pPr>
    </w:p>
    <w:p>
      <w:pPr>
        <w:ind w:left="740"/>
        <w:spacing w:after="0"/>
        <w:rPr>
          <w:sz w:val="20"/>
          <w:szCs w:val="20"/>
          <w:color w:val="auto"/>
        </w:rPr>
      </w:pPr>
      <w:r>
        <w:rPr>
          <w:rFonts w:ascii="Arial" w:cs="Arial" w:eastAsia="Arial" w:hAnsi="Arial"/>
          <w:sz w:val="13"/>
          <w:szCs w:val="13"/>
          <w:color w:val="auto"/>
        </w:rPr>
        <w:t>The indenture provides that we and the trustee may enter into supplemental indentures without the consent of the holders of debt securities to, among other things:</w:t>
      </w:r>
    </w:p>
    <w:p>
      <w:pPr>
        <w:spacing w:after="0" w:line="116" w:lineRule="exact"/>
        <w:rPr>
          <w:sz w:val="20"/>
          <w:szCs w:val="20"/>
          <w:color w:val="auto"/>
        </w:rPr>
      </w:pPr>
    </w:p>
    <w:p>
      <w:pPr>
        <w:ind w:left="720" w:hanging="359"/>
        <w:spacing w:after="0"/>
        <w:tabs>
          <w:tab w:leader="none" w:pos="720" w:val="left"/>
        </w:tabs>
        <w:numPr>
          <w:ilvl w:val="0"/>
          <w:numId w:val="12"/>
        </w:numPr>
        <w:rPr>
          <w:rFonts w:ascii="Arial" w:cs="Arial" w:eastAsia="Arial" w:hAnsi="Arial"/>
          <w:sz w:val="19"/>
          <w:szCs w:val="19"/>
          <w:color w:val="auto"/>
        </w:rPr>
      </w:pPr>
      <w:r>
        <w:rPr>
          <w:rFonts w:ascii="Arial" w:cs="Arial" w:eastAsia="Arial" w:hAnsi="Arial"/>
          <w:sz w:val="16"/>
          <w:szCs w:val="16"/>
          <w:color w:val="auto"/>
        </w:rPr>
        <w:t>cure any ambiguity, defect, or inconsistency in the indenture or in the debt securities of any series;</w:t>
      </w:r>
    </w:p>
    <w:p>
      <w:pPr>
        <w:spacing w:after="0" w:line="88" w:lineRule="exact"/>
        <w:rPr>
          <w:rFonts w:ascii="Arial" w:cs="Arial" w:eastAsia="Arial" w:hAnsi="Arial"/>
          <w:sz w:val="19"/>
          <w:szCs w:val="19"/>
          <w:color w:val="auto"/>
        </w:rPr>
      </w:pPr>
    </w:p>
    <w:p>
      <w:pPr>
        <w:ind w:left="720" w:hanging="359"/>
        <w:spacing w:after="0"/>
        <w:tabs>
          <w:tab w:leader="none" w:pos="720" w:val="left"/>
        </w:tabs>
        <w:numPr>
          <w:ilvl w:val="0"/>
          <w:numId w:val="12"/>
        </w:numPr>
        <w:rPr>
          <w:rFonts w:ascii="Arial" w:cs="Arial" w:eastAsia="Arial" w:hAnsi="Arial"/>
          <w:sz w:val="19"/>
          <w:szCs w:val="19"/>
          <w:color w:val="auto"/>
        </w:rPr>
      </w:pPr>
      <w:r>
        <w:rPr>
          <w:rFonts w:ascii="Arial" w:cs="Arial" w:eastAsia="Arial" w:hAnsi="Arial"/>
          <w:sz w:val="16"/>
          <w:szCs w:val="16"/>
          <w:color w:val="auto"/>
        </w:rPr>
        <w:t>evidence the assumption by a successor entity of our obligations;</w:t>
      </w:r>
    </w:p>
    <w:p>
      <w:pPr>
        <w:spacing w:after="0" w:line="106" w:lineRule="exact"/>
        <w:rPr>
          <w:rFonts w:ascii="Arial" w:cs="Arial" w:eastAsia="Arial" w:hAnsi="Arial"/>
          <w:sz w:val="19"/>
          <w:szCs w:val="19"/>
          <w:color w:val="auto"/>
        </w:rPr>
      </w:pPr>
    </w:p>
    <w:p>
      <w:pPr>
        <w:ind w:left="720" w:hanging="359"/>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provide for uncertificated debt securities in addition to or in place of certificated securities;</w:t>
      </w:r>
    </w:p>
    <w:p>
      <w:pPr>
        <w:spacing w:after="0" w:line="99" w:lineRule="exact"/>
        <w:rPr>
          <w:rFonts w:ascii="Arial" w:cs="Arial" w:eastAsia="Arial" w:hAnsi="Arial"/>
          <w:sz w:val="16"/>
          <w:szCs w:val="16"/>
          <w:color w:val="auto"/>
        </w:rPr>
      </w:pPr>
    </w:p>
    <w:p>
      <w:pPr>
        <w:ind w:left="720" w:right="80" w:hanging="359"/>
        <w:spacing w:after="0" w:line="330" w:lineRule="auto"/>
        <w:tabs>
          <w:tab w:leader="none" w:pos="7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add to the covenants, restrictions, conditions or provisions relating to us for the benefit of the holders of all or any series of debt securities (and if such covenants, restrictions, conditions or provisions are to be for the benefit of less than all series of debt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in the indenture conferred upon us;</w:t>
      </w:r>
    </w:p>
    <w:p>
      <w:pPr>
        <w:spacing w:after="0" w:line="28" w:lineRule="exact"/>
        <w:rPr>
          <w:rFonts w:ascii="Arial" w:cs="Arial" w:eastAsia="Arial" w:hAnsi="Arial"/>
          <w:sz w:val="13"/>
          <w:szCs w:val="13"/>
          <w:color w:val="auto"/>
        </w:rPr>
      </w:pPr>
    </w:p>
    <w:p>
      <w:pPr>
        <w:ind w:left="720" w:right="260" w:hanging="359"/>
        <w:spacing w:after="0" w:line="267" w:lineRule="auto"/>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add to, delete from, or revise the conditions, limitations, and restrictions on the authorized amount, terms, or purposes of issue, authentication, and delivery of debt securities, as set forth in the indenture;</w:t>
      </w:r>
    </w:p>
    <w:p>
      <w:pPr>
        <w:spacing w:after="0" w:line="63" w:lineRule="exact"/>
        <w:rPr>
          <w:rFonts w:ascii="Arial" w:cs="Arial" w:eastAsia="Arial" w:hAnsi="Arial"/>
          <w:sz w:val="16"/>
          <w:szCs w:val="16"/>
          <w:color w:val="auto"/>
        </w:rPr>
      </w:pPr>
    </w:p>
    <w:p>
      <w:pPr>
        <w:ind w:left="720" w:hanging="359"/>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make any change that does not adversely affect the rights of any holder of any debt securities in any material respect;</w:t>
      </w:r>
    </w:p>
    <w:p>
      <w:pPr>
        <w:spacing w:after="0" w:line="99" w:lineRule="exact"/>
        <w:rPr>
          <w:rFonts w:ascii="Arial" w:cs="Arial" w:eastAsia="Arial" w:hAnsi="Arial"/>
          <w:sz w:val="16"/>
          <w:szCs w:val="16"/>
          <w:color w:val="auto"/>
        </w:rPr>
      </w:pPr>
    </w:p>
    <w:p>
      <w:pPr>
        <w:ind w:left="720" w:hanging="359"/>
        <w:spacing w:after="0" w:line="257" w:lineRule="auto"/>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provide for the issuance of and establish the form and terms and conditions of the debt securities of any series as provided in the indenture, to establish the form of any certifications required to be furnished pursuant to the terms of the indenture or any series of debt securities, or to add to the rights of the holders of any series of debt securities;</w:t>
      </w:r>
    </w:p>
    <w:p>
      <w:pPr>
        <w:spacing w:after="0" w:line="70" w:lineRule="exact"/>
        <w:rPr>
          <w:rFonts w:ascii="Arial" w:cs="Arial" w:eastAsia="Arial" w:hAnsi="Arial"/>
          <w:sz w:val="16"/>
          <w:szCs w:val="16"/>
          <w:color w:val="auto"/>
        </w:rPr>
      </w:pPr>
    </w:p>
    <w:p>
      <w:pPr>
        <w:ind w:left="720" w:hanging="359"/>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evidence and provide for the acceptance of appointment under the indenture by a successor trustee; and</w:t>
      </w:r>
    </w:p>
    <w:p>
      <w:pPr>
        <w:spacing w:after="0" w:line="16" w:lineRule="exact"/>
        <w:rPr>
          <w:rFonts w:ascii="Arial" w:cs="Arial" w:eastAsia="Arial" w:hAnsi="Arial"/>
          <w:sz w:val="16"/>
          <w:szCs w:val="16"/>
          <w:color w:val="auto"/>
        </w:rPr>
      </w:pPr>
    </w:p>
    <w:p>
      <w:pPr>
        <w:ind w:left="740" w:right="560"/>
        <w:spacing w:after="0" w:line="253" w:lineRule="auto"/>
        <w:rPr>
          <w:rFonts w:ascii="Arial" w:cs="Arial" w:eastAsia="Arial" w:hAnsi="Arial"/>
          <w:sz w:val="16"/>
          <w:szCs w:val="16"/>
          <w:color w:val="auto"/>
        </w:rPr>
      </w:pPr>
      <w:r>
        <w:rPr>
          <w:rFonts w:ascii="Arial" w:cs="Arial" w:eastAsia="Arial" w:hAnsi="Arial"/>
          <w:sz w:val="16"/>
          <w:szCs w:val="16"/>
          <w:color w:val="auto"/>
        </w:rPr>
        <w:t>comply with any requirements of the SEC in connection with the qualification of the indenture under the Trust Indenture Act of 1939, as amended (the “Trust Indenture Act”).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6470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18" w:name="page19"/>
    <w:bookmarkEnd w:id="18"/>
    <w:p>
      <w:pPr>
        <w:ind w:right="700" w:firstLine="751"/>
        <w:spacing w:after="0" w:line="267" w:lineRule="auto"/>
        <w:rPr>
          <w:sz w:val="20"/>
          <w:szCs w:val="20"/>
          <w:color w:val="auto"/>
        </w:rPr>
      </w:pPr>
      <w:r>
        <w:rPr>
          <w:rFonts w:ascii="Arial" w:cs="Arial" w:eastAsia="Arial" w:hAnsi="Arial"/>
          <w:sz w:val="16"/>
          <w:szCs w:val="16"/>
          <w:color w:val="auto"/>
        </w:rPr>
        <w:t>Any provision of the indenture shall automatically be deemed to have been modified, eliminated or added to the extent required to be made as a result of an amendment to the Trust Indenture Act.</w:t>
      </w:r>
    </w:p>
    <w:p>
      <w:pPr>
        <w:spacing w:after="0" w:line="158" w:lineRule="exact"/>
        <w:rPr>
          <w:sz w:val="20"/>
          <w:szCs w:val="20"/>
          <w:color w:val="auto"/>
        </w:rPr>
      </w:pPr>
    </w:p>
    <w:p>
      <w:pPr>
        <w:ind w:right="60" w:firstLine="751"/>
        <w:spacing w:after="0" w:line="253" w:lineRule="auto"/>
        <w:rPr>
          <w:sz w:val="20"/>
          <w:szCs w:val="20"/>
          <w:color w:val="auto"/>
        </w:rPr>
      </w:pPr>
      <w:r>
        <w:rPr>
          <w:rFonts w:ascii="Arial" w:cs="Arial" w:eastAsia="Arial" w:hAnsi="Arial"/>
          <w:sz w:val="16"/>
          <w:szCs w:val="16"/>
          <w:color w:val="auto"/>
        </w:rPr>
        <w:t>The indenture also provides that we and the trustee may, with the consent of the holders of not less than a majority in aggregate principal amount of debt securities of each series of debt securities affected by such supplemental indenture then outstanding, add any provisions to, or change in any manner, eliminate or modify in any way the provisions of, the indenture or any supplemental indenture or modify in any manner the rights of the holders of the debt securities. We and the trustee may not, however, without the consent of the holder of each outstanding debt security affected thereby:</w:t>
      </w:r>
    </w:p>
    <w:p>
      <w:pPr>
        <w:spacing w:after="0" w:line="246" w:lineRule="exact"/>
        <w:rPr>
          <w:sz w:val="20"/>
          <w:szCs w:val="20"/>
          <w:color w:val="auto"/>
        </w:rPr>
      </w:pPr>
    </w:p>
    <w:p>
      <w:pPr>
        <w:ind w:left="720" w:hanging="359"/>
        <w:spacing w:after="0"/>
        <w:tabs>
          <w:tab w:leader="none" w:pos="720" w:val="left"/>
        </w:tabs>
        <w:numPr>
          <w:ilvl w:val="0"/>
          <w:numId w:val="13"/>
        </w:numPr>
        <w:rPr>
          <w:rFonts w:ascii="Arial" w:cs="Arial" w:eastAsia="Arial" w:hAnsi="Arial"/>
          <w:sz w:val="19"/>
          <w:szCs w:val="19"/>
          <w:color w:val="auto"/>
        </w:rPr>
      </w:pPr>
      <w:r>
        <w:rPr>
          <w:rFonts w:ascii="Arial" w:cs="Arial" w:eastAsia="Arial" w:hAnsi="Arial"/>
          <w:sz w:val="16"/>
          <w:szCs w:val="16"/>
          <w:color w:val="auto"/>
        </w:rPr>
        <w:t>extend the fixed maturity of any debt security;</w:t>
      </w:r>
    </w:p>
    <w:p>
      <w:pPr>
        <w:spacing w:after="0" w:line="88" w:lineRule="exact"/>
        <w:rPr>
          <w:rFonts w:ascii="Arial" w:cs="Arial" w:eastAsia="Arial" w:hAnsi="Arial"/>
          <w:sz w:val="19"/>
          <w:szCs w:val="19"/>
          <w:color w:val="auto"/>
        </w:rPr>
      </w:pPr>
    </w:p>
    <w:p>
      <w:pPr>
        <w:ind w:left="720" w:hanging="359"/>
        <w:spacing w:after="0"/>
        <w:tabs>
          <w:tab w:leader="none" w:pos="720" w:val="left"/>
        </w:tabs>
        <w:numPr>
          <w:ilvl w:val="0"/>
          <w:numId w:val="13"/>
        </w:numPr>
        <w:rPr>
          <w:rFonts w:ascii="Arial" w:cs="Arial" w:eastAsia="Arial" w:hAnsi="Arial"/>
          <w:sz w:val="19"/>
          <w:szCs w:val="19"/>
          <w:color w:val="auto"/>
        </w:rPr>
      </w:pPr>
      <w:r>
        <w:rPr>
          <w:rFonts w:ascii="Arial" w:cs="Arial" w:eastAsia="Arial" w:hAnsi="Arial"/>
          <w:sz w:val="16"/>
          <w:szCs w:val="16"/>
          <w:color w:val="auto"/>
        </w:rPr>
        <w:t>reduce the principal amount of any debt security;</w:t>
      </w:r>
    </w:p>
    <w:p>
      <w:pPr>
        <w:spacing w:after="0" w:line="88" w:lineRule="exact"/>
        <w:rPr>
          <w:rFonts w:ascii="Arial" w:cs="Arial" w:eastAsia="Arial" w:hAnsi="Arial"/>
          <w:sz w:val="19"/>
          <w:szCs w:val="19"/>
          <w:color w:val="auto"/>
        </w:rPr>
      </w:pPr>
    </w:p>
    <w:p>
      <w:pPr>
        <w:ind w:left="720" w:hanging="359"/>
        <w:spacing w:after="0"/>
        <w:tabs>
          <w:tab w:leader="none" w:pos="720" w:val="left"/>
        </w:tabs>
        <w:numPr>
          <w:ilvl w:val="0"/>
          <w:numId w:val="13"/>
        </w:numPr>
        <w:rPr>
          <w:rFonts w:ascii="Arial" w:cs="Arial" w:eastAsia="Arial" w:hAnsi="Arial"/>
          <w:sz w:val="19"/>
          <w:szCs w:val="19"/>
          <w:color w:val="auto"/>
        </w:rPr>
      </w:pPr>
      <w:r>
        <w:rPr>
          <w:rFonts w:ascii="Arial" w:cs="Arial" w:eastAsia="Arial" w:hAnsi="Arial"/>
          <w:sz w:val="16"/>
          <w:szCs w:val="16"/>
          <w:color w:val="auto"/>
        </w:rPr>
        <w:t>reduce the rate or extend the time of payment of interest on any debt security;</w:t>
      </w:r>
    </w:p>
    <w:p>
      <w:pPr>
        <w:spacing w:after="0" w:line="88" w:lineRule="exact"/>
        <w:rPr>
          <w:rFonts w:ascii="Arial" w:cs="Arial" w:eastAsia="Arial" w:hAnsi="Arial"/>
          <w:sz w:val="19"/>
          <w:szCs w:val="19"/>
          <w:color w:val="auto"/>
        </w:rPr>
      </w:pPr>
    </w:p>
    <w:p>
      <w:pPr>
        <w:ind w:left="720" w:hanging="359"/>
        <w:spacing w:after="0"/>
        <w:tabs>
          <w:tab w:leader="none" w:pos="720" w:val="left"/>
        </w:tabs>
        <w:numPr>
          <w:ilvl w:val="0"/>
          <w:numId w:val="13"/>
        </w:numPr>
        <w:rPr>
          <w:rFonts w:ascii="Arial" w:cs="Arial" w:eastAsia="Arial" w:hAnsi="Arial"/>
          <w:sz w:val="19"/>
          <w:szCs w:val="19"/>
          <w:color w:val="auto"/>
        </w:rPr>
      </w:pPr>
      <w:r>
        <w:rPr>
          <w:rFonts w:ascii="Arial" w:cs="Arial" w:eastAsia="Arial" w:hAnsi="Arial"/>
          <w:sz w:val="16"/>
          <w:szCs w:val="16"/>
          <w:color w:val="auto"/>
        </w:rPr>
        <w:t>reduce any premium payable upon redemption of any debt security; or</w:t>
      </w:r>
    </w:p>
    <w:p>
      <w:pPr>
        <w:spacing w:after="0" w:line="106" w:lineRule="exact"/>
        <w:rPr>
          <w:rFonts w:ascii="Arial" w:cs="Arial" w:eastAsia="Arial" w:hAnsi="Arial"/>
          <w:sz w:val="19"/>
          <w:szCs w:val="19"/>
          <w:color w:val="auto"/>
        </w:rPr>
      </w:pPr>
    </w:p>
    <w:p>
      <w:pPr>
        <w:ind w:left="720" w:right="120" w:hanging="359"/>
        <w:spacing w:after="0" w:line="232" w:lineRule="auto"/>
        <w:tabs>
          <w:tab w:leader="none" w:pos="720" w:val="left"/>
        </w:tabs>
        <w:numPr>
          <w:ilvl w:val="0"/>
          <w:numId w:val="13"/>
        </w:numPr>
        <w:rPr>
          <w:rFonts w:ascii="Arial" w:cs="Arial" w:eastAsia="Arial" w:hAnsi="Arial"/>
          <w:sz w:val="19"/>
          <w:szCs w:val="19"/>
          <w:color w:val="auto"/>
        </w:rPr>
      </w:pPr>
      <w:r>
        <w:rPr>
          <w:rFonts w:ascii="Arial" w:cs="Arial" w:eastAsia="Arial" w:hAnsi="Arial"/>
          <w:sz w:val="16"/>
          <w:szCs w:val="16"/>
          <w:color w:val="auto"/>
        </w:rPr>
        <w:t>reduce the percentage of holders of debt securities of any series whose consent is required for any modification of the indenture or for waivers of compliance with or defaults under the indenture with respect to debt securities of that series.</w:t>
      </w:r>
    </w:p>
    <w:p>
      <w:pPr>
        <w:spacing w:after="0" w:line="178"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The indenture provides that the holders of not less than a majority in aggregate principal amount of the then outstanding debt securities of any series, by notice to the trustee, may on behalf of the holders of the debt securities of that series waive any default and its consequences under the indenture except:</w:t>
      </w:r>
    </w:p>
    <w:p>
      <w:pPr>
        <w:spacing w:after="0" w:line="234" w:lineRule="exact"/>
        <w:rPr>
          <w:sz w:val="20"/>
          <w:szCs w:val="20"/>
          <w:color w:val="auto"/>
        </w:rPr>
      </w:pPr>
    </w:p>
    <w:p>
      <w:pPr>
        <w:ind w:left="720" w:hanging="359"/>
        <w:spacing w:after="0"/>
        <w:tabs>
          <w:tab w:leader="none" w:pos="720" w:val="left"/>
        </w:tabs>
        <w:numPr>
          <w:ilvl w:val="0"/>
          <w:numId w:val="14"/>
        </w:numPr>
        <w:rPr>
          <w:rFonts w:ascii="Arial" w:cs="Arial" w:eastAsia="Arial" w:hAnsi="Arial"/>
          <w:sz w:val="19"/>
          <w:szCs w:val="19"/>
          <w:color w:val="auto"/>
        </w:rPr>
      </w:pPr>
      <w:r>
        <w:rPr>
          <w:rFonts w:ascii="Arial" w:cs="Arial" w:eastAsia="Arial" w:hAnsi="Arial"/>
          <w:sz w:val="16"/>
          <w:szCs w:val="16"/>
          <w:color w:val="auto"/>
        </w:rPr>
        <w:t>a default in the payment of the principal of or premium or interest on any such debt security; or</w:t>
      </w:r>
    </w:p>
    <w:p>
      <w:pPr>
        <w:spacing w:after="0" w:line="106" w:lineRule="exact"/>
        <w:rPr>
          <w:rFonts w:ascii="Arial" w:cs="Arial" w:eastAsia="Arial" w:hAnsi="Arial"/>
          <w:sz w:val="19"/>
          <w:szCs w:val="19"/>
          <w:color w:val="auto"/>
        </w:rPr>
      </w:pPr>
    </w:p>
    <w:p>
      <w:pPr>
        <w:ind w:left="720" w:right="40" w:hanging="359"/>
        <w:spacing w:after="0" w:line="232" w:lineRule="auto"/>
        <w:tabs>
          <w:tab w:leader="none" w:pos="720" w:val="left"/>
        </w:tabs>
        <w:numPr>
          <w:ilvl w:val="0"/>
          <w:numId w:val="14"/>
        </w:numPr>
        <w:rPr>
          <w:rFonts w:ascii="Arial" w:cs="Arial" w:eastAsia="Arial" w:hAnsi="Arial"/>
          <w:sz w:val="19"/>
          <w:szCs w:val="19"/>
          <w:color w:val="auto"/>
        </w:rPr>
      </w:pPr>
      <w:r>
        <w:rPr>
          <w:rFonts w:ascii="Arial" w:cs="Arial" w:eastAsia="Arial" w:hAnsi="Arial"/>
          <w:sz w:val="16"/>
          <w:szCs w:val="16"/>
          <w:color w:val="auto"/>
        </w:rPr>
        <w:t>a default in respect of a covenant or provision of the indenture that cannot be modified or amended without the consent of the holder of each outstanding debt security of each series affected.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Global Securities</w:t>
      </w:r>
    </w:p>
    <w:p>
      <w:pPr>
        <w:spacing w:after="0" w:line="198" w:lineRule="exact"/>
        <w:rPr>
          <w:sz w:val="20"/>
          <w:szCs w:val="20"/>
          <w:color w:val="auto"/>
        </w:rPr>
      </w:pPr>
    </w:p>
    <w:p>
      <w:pPr>
        <w:ind w:right="20" w:firstLine="751"/>
        <w:spacing w:after="0" w:line="253" w:lineRule="auto"/>
        <w:rPr>
          <w:sz w:val="20"/>
          <w:szCs w:val="20"/>
          <w:color w:val="auto"/>
        </w:rPr>
      </w:pPr>
      <w:r>
        <w:rPr>
          <w:rFonts w:ascii="Arial" w:cs="Arial" w:eastAsia="Arial" w:hAnsi="Arial"/>
          <w:sz w:val="16"/>
          <w:szCs w:val="16"/>
          <w:color w:val="auto"/>
        </w:rPr>
        <w:t>The debt securities of a series may be issued in whole or in part in the form of one or more global securities that will be deposited with, or on behalf of, a depositary or nominee for a depositary identified in the applicable prospectus supplement. Global debt securities may be issued in either registered or bearer form and in either temporary or permanent form. Unless and until it is exchanged in whole or in part for individual certificates evidencing debt securities, a global debt security may not be transferred except as a whole:</w:t>
      </w:r>
    </w:p>
    <w:p>
      <w:pPr>
        <w:spacing w:after="0" w:line="169" w:lineRule="exact"/>
        <w:rPr>
          <w:sz w:val="20"/>
          <w:szCs w:val="20"/>
          <w:color w:val="auto"/>
        </w:rPr>
      </w:pPr>
    </w:p>
    <w:p>
      <w:pPr>
        <w:ind w:left="1480" w:hanging="363"/>
        <w:spacing w:after="0"/>
        <w:tabs>
          <w:tab w:leader="none" w:pos="1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by the depository to a nominee of such depository;</w:t>
      </w:r>
    </w:p>
    <w:p>
      <w:pPr>
        <w:spacing w:after="0" w:line="194" w:lineRule="exact"/>
        <w:rPr>
          <w:rFonts w:ascii="Arial" w:cs="Arial" w:eastAsia="Arial" w:hAnsi="Arial"/>
          <w:sz w:val="16"/>
          <w:szCs w:val="16"/>
          <w:color w:val="auto"/>
        </w:rPr>
      </w:pPr>
    </w:p>
    <w:p>
      <w:pPr>
        <w:ind w:left="1480" w:hanging="363"/>
        <w:spacing w:after="0"/>
        <w:tabs>
          <w:tab w:leader="none" w:pos="1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by a nominee of such depository to such depository or another nominee of such depository; or</w:t>
      </w:r>
    </w:p>
    <w:p>
      <w:pPr>
        <w:spacing w:after="0" w:line="194" w:lineRule="exact"/>
        <w:rPr>
          <w:rFonts w:ascii="Arial" w:cs="Arial" w:eastAsia="Arial" w:hAnsi="Arial"/>
          <w:sz w:val="16"/>
          <w:szCs w:val="16"/>
          <w:color w:val="auto"/>
        </w:rPr>
      </w:pPr>
    </w:p>
    <w:p>
      <w:pPr>
        <w:ind w:left="1480" w:hanging="363"/>
        <w:spacing w:after="0"/>
        <w:tabs>
          <w:tab w:leader="none" w:pos="1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by such depository, or any such nominee to a successor of such depository, or a nominee of such successor.</w:t>
      </w:r>
    </w:p>
    <w:p>
      <w:pPr>
        <w:spacing w:after="0" w:line="194" w:lineRule="exact"/>
        <w:rPr>
          <w:sz w:val="20"/>
          <w:szCs w:val="20"/>
          <w:color w:val="auto"/>
        </w:rPr>
      </w:pPr>
    </w:p>
    <w:p>
      <w:pPr>
        <w:ind w:right="140" w:firstLine="751"/>
        <w:spacing w:after="0" w:line="267" w:lineRule="auto"/>
        <w:rPr>
          <w:sz w:val="20"/>
          <w:szCs w:val="20"/>
          <w:color w:val="auto"/>
        </w:rPr>
      </w:pPr>
      <w:r>
        <w:rPr>
          <w:rFonts w:ascii="Arial" w:cs="Arial" w:eastAsia="Arial" w:hAnsi="Arial"/>
          <w:sz w:val="16"/>
          <w:szCs w:val="16"/>
          <w:color w:val="auto"/>
        </w:rPr>
        <w:t>The specific terms of the depository arrangement with respect to a series of global debt securities and certain limitations and restrictions relating to a series of global bearer securities will be described in the applicable prospectus supplement.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Concerning the Trustee</w:t>
      </w:r>
    </w:p>
    <w:p>
      <w:pPr>
        <w:spacing w:after="0" w:line="198" w:lineRule="exact"/>
        <w:rPr>
          <w:sz w:val="20"/>
          <w:szCs w:val="20"/>
          <w:color w:val="auto"/>
        </w:rPr>
      </w:pPr>
    </w:p>
    <w:p>
      <w:pPr>
        <w:ind w:firstLine="751"/>
        <w:spacing w:after="0" w:line="272" w:lineRule="auto"/>
        <w:rPr>
          <w:sz w:val="20"/>
          <w:szCs w:val="20"/>
          <w:color w:val="auto"/>
        </w:rPr>
      </w:pPr>
      <w:r>
        <w:rPr>
          <w:rFonts w:ascii="Arial" w:cs="Arial" w:eastAsia="Arial" w:hAnsi="Arial"/>
          <w:sz w:val="15"/>
          <w:szCs w:val="15"/>
          <w:color w:val="auto"/>
        </w:rPr>
        <w:t>The indenture provides that in the event that the trustee resigns or is removed with respect to less than all series of debt securities outstanding under the indenture, there may be more than one trustee under the indenture. If there are different trustees for different series of debt securities under the indenture, each such trustee will be a trustee of a trust under the indenture separate and apart from the trust administered by any other trustee under the indenture. Except as otherwise indicated in this prospectus or any prospectus supplement, any action permitted to be taken by a trustee may be taken by such trustee only on the one or more series of debt securities for which it is the trustee under the indenture. Any trustee under the indenture may resign or be removed from one or more series of debt securities.</w:t>
      </w:r>
    </w:p>
    <w:p>
      <w:pPr>
        <w:spacing w:after="0" w:line="157" w:lineRule="exact"/>
        <w:rPr>
          <w:sz w:val="20"/>
          <w:szCs w:val="20"/>
          <w:color w:val="auto"/>
        </w:rPr>
      </w:pPr>
    </w:p>
    <w:p>
      <w:pPr>
        <w:ind w:right="660" w:firstLine="751"/>
        <w:spacing w:after="0" w:line="267" w:lineRule="auto"/>
        <w:rPr>
          <w:sz w:val="20"/>
          <w:szCs w:val="20"/>
          <w:color w:val="auto"/>
        </w:rPr>
      </w:pPr>
      <w:r>
        <w:rPr>
          <w:rFonts w:ascii="Arial" w:cs="Arial" w:eastAsia="Arial" w:hAnsi="Arial"/>
          <w:sz w:val="16"/>
          <w:szCs w:val="16"/>
          <w:color w:val="auto"/>
        </w:rPr>
        <w:t>The indenture provides that, except during the continuance of an event of default, the trustee will perform only such duties as are specifically set forth in the indenture. During the existence of an event of default, the trustee will exercise those rights and powers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6470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9" w:name="page20"/>
    <w:bookmarkEnd w:id="19"/>
    <w:p>
      <w:pPr>
        <w:ind w:right="440"/>
        <w:spacing w:after="0" w:line="267" w:lineRule="auto"/>
        <w:rPr>
          <w:sz w:val="20"/>
          <w:szCs w:val="20"/>
          <w:color w:val="auto"/>
        </w:rPr>
      </w:pPr>
      <w:r>
        <w:rPr>
          <w:rFonts w:ascii="Arial" w:cs="Arial" w:eastAsia="Arial" w:hAnsi="Arial"/>
          <w:sz w:val="16"/>
          <w:szCs w:val="16"/>
          <w:color w:val="auto"/>
        </w:rPr>
        <w:t>vested in it under the indenture and use the same degree of care and skill in its exercise as a prudent person would exercise under the circumstances in the conduct of such person’s own affairs.</w:t>
      </w:r>
    </w:p>
    <w:p>
      <w:pPr>
        <w:spacing w:after="0" w:line="158" w:lineRule="exact"/>
        <w:rPr>
          <w:sz w:val="20"/>
          <w:szCs w:val="20"/>
          <w:color w:val="auto"/>
        </w:rPr>
      </w:pPr>
    </w:p>
    <w:p>
      <w:pPr>
        <w:ind w:firstLine="751"/>
        <w:spacing w:after="0" w:line="267" w:lineRule="auto"/>
        <w:rPr>
          <w:sz w:val="20"/>
          <w:szCs w:val="20"/>
          <w:color w:val="auto"/>
        </w:rPr>
      </w:pPr>
      <w:r>
        <w:rPr>
          <w:rFonts w:ascii="Arial" w:cs="Arial" w:eastAsia="Arial" w:hAnsi="Arial"/>
          <w:sz w:val="16"/>
          <w:szCs w:val="16"/>
          <w:color w:val="auto"/>
        </w:rPr>
        <w:t>The trustee may engage in other transactions with us. If the trustee acquires any conflicting interest relating to any duties concerning the debt securities, however, the trustee must eliminate the conflict or resign as trustee.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 Individual Liability of Incorporators, Stockholders, Officers or Directors</w:t>
      </w:r>
    </w:p>
    <w:p>
      <w:pPr>
        <w:spacing w:after="0" w:line="198" w:lineRule="exact"/>
        <w:rPr>
          <w:sz w:val="20"/>
          <w:szCs w:val="20"/>
          <w:color w:val="auto"/>
        </w:rPr>
      </w:pPr>
    </w:p>
    <w:p>
      <w:pPr>
        <w:ind w:right="220" w:firstLine="751"/>
        <w:spacing w:after="0" w:line="301" w:lineRule="auto"/>
        <w:rPr>
          <w:sz w:val="20"/>
          <w:szCs w:val="20"/>
          <w:color w:val="auto"/>
        </w:rPr>
      </w:pPr>
      <w:r>
        <w:rPr>
          <w:rFonts w:ascii="Arial" w:cs="Arial" w:eastAsia="Arial" w:hAnsi="Arial"/>
          <w:sz w:val="15"/>
          <w:szCs w:val="15"/>
          <w:color w:val="auto"/>
        </w:rPr>
        <w:t>The indenture provides that no past, present or future director, officer, stockholder or employee of ours, any of our affiliates, or any successor corporation, in their capacity as such, shall have any individual liability for any of our obligations, covenants or agreements under the debt securities or the indenture.</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Governing Law</w:t>
      </w:r>
    </w:p>
    <w:p>
      <w:pPr>
        <w:spacing w:after="0" w:line="198"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The indenture is, and any debt securities will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6470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160"/>
          </w:cols>
          <w:pgMar w:left="320" w:top="316" w:right="419" w:bottom="1440" w:gutter="0" w:footer="0" w:header="0"/>
        </w:sectPr>
      </w:pPr>
    </w:p>
    <w:bookmarkStart w:id="20" w:name="page21"/>
    <w:bookmarkEnd w:id="20"/>
    <w:p>
      <w:pPr>
        <w:jc w:val="center"/>
        <w:ind w:right="-59"/>
        <w:spacing w:after="0"/>
        <w:rPr>
          <w:sz w:val="20"/>
          <w:szCs w:val="20"/>
          <w:color w:val="auto"/>
        </w:rPr>
      </w:pPr>
      <w:r>
        <w:rPr>
          <w:rFonts w:ascii="Arial" w:cs="Arial" w:eastAsia="Arial" w:hAnsi="Arial"/>
          <w:sz w:val="16"/>
          <w:szCs w:val="16"/>
          <w:b w:val="1"/>
          <w:bCs w:val="1"/>
          <w:color w:val="auto"/>
        </w:rPr>
        <w:t>DESCRIPTION OF PURCHASE CONTRACTS</w:t>
      </w:r>
    </w:p>
    <w:p>
      <w:pPr>
        <w:spacing w:after="0" w:line="198" w:lineRule="exact"/>
        <w:rPr>
          <w:sz w:val="20"/>
          <w:szCs w:val="20"/>
          <w:color w:val="auto"/>
        </w:rPr>
      </w:pPr>
    </w:p>
    <w:p>
      <w:pPr>
        <w:ind w:firstLine="751"/>
        <w:spacing w:after="0" w:line="312" w:lineRule="auto"/>
        <w:rPr>
          <w:sz w:val="20"/>
          <w:szCs w:val="20"/>
          <w:color w:val="auto"/>
        </w:rPr>
      </w:pPr>
      <w:r>
        <w:rPr>
          <w:rFonts w:ascii="Arial" w:cs="Arial" w:eastAsia="Arial" w:hAnsi="Arial"/>
          <w:sz w:val="13"/>
          <w:szCs w:val="13"/>
          <w:color w:val="auto"/>
        </w:rPr>
        <w:t>We may issue purchase contracts, including contracts obligating holders to purchase from us, and for us to sell to holders, a specific or varying number of shares of common stock or preferred stock, depositary shares, warrants, or any combination of the above, at a future date or dates. Alternatively, the purchase contracts may obligate us to purchase from holders, and obligate holders to sell to us, a specific or varying number of shares of common stock or preferred stock, depositary shares, warrants, or any combination of the above. The price of the securities subject to the purchase contracts may be fixed at the time the purchase contracts are issued or may be determined by reference to a specific formula described in the purchase contracts. We may issue purchase contracts separately or as a part of units, each consisting of a purchase contract and one or more of the other securities described in this prospectus or securities of third parties, including U.S. Treasury securities, securing the holder’s obligations under the purchase contract. If we issue a purchase contract as part of a unit, the applicable prospectus supplement will state whether the purchase contract will be separable from the other securities in the unit before the purchase contract settlement date. The purchase contracts may require us to make periodic payments to holders or vice versa and the payments may be unsecured or pre-funded on some basis. The purchase contracts may require holders to secure the holder’s obligations in a manner specified in the applicable prospectus supplement, and in certain circumstances, we may deliver newly issued prepaid purchase contracts, often known as prepaid securities, upon release to a holder of any collateral securing such holder’s obligations under the original purchase contract.</w:t>
      </w:r>
    </w:p>
    <w:p>
      <w:pPr>
        <w:spacing w:after="0" w:line="325" w:lineRule="exact"/>
        <w:rPr>
          <w:sz w:val="20"/>
          <w:szCs w:val="20"/>
          <w:color w:val="auto"/>
        </w:rPr>
      </w:pPr>
    </w:p>
    <w:p>
      <w:pPr>
        <w:ind w:right="20" w:firstLine="751"/>
        <w:spacing w:after="0" w:line="267" w:lineRule="auto"/>
        <w:rPr>
          <w:sz w:val="20"/>
          <w:szCs w:val="20"/>
          <w:color w:val="auto"/>
        </w:rPr>
      </w:pPr>
      <w:r>
        <w:rPr>
          <w:rFonts w:ascii="Arial" w:cs="Arial" w:eastAsia="Arial" w:hAnsi="Arial"/>
          <w:sz w:val="16"/>
          <w:szCs w:val="16"/>
          <w:color w:val="auto"/>
        </w:rPr>
        <w:t>The applicable prospectus supplement will describe the terms of any purchase contracts in respect of which this prospectus is being delivered, including, to the extent applicable, the following:</w:t>
      </w:r>
    </w:p>
    <w:p>
      <w:pPr>
        <w:spacing w:after="0" w:line="158" w:lineRule="exact"/>
        <w:rPr>
          <w:sz w:val="20"/>
          <w:szCs w:val="20"/>
          <w:color w:val="auto"/>
        </w:rPr>
      </w:pPr>
    </w:p>
    <w:p>
      <w:pPr>
        <w:ind w:left="1100" w:right="360" w:hanging="361"/>
        <w:spacing w:after="0" w:line="267" w:lineRule="auto"/>
        <w:tabs>
          <w:tab w:leader="none" w:pos="11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157" w:lineRule="exact"/>
        <w:rPr>
          <w:rFonts w:ascii="Arial" w:cs="Arial" w:eastAsia="Arial" w:hAnsi="Arial"/>
          <w:sz w:val="16"/>
          <w:szCs w:val="16"/>
          <w:color w:val="auto"/>
        </w:rPr>
      </w:pPr>
    </w:p>
    <w:p>
      <w:pPr>
        <w:ind w:left="1100" w:hanging="361"/>
        <w:spacing w:after="0"/>
        <w:tabs>
          <w:tab w:leader="none" w:pos="11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whether the purchase contracts are to be prepaid or not;</w:t>
      </w:r>
    </w:p>
    <w:p>
      <w:pPr>
        <w:spacing w:after="0" w:line="194" w:lineRule="exact"/>
        <w:rPr>
          <w:rFonts w:ascii="Arial" w:cs="Arial" w:eastAsia="Arial" w:hAnsi="Arial"/>
          <w:sz w:val="16"/>
          <w:szCs w:val="16"/>
          <w:color w:val="auto"/>
        </w:rPr>
      </w:pPr>
    </w:p>
    <w:p>
      <w:pPr>
        <w:ind w:left="1100" w:hanging="361"/>
        <w:spacing w:after="0"/>
        <w:tabs>
          <w:tab w:leader="none" w:pos="11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whether the purchase contracts will be issued as part of a unit and, if so, the other securities comprising the unit;</w:t>
      </w:r>
    </w:p>
    <w:p>
      <w:pPr>
        <w:spacing w:after="0" w:line="194" w:lineRule="exact"/>
        <w:rPr>
          <w:rFonts w:ascii="Arial" w:cs="Arial" w:eastAsia="Arial" w:hAnsi="Arial"/>
          <w:sz w:val="16"/>
          <w:szCs w:val="16"/>
          <w:color w:val="auto"/>
        </w:rPr>
      </w:pPr>
    </w:p>
    <w:p>
      <w:pPr>
        <w:ind w:left="1100" w:right="180" w:hanging="361"/>
        <w:spacing w:after="0" w:line="267" w:lineRule="auto"/>
        <w:tabs>
          <w:tab w:leader="none" w:pos="11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whether the purchase contracts are to be settled by delivery, or by reference or linkage to the value, performance, or level of the securities subject to purchase under the purchase contract;</w:t>
      </w:r>
    </w:p>
    <w:p>
      <w:pPr>
        <w:spacing w:after="0" w:line="157" w:lineRule="exact"/>
        <w:rPr>
          <w:rFonts w:ascii="Arial" w:cs="Arial" w:eastAsia="Arial" w:hAnsi="Arial"/>
          <w:sz w:val="16"/>
          <w:szCs w:val="16"/>
          <w:color w:val="auto"/>
        </w:rPr>
      </w:pPr>
    </w:p>
    <w:p>
      <w:pPr>
        <w:ind w:left="1100" w:hanging="361"/>
        <w:spacing w:after="0"/>
        <w:tabs>
          <w:tab w:leader="none" w:pos="11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acceleration, cancellation, termination, or other provisions relating to the settlement of the purchase contracts; and</w:t>
      </w:r>
    </w:p>
    <w:p>
      <w:pPr>
        <w:spacing w:after="0" w:line="194" w:lineRule="exact"/>
        <w:rPr>
          <w:rFonts w:ascii="Arial" w:cs="Arial" w:eastAsia="Arial" w:hAnsi="Arial"/>
          <w:sz w:val="16"/>
          <w:szCs w:val="16"/>
          <w:color w:val="auto"/>
        </w:rPr>
      </w:pPr>
    </w:p>
    <w:p>
      <w:pPr>
        <w:ind w:left="1100" w:hanging="361"/>
        <w:spacing w:after="0"/>
        <w:tabs>
          <w:tab w:leader="none" w:pos="11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whether the purchase contracts will be issued in fully registered or global form.</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Material U.S. federal income tax consideration applicable to the purchase contracts will also be discussed in the applicable prospectus supplement.</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6470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00"/>
          </w:cols>
          <w:pgMar w:left="320" w:top="312" w:right="37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6"/>
          <w:szCs w:val="16"/>
          <w:b w:val="1"/>
          <w:bCs w:val="1"/>
          <w:color w:val="auto"/>
        </w:rPr>
        <w:t>DESCRIPTION OF RIGHTS</w:t>
      </w:r>
    </w:p>
    <w:p>
      <w:pPr>
        <w:spacing w:after="0" w:line="198" w:lineRule="exact"/>
        <w:rPr>
          <w:sz w:val="20"/>
          <w:szCs w:val="20"/>
          <w:color w:val="auto"/>
        </w:rPr>
      </w:pPr>
    </w:p>
    <w:p>
      <w:pPr>
        <w:ind w:firstLine="751"/>
        <w:spacing w:after="0" w:line="270" w:lineRule="auto"/>
        <w:rPr>
          <w:sz w:val="20"/>
          <w:szCs w:val="20"/>
          <w:color w:val="auto"/>
        </w:rPr>
      </w:pPr>
      <w:r>
        <w:rPr>
          <w:rFonts w:ascii="Arial" w:cs="Arial" w:eastAsia="Arial" w:hAnsi="Arial"/>
          <w:sz w:val="15"/>
          <w:szCs w:val="15"/>
          <w:color w:val="auto"/>
        </w:rPr>
        <w:t>We may issue rights to purchase common stock, preferred stock, depositary shares, debt securities or warrants that we may offer to our security holders.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a bank or trust company,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spacing w:after="0" w:line="159"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The prospectus supplement relating to any rights that we offer will include specific terms relating to the offering, including, among other matters:</w:t>
      </w:r>
    </w:p>
    <w:p>
      <w:pPr>
        <w:spacing w:after="0" w:line="194" w:lineRule="exact"/>
        <w:rPr>
          <w:sz w:val="20"/>
          <w:szCs w:val="20"/>
          <w:color w:val="auto"/>
        </w:rPr>
      </w:pPr>
    </w:p>
    <w:p>
      <w:pPr>
        <w:ind w:left="1100" w:hanging="361"/>
        <w:spacing w:after="0"/>
        <w:tabs>
          <w:tab w:leader="none" w:pos="11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date of determining the security holders entitled to the rights distribution;</w:t>
      </w:r>
    </w:p>
    <w:p>
      <w:pPr>
        <w:spacing w:after="0" w:line="194" w:lineRule="exact"/>
        <w:rPr>
          <w:rFonts w:ascii="Arial" w:cs="Arial" w:eastAsia="Arial" w:hAnsi="Arial"/>
          <w:sz w:val="16"/>
          <w:szCs w:val="16"/>
          <w:color w:val="auto"/>
        </w:rPr>
      </w:pPr>
    </w:p>
    <w:p>
      <w:pPr>
        <w:ind w:left="1100" w:right="400" w:hanging="361"/>
        <w:spacing w:after="0" w:line="267" w:lineRule="auto"/>
        <w:tabs>
          <w:tab w:leader="none" w:pos="11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aggregate number of rights issued and the aggregate number of shares of common stock, preferred stock, depositary shares, debt securities or warrants purchasable upon exercise of the rights;</w:t>
      </w:r>
    </w:p>
    <w:p>
      <w:pPr>
        <w:spacing w:after="0" w:line="157" w:lineRule="exact"/>
        <w:rPr>
          <w:rFonts w:ascii="Arial" w:cs="Arial" w:eastAsia="Arial" w:hAnsi="Arial"/>
          <w:sz w:val="16"/>
          <w:szCs w:val="16"/>
          <w:color w:val="auto"/>
        </w:rPr>
      </w:pPr>
    </w:p>
    <w:p>
      <w:pPr>
        <w:ind w:left="1100" w:hanging="361"/>
        <w:spacing w:after="0"/>
        <w:tabs>
          <w:tab w:leader="none" w:pos="11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exercise price;</w:t>
      </w:r>
    </w:p>
    <w:p>
      <w:pPr>
        <w:spacing w:after="0" w:line="194" w:lineRule="exact"/>
        <w:rPr>
          <w:rFonts w:ascii="Arial" w:cs="Arial" w:eastAsia="Arial" w:hAnsi="Arial"/>
          <w:sz w:val="16"/>
          <w:szCs w:val="16"/>
          <w:color w:val="auto"/>
        </w:rPr>
      </w:pPr>
    </w:p>
    <w:p>
      <w:pPr>
        <w:ind w:left="1100" w:hanging="361"/>
        <w:spacing w:after="0"/>
        <w:tabs>
          <w:tab w:leader="none" w:pos="11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conditions to completion of the rights offering;</w:t>
      </w:r>
    </w:p>
    <w:p>
      <w:pPr>
        <w:spacing w:after="0" w:line="194" w:lineRule="exact"/>
        <w:rPr>
          <w:rFonts w:ascii="Arial" w:cs="Arial" w:eastAsia="Arial" w:hAnsi="Arial"/>
          <w:sz w:val="16"/>
          <w:szCs w:val="16"/>
          <w:color w:val="auto"/>
        </w:rPr>
      </w:pPr>
    </w:p>
    <w:p>
      <w:pPr>
        <w:ind w:left="1100" w:hanging="361"/>
        <w:spacing w:after="0"/>
        <w:tabs>
          <w:tab w:leader="none" w:pos="11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date on which the right to exercise the rights will commence and the date on which the rights will expire; and</w:t>
      </w:r>
    </w:p>
    <w:p>
      <w:pPr>
        <w:spacing w:after="0" w:line="194" w:lineRule="exact"/>
        <w:rPr>
          <w:rFonts w:ascii="Arial" w:cs="Arial" w:eastAsia="Arial" w:hAnsi="Arial"/>
          <w:sz w:val="16"/>
          <w:szCs w:val="16"/>
          <w:color w:val="auto"/>
        </w:rPr>
      </w:pPr>
    </w:p>
    <w:p>
      <w:pPr>
        <w:ind w:left="1100" w:hanging="361"/>
        <w:spacing w:after="0"/>
        <w:tabs>
          <w:tab w:leader="none" w:pos="11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applicable federal income tax considerations.</w:t>
      </w:r>
    </w:p>
    <w:p>
      <w:pPr>
        <w:spacing w:after="0" w:line="194" w:lineRule="exact"/>
        <w:rPr>
          <w:sz w:val="20"/>
          <w:szCs w:val="20"/>
          <w:color w:val="auto"/>
        </w:rPr>
      </w:pPr>
    </w:p>
    <w:p>
      <w:pPr>
        <w:ind w:right="100" w:firstLine="751"/>
        <w:spacing w:after="0" w:line="282" w:lineRule="auto"/>
        <w:rPr>
          <w:sz w:val="20"/>
          <w:szCs w:val="20"/>
          <w:color w:val="auto"/>
        </w:rPr>
      </w:pPr>
      <w:r>
        <w:rPr>
          <w:rFonts w:ascii="Arial" w:cs="Arial" w:eastAsia="Arial" w:hAnsi="Arial"/>
          <w:sz w:val="15"/>
          <w:szCs w:val="15"/>
          <w:color w:val="auto"/>
        </w:rPr>
        <w:t>Each right would entitle the holder of the rights to purchase for cash the amount of shares of common stock, preferred stock, depositary shares or warrants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spacing w:after="0" w:line="148" w:lineRule="exact"/>
        <w:rPr>
          <w:sz w:val="20"/>
          <w:szCs w:val="20"/>
          <w:color w:val="auto"/>
        </w:rPr>
      </w:pPr>
    </w:p>
    <w:p>
      <w:pPr>
        <w:ind w:right="40" w:firstLine="751"/>
        <w:spacing w:after="0" w:line="257" w:lineRule="auto"/>
        <w:rPr>
          <w:sz w:val="20"/>
          <w:szCs w:val="20"/>
          <w:color w:val="auto"/>
        </w:rPr>
      </w:pPr>
      <w:r>
        <w:rPr>
          <w:rFonts w:ascii="Arial" w:cs="Arial" w:eastAsia="Arial" w:hAnsi="Arial"/>
          <w:sz w:val="16"/>
          <w:szCs w:val="16"/>
          <w:color w:val="auto"/>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6470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00"/>
          </w:cols>
          <w:pgMar w:left="320" w:top="312" w:right="379" w:bottom="1440" w:gutter="0" w:footer="0" w:header="0"/>
        </w:sectPr>
      </w:pPr>
    </w:p>
    <w:bookmarkStart w:id="22" w:name="page23"/>
    <w:bookmarkEnd w:id="22"/>
    <w:p>
      <w:pPr>
        <w:jc w:val="center"/>
        <w:spacing w:after="0"/>
        <w:rPr>
          <w:sz w:val="20"/>
          <w:szCs w:val="20"/>
          <w:color w:val="auto"/>
        </w:rPr>
      </w:pPr>
      <w:r>
        <w:rPr>
          <w:rFonts w:ascii="Arial" w:cs="Arial" w:eastAsia="Arial" w:hAnsi="Arial"/>
          <w:sz w:val="16"/>
          <w:szCs w:val="16"/>
          <w:b w:val="1"/>
          <w:bCs w:val="1"/>
          <w:color w:val="auto"/>
        </w:rPr>
        <w:t>DESCRIPTION OF UNITS</w:t>
      </w:r>
    </w:p>
    <w:p>
      <w:pPr>
        <w:spacing w:after="0" w:line="198" w:lineRule="exact"/>
        <w:rPr>
          <w:sz w:val="20"/>
          <w:szCs w:val="20"/>
          <w:color w:val="auto"/>
        </w:rPr>
      </w:pPr>
    </w:p>
    <w:p>
      <w:pPr>
        <w:ind w:right="380" w:firstLine="751"/>
        <w:spacing w:after="0" w:line="282" w:lineRule="auto"/>
        <w:rPr>
          <w:sz w:val="20"/>
          <w:szCs w:val="20"/>
          <w:color w:val="auto"/>
        </w:rPr>
      </w:pPr>
      <w:r>
        <w:rPr>
          <w:rFonts w:ascii="Arial" w:cs="Arial" w:eastAsia="Arial" w:hAnsi="Arial"/>
          <w:sz w:val="15"/>
          <w:szCs w:val="15"/>
          <w:color w:val="auto"/>
        </w:rPr>
        <w:t>The following description, together with the additional information we include in any applicable prospectus supplement, summarizes the material terms and provisions of the units that we may offer under this prospectus. Units may be offered independently or together with common stock, preferred stock, depositary shares, debt securities, purchase contracts, and/or warrants offered by any prospectus supplement, and may be attached to or separate from those securities.</w:t>
      </w:r>
    </w:p>
    <w:p>
      <w:pPr>
        <w:spacing w:after="0" w:line="148" w:lineRule="exact"/>
        <w:rPr>
          <w:sz w:val="20"/>
          <w:szCs w:val="20"/>
          <w:color w:val="auto"/>
        </w:rPr>
      </w:pPr>
    </w:p>
    <w:p>
      <w:pPr>
        <w:jc w:val="both"/>
        <w:ind w:right="140" w:firstLine="751"/>
        <w:spacing w:after="0" w:line="257" w:lineRule="auto"/>
        <w:rPr>
          <w:sz w:val="20"/>
          <w:szCs w:val="20"/>
          <w:color w:val="auto"/>
        </w:rPr>
      </w:pPr>
      <w:r>
        <w:rPr>
          <w:rFonts w:ascii="Arial" w:cs="Arial" w:eastAsia="Arial" w:hAnsi="Arial"/>
          <w:sz w:val="16"/>
          <w:szCs w:val="16"/>
          <w:color w:val="auto"/>
        </w:rPr>
        <w:t>While the terms we have summarized below will generally apply to any future units that we may offer under this prospectus, we will describe the particular terms of any series of units that we may offer in more detail in the applicable prospectus supplement. The terms of any units offered under a prospectus supplement may differ from the terms described below.</w:t>
      </w:r>
    </w:p>
    <w:p>
      <w:pPr>
        <w:spacing w:after="0" w:line="165" w:lineRule="exact"/>
        <w:rPr>
          <w:sz w:val="20"/>
          <w:szCs w:val="20"/>
          <w:color w:val="auto"/>
        </w:rPr>
      </w:pPr>
    </w:p>
    <w:p>
      <w:pPr>
        <w:ind w:firstLine="751"/>
        <w:spacing w:after="0" w:line="330" w:lineRule="auto"/>
        <w:rPr>
          <w:sz w:val="20"/>
          <w:szCs w:val="20"/>
          <w:color w:val="auto"/>
        </w:rPr>
      </w:pPr>
      <w:r>
        <w:rPr>
          <w:rFonts w:ascii="Arial" w:cs="Arial" w:eastAsia="Arial" w:hAnsi="Arial"/>
          <w:sz w:val="13"/>
          <w:szCs w:val="13"/>
          <w:color w:val="auto"/>
        </w:rPr>
        <w:t>We will incorporate by reference into the registration statement of which this prospectus is a part the form of unit agreement, including a form of unit certificate, if any, that describes the terms of the series of units we are offering before the issuance of the related series of units. The following summaries of material provisions of the units and the unit agreements are subject to, and qualified in their entirety by reference to, all the provisions of the unit agreement applicable to a particular series of units. We urge you to read the applicable prospectus supplements related to the units that we sell under this prospectus, as well as the complete unit agreements that contain the terms of the units.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98" w:lineRule="exact"/>
        <w:rPr>
          <w:sz w:val="20"/>
          <w:szCs w:val="20"/>
          <w:color w:val="auto"/>
        </w:rPr>
      </w:pPr>
    </w:p>
    <w:p>
      <w:pPr>
        <w:ind w:right="20" w:firstLine="751"/>
        <w:spacing w:after="0" w:line="253" w:lineRule="auto"/>
        <w:rPr>
          <w:sz w:val="20"/>
          <w:szCs w:val="20"/>
          <w:color w:val="auto"/>
        </w:rPr>
      </w:pPr>
      <w:r>
        <w:rPr>
          <w:rFonts w:ascii="Arial" w:cs="Arial" w:eastAsia="Arial" w:hAnsi="Arial"/>
          <w:sz w:val="16"/>
          <w:szCs w:val="16"/>
          <w:color w:val="auto"/>
        </w:rPr>
        <w:t>We may issue units consisting of common stock, preferred stock, depositary shares, debt securities, warrants, purchase contracts or any combination thereof.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69" w:lineRule="exact"/>
        <w:rPr>
          <w:sz w:val="20"/>
          <w:szCs w:val="20"/>
          <w:color w:val="auto"/>
        </w:rPr>
      </w:pPr>
    </w:p>
    <w:p>
      <w:pPr>
        <w:ind w:left="740"/>
        <w:spacing w:after="0"/>
        <w:rPr>
          <w:sz w:val="20"/>
          <w:szCs w:val="20"/>
          <w:color w:val="auto"/>
        </w:rPr>
      </w:pPr>
      <w:r>
        <w:rPr>
          <w:rFonts w:ascii="Arial" w:cs="Arial" w:eastAsia="Arial" w:hAnsi="Arial"/>
          <w:sz w:val="16"/>
          <w:szCs w:val="16"/>
          <w:color w:val="auto"/>
        </w:rPr>
        <w:t>We will describe in the applicable prospectus supplement the terms of the series of units, including the following:</w:t>
      </w:r>
    </w:p>
    <w:p>
      <w:pPr>
        <w:spacing w:after="0" w:line="194" w:lineRule="exact"/>
        <w:rPr>
          <w:sz w:val="20"/>
          <w:szCs w:val="20"/>
          <w:color w:val="auto"/>
        </w:rPr>
      </w:pPr>
    </w:p>
    <w:p>
      <w:pPr>
        <w:ind w:left="1480" w:right="100" w:hanging="363"/>
        <w:spacing w:after="0" w:line="267" w:lineRule="auto"/>
        <w:tabs>
          <w:tab w:leader="none" w:pos="1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designation and terms of the units and of the securities comprising the units, including whether and under what circumstances those securities may be held or transferred separately;</w:t>
      </w:r>
    </w:p>
    <w:p>
      <w:pPr>
        <w:spacing w:after="0" w:line="157" w:lineRule="exact"/>
        <w:rPr>
          <w:rFonts w:ascii="Arial" w:cs="Arial" w:eastAsia="Arial" w:hAnsi="Arial"/>
          <w:sz w:val="16"/>
          <w:szCs w:val="16"/>
          <w:color w:val="auto"/>
        </w:rPr>
      </w:pPr>
    </w:p>
    <w:p>
      <w:pPr>
        <w:ind w:left="1480" w:hanging="363"/>
        <w:spacing w:after="0"/>
        <w:tabs>
          <w:tab w:leader="none" w:pos="1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provisions of the governing unit agreement that differ from those described below; and</w:t>
      </w:r>
    </w:p>
    <w:p>
      <w:pPr>
        <w:spacing w:after="0" w:line="194" w:lineRule="exact"/>
        <w:rPr>
          <w:rFonts w:ascii="Arial" w:cs="Arial" w:eastAsia="Arial" w:hAnsi="Arial"/>
          <w:sz w:val="16"/>
          <w:szCs w:val="16"/>
          <w:color w:val="auto"/>
        </w:rPr>
      </w:pPr>
    </w:p>
    <w:p>
      <w:pPr>
        <w:ind w:left="1480" w:hanging="363"/>
        <w:spacing w:after="0"/>
        <w:tabs>
          <w:tab w:leader="none" w:pos="1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provisions for the issuance, payment, settlement, transfer, or exchange of the units or of the securities comprising the units.</w:t>
      </w:r>
    </w:p>
    <w:p>
      <w:pPr>
        <w:spacing w:after="0" w:line="194" w:lineRule="exact"/>
        <w:rPr>
          <w:sz w:val="20"/>
          <w:szCs w:val="20"/>
          <w:color w:val="auto"/>
        </w:rPr>
      </w:pPr>
    </w:p>
    <w:p>
      <w:pPr>
        <w:ind w:right="180" w:firstLine="751"/>
        <w:spacing w:after="0" w:line="257" w:lineRule="auto"/>
        <w:rPr>
          <w:sz w:val="20"/>
          <w:szCs w:val="20"/>
          <w:color w:val="auto"/>
        </w:rPr>
      </w:pPr>
      <w:r>
        <w:rPr>
          <w:rFonts w:ascii="Arial" w:cs="Arial" w:eastAsia="Arial" w:hAnsi="Arial"/>
          <w:sz w:val="16"/>
          <w:szCs w:val="16"/>
          <w:color w:val="auto"/>
        </w:rPr>
        <w:t>The provisions described in this section, as well as those described under “Description of Common Stock,” “Description of Preferred Stock,” “Description of Depositary Shares,” “Description of Debt Securities,” “Description of Warrants,” “Description of Purchase Contracts” and “Description of Units” will apply to each unit and to any common stock, preferred stock, depositary share or warrant included in each unit,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Issuance in Series</w:t>
      </w:r>
    </w:p>
    <w:p>
      <w:pPr>
        <w:spacing w:after="0" w:line="198" w:lineRule="exact"/>
        <w:rPr>
          <w:sz w:val="20"/>
          <w:szCs w:val="20"/>
          <w:color w:val="auto"/>
        </w:rPr>
      </w:pPr>
    </w:p>
    <w:p>
      <w:pPr>
        <w:ind w:left="740"/>
        <w:spacing w:after="0"/>
        <w:rPr>
          <w:sz w:val="20"/>
          <w:szCs w:val="20"/>
          <w:color w:val="auto"/>
        </w:rPr>
      </w:pPr>
      <w:r>
        <w:rPr>
          <w:rFonts w:ascii="Arial" w:cs="Arial" w:eastAsia="Arial" w:hAnsi="Arial"/>
          <w:sz w:val="16"/>
          <w:szCs w:val="16"/>
          <w:color w:val="auto"/>
        </w:rPr>
        <w:t>We may issue units in such amounts and in such numerous distinct series as we determine.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Enforceability of Rights by Holders of Units</w:t>
      </w:r>
    </w:p>
    <w:p>
      <w:pPr>
        <w:spacing w:after="0" w:line="198" w:lineRule="exact"/>
        <w:rPr>
          <w:sz w:val="20"/>
          <w:szCs w:val="20"/>
          <w:color w:val="auto"/>
        </w:rPr>
      </w:pPr>
    </w:p>
    <w:p>
      <w:pPr>
        <w:ind w:right="60" w:firstLine="751"/>
        <w:spacing w:after="0" w:line="251" w:lineRule="auto"/>
        <w:rPr>
          <w:sz w:val="20"/>
          <w:szCs w:val="20"/>
          <w:color w:val="auto"/>
        </w:rPr>
      </w:pPr>
      <w:r>
        <w:rPr>
          <w:rFonts w:ascii="Arial" w:cs="Arial" w:eastAsia="Arial" w:hAnsi="Arial"/>
          <w:sz w:val="16"/>
          <w:szCs w:val="16"/>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without the consent of the related unit agent or the holder of any other unit, may enforce by appropriate legal action its rights as holder under any security included in the unit.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Title</w:t>
      </w:r>
    </w:p>
    <w:p>
      <w:pPr>
        <w:spacing w:after="0" w:line="198" w:lineRule="exact"/>
        <w:rPr>
          <w:sz w:val="20"/>
          <w:szCs w:val="20"/>
          <w:color w:val="auto"/>
        </w:rPr>
      </w:pPr>
    </w:p>
    <w:p>
      <w:pPr>
        <w:ind w:right="80" w:firstLine="751"/>
        <w:spacing w:after="0" w:line="267" w:lineRule="auto"/>
        <w:rPr>
          <w:sz w:val="20"/>
          <w:szCs w:val="20"/>
          <w:color w:val="auto"/>
        </w:rPr>
      </w:pPr>
      <w:r>
        <w:rPr>
          <w:rFonts w:ascii="Arial" w:cs="Arial" w:eastAsia="Arial" w:hAnsi="Arial"/>
          <w:sz w:val="16"/>
          <w:szCs w:val="16"/>
          <w:color w:val="auto"/>
        </w:rPr>
        <w:t>We, the unit agent, and any of their agents may treat the registered holder of any unit certificate as an absolute owner of the units evidenced by that certificate for any purposes and as the person entitled to exercise the rights attaching to the units so requested, despite any notice to the contrary.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6470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6"/>
          <w:szCs w:val="16"/>
          <w:color w:val="auto"/>
        </w:rPr>
        <w:t xml:space="preserve">PLAN </w:t>
      </w:r>
      <w:r>
        <w:rPr>
          <w:rFonts w:ascii="Arial" w:cs="Arial" w:eastAsia="Arial" w:hAnsi="Arial"/>
          <w:sz w:val="16"/>
          <w:szCs w:val="16"/>
          <w:b w:val="1"/>
          <w:bCs w:val="1"/>
          <w:color w:val="auto"/>
        </w:rPr>
        <w:t>OF DISTRIBUTION</w:t>
      </w:r>
    </w:p>
    <w:p>
      <w:pPr>
        <w:spacing w:after="0" w:line="198" w:lineRule="exact"/>
        <w:rPr>
          <w:sz w:val="20"/>
          <w:szCs w:val="20"/>
          <w:color w:val="auto"/>
        </w:rPr>
      </w:pPr>
    </w:p>
    <w:p>
      <w:pPr>
        <w:ind w:left="740"/>
        <w:spacing w:after="0"/>
        <w:rPr>
          <w:sz w:val="20"/>
          <w:szCs w:val="20"/>
          <w:color w:val="auto"/>
        </w:rPr>
      </w:pPr>
      <w:r>
        <w:rPr>
          <w:rFonts w:ascii="Arial" w:cs="Arial" w:eastAsia="Arial" w:hAnsi="Arial"/>
          <w:sz w:val="16"/>
          <w:szCs w:val="16"/>
          <w:color w:val="auto"/>
        </w:rPr>
        <w:t>We may sell the securities being offered hereby in one or more of the following ways from time to time:</w:t>
      </w:r>
    </w:p>
    <w:p>
      <w:pPr>
        <w:spacing w:after="0" w:line="194" w:lineRule="exact"/>
        <w:rPr>
          <w:sz w:val="20"/>
          <w:szCs w:val="20"/>
          <w:color w:val="auto"/>
        </w:rPr>
      </w:pPr>
    </w:p>
    <w:p>
      <w:pPr>
        <w:ind w:left="1100" w:hanging="361"/>
        <w:spacing w:after="0"/>
        <w:tabs>
          <w:tab w:leader="none" w:pos="11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through agents to the public or to investors;</w:t>
      </w:r>
    </w:p>
    <w:p>
      <w:pPr>
        <w:spacing w:after="0" w:line="194" w:lineRule="exact"/>
        <w:rPr>
          <w:rFonts w:ascii="Arial" w:cs="Arial" w:eastAsia="Arial" w:hAnsi="Arial"/>
          <w:sz w:val="16"/>
          <w:szCs w:val="16"/>
          <w:color w:val="auto"/>
        </w:rPr>
      </w:pPr>
    </w:p>
    <w:p>
      <w:pPr>
        <w:ind w:left="1100" w:hanging="361"/>
        <w:spacing w:after="0"/>
        <w:tabs>
          <w:tab w:leader="none" w:pos="11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one or more underwriters or dealers for resale to the public or to investors;</w:t>
      </w:r>
    </w:p>
    <w:p>
      <w:pPr>
        <w:spacing w:after="0" w:line="194" w:lineRule="exact"/>
        <w:rPr>
          <w:rFonts w:ascii="Arial" w:cs="Arial" w:eastAsia="Arial" w:hAnsi="Arial"/>
          <w:sz w:val="16"/>
          <w:szCs w:val="16"/>
          <w:color w:val="auto"/>
        </w:rPr>
      </w:pPr>
    </w:p>
    <w:p>
      <w:pPr>
        <w:ind w:left="1100" w:right="200" w:hanging="361"/>
        <w:spacing w:after="0" w:line="267" w:lineRule="auto"/>
        <w:tabs>
          <w:tab w:leader="none" w:pos="11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“at the market offerings,” within the meaning of Rule 415(a)(4) of the Securities Act of 1933, as amended, to or through a market maker or into an existing trading market, or an exchange or otherwise;</w:t>
      </w:r>
    </w:p>
    <w:p>
      <w:pPr>
        <w:spacing w:after="0" w:line="157" w:lineRule="exact"/>
        <w:rPr>
          <w:rFonts w:ascii="Arial" w:cs="Arial" w:eastAsia="Arial" w:hAnsi="Arial"/>
          <w:sz w:val="16"/>
          <w:szCs w:val="16"/>
          <w:color w:val="auto"/>
        </w:rPr>
      </w:pPr>
    </w:p>
    <w:p>
      <w:pPr>
        <w:ind w:left="1100" w:hanging="361"/>
        <w:spacing w:after="0"/>
        <w:tabs>
          <w:tab w:leader="none" w:pos="11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directly to investors in privately negotiated transactions; or</w:t>
      </w:r>
    </w:p>
    <w:p>
      <w:pPr>
        <w:spacing w:after="0" w:line="194" w:lineRule="exact"/>
        <w:rPr>
          <w:rFonts w:ascii="Arial" w:cs="Arial" w:eastAsia="Arial" w:hAnsi="Arial"/>
          <w:sz w:val="16"/>
          <w:szCs w:val="16"/>
          <w:color w:val="auto"/>
        </w:rPr>
      </w:pPr>
    </w:p>
    <w:p>
      <w:pPr>
        <w:ind w:left="1100" w:hanging="361"/>
        <w:spacing w:after="0"/>
        <w:tabs>
          <w:tab w:leader="none" w:pos="11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through a combination of these methods of sale.</w:t>
      </w:r>
    </w:p>
    <w:p>
      <w:pPr>
        <w:spacing w:after="0" w:line="194"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The securities that we distribute by any of these methods may be sold, in one or more transactions, at:</w:t>
      </w:r>
    </w:p>
    <w:p>
      <w:pPr>
        <w:spacing w:after="0" w:line="194" w:lineRule="exact"/>
        <w:rPr>
          <w:sz w:val="20"/>
          <w:szCs w:val="20"/>
          <w:color w:val="auto"/>
        </w:rPr>
      </w:pPr>
    </w:p>
    <w:p>
      <w:pPr>
        <w:ind w:left="1100" w:hanging="361"/>
        <w:spacing w:after="0"/>
        <w:tabs>
          <w:tab w:leader="none" w:pos="11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fixed price or prices, which may be changed;</w:t>
      </w:r>
    </w:p>
    <w:p>
      <w:pPr>
        <w:spacing w:after="0" w:line="194" w:lineRule="exact"/>
        <w:rPr>
          <w:rFonts w:ascii="Arial" w:cs="Arial" w:eastAsia="Arial" w:hAnsi="Arial"/>
          <w:sz w:val="16"/>
          <w:szCs w:val="16"/>
          <w:color w:val="auto"/>
        </w:rPr>
      </w:pPr>
    </w:p>
    <w:p>
      <w:pPr>
        <w:ind w:left="1100" w:hanging="361"/>
        <w:spacing w:after="0"/>
        <w:tabs>
          <w:tab w:leader="none" w:pos="11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market prices prevailing at the time of sale;</w:t>
      </w:r>
    </w:p>
    <w:p>
      <w:pPr>
        <w:spacing w:after="0" w:line="194" w:lineRule="exact"/>
        <w:rPr>
          <w:rFonts w:ascii="Arial" w:cs="Arial" w:eastAsia="Arial" w:hAnsi="Arial"/>
          <w:sz w:val="16"/>
          <w:szCs w:val="16"/>
          <w:color w:val="auto"/>
        </w:rPr>
      </w:pPr>
    </w:p>
    <w:p>
      <w:pPr>
        <w:ind w:left="1100" w:hanging="361"/>
        <w:spacing w:after="0"/>
        <w:tabs>
          <w:tab w:leader="none" w:pos="11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prices related to prevailing market prices; or</w:t>
      </w:r>
    </w:p>
    <w:p>
      <w:pPr>
        <w:spacing w:after="0" w:line="194" w:lineRule="exact"/>
        <w:rPr>
          <w:rFonts w:ascii="Arial" w:cs="Arial" w:eastAsia="Arial" w:hAnsi="Arial"/>
          <w:sz w:val="16"/>
          <w:szCs w:val="16"/>
          <w:color w:val="auto"/>
        </w:rPr>
      </w:pPr>
    </w:p>
    <w:p>
      <w:pPr>
        <w:ind w:left="1100" w:hanging="361"/>
        <w:spacing w:after="0"/>
        <w:tabs>
          <w:tab w:leader="none" w:pos="11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negotiated prices.</w:t>
      </w:r>
    </w:p>
    <w:p>
      <w:pPr>
        <w:spacing w:after="0" w:line="194" w:lineRule="exact"/>
        <w:rPr>
          <w:sz w:val="20"/>
          <w:szCs w:val="20"/>
          <w:color w:val="auto"/>
        </w:rPr>
      </w:pPr>
    </w:p>
    <w:p>
      <w:pPr>
        <w:ind w:left="740"/>
        <w:spacing w:after="0"/>
        <w:rPr>
          <w:sz w:val="20"/>
          <w:szCs w:val="20"/>
          <w:color w:val="auto"/>
        </w:rPr>
      </w:pPr>
      <w:r>
        <w:rPr>
          <w:rFonts w:ascii="Arial" w:cs="Arial" w:eastAsia="Arial" w:hAnsi="Arial"/>
          <w:sz w:val="16"/>
          <w:szCs w:val="16"/>
          <w:color w:val="auto"/>
        </w:rPr>
        <w:t>We will set forth in a prospectus supplement the terms of the offering of our securities, including:</w:t>
      </w:r>
    </w:p>
    <w:p>
      <w:pPr>
        <w:spacing w:after="0" w:line="194" w:lineRule="exact"/>
        <w:rPr>
          <w:sz w:val="20"/>
          <w:szCs w:val="20"/>
          <w:color w:val="auto"/>
        </w:rPr>
      </w:pPr>
    </w:p>
    <w:p>
      <w:pPr>
        <w:ind w:left="1100" w:hanging="361"/>
        <w:spacing w:after="0"/>
        <w:tabs>
          <w:tab w:leader="none" w:pos="11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name or names of any agents or underwriters;</w:t>
      </w:r>
    </w:p>
    <w:p>
      <w:pPr>
        <w:spacing w:after="0" w:line="194" w:lineRule="exact"/>
        <w:rPr>
          <w:rFonts w:ascii="Arial" w:cs="Arial" w:eastAsia="Arial" w:hAnsi="Arial"/>
          <w:sz w:val="16"/>
          <w:szCs w:val="16"/>
          <w:color w:val="auto"/>
        </w:rPr>
      </w:pPr>
    </w:p>
    <w:p>
      <w:pPr>
        <w:ind w:left="1100" w:hanging="361"/>
        <w:spacing w:after="0"/>
        <w:tabs>
          <w:tab w:leader="none" w:pos="11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purchase price of our securities being offered and the proceeds we will receive from the sale;</w:t>
      </w:r>
    </w:p>
    <w:p>
      <w:pPr>
        <w:spacing w:after="0" w:line="194" w:lineRule="exact"/>
        <w:rPr>
          <w:rFonts w:ascii="Arial" w:cs="Arial" w:eastAsia="Arial" w:hAnsi="Arial"/>
          <w:sz w:val="16"/>
          <w:szCs w:val="16"/>
          <w:color w:val="auto"/>
        </w:rPr>
      </w:pPr>
    </w:p>
    <w:p>
      <w:pPr>
        <w:ind w:left="1100" w:hanging="361"/>
        <w:spacing w:after="0"/>
        <w:tabs>
          <w:tab w:leader="none" w:pos="11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over-allotment options under which underwriters may purchase additional securities from us;</w:t>
      </w:r>
    </w:p>
    <w:p>
      <w:pPr>
        <w:spacing w:after="0" w:line="194" w:lineRule="exact"/>
        <w:rPr>
          <w:rFonts w:ascii="Arial" w:cs="Arial" w:eastAsia="Arial" w:hAnsi="Arial"/>
          <w:sz w:val="16"/>
          <w:szCs w:val="16"/>
          <w:color w:val="auto"/>
        </w:rPr>
      </w:pPr>
    </w:p>
    <w:p>
      <w:pPr>
        <w:ind w:left="1100" w:hanging="361"/>
        <w:spacing w:after="0"/>
        <w:tabs>
          <w:tab w:leader="none" w:pos="11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agency fees or underwriting discounts and commissions and other items constituting agents’ or underwriters’ compensation;</w:t>
      </w:r>
    </w:p>
    <w:p>
      <w:pPr>
        <w:spacing w:after="0" w:line="194" w:lineRule="exact"/>
        <w:rPr>
          <w:rFonts w:ascii="Arial" w:cs="Arial" w:eastAsia="Arial" w:hAnsi="Arial"/>
          <w:sz w:val="16"/>
          <w:szCs w:val="16"/>
          <w:color w:val="auto"/>
        </w:rPr>
      </w:pPr>
    </w:p>
    <w:p>
      <w:pPr>
        <w:ind w:left="1100" w:hanging="361"/>
        <w:spacing w:after="0"/>
        <w:tabs>
          <w:tab w:leader="none" w:pos="11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public offering price;</w:t>
      </w:r>
    </w:p>
    <w:p>
      <w:pPr>
        <w:spacing w:after="0" w:line="194" w:lineRule="exact"/>
        <w:rPr>
          <w:rFonts w:ascii="Arial" w:cs="Arial" w:eastAsia="Arial" w:hAnsi="Arial"/>
          <w:sz w:val="16"/>
          <w:szCs w:val="16"/>
          <w:color w:val="auto"/>
        </w:rPr>
      </w:pPr>
    </w:p>
    <w:p>
      <w:pPr>
        <w:ind w:left="1100" w:hanging="361"/>
        <w:spacing w:after="0"/>
        <w:tabs>
          <w:tab w:leader="none" w:pos="11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discounts or concessions allowed or reallowed or paid to dealers; and</w:t>
      </w:r>
    </w:p>
    <w:p>
      <w:pPr>
        <w:spacing w:after="0" w:line="194" w:lineRule="exact"/>
        <w:rPr>
          <w:rFonts w:ascii="Arial" w:cs="Arial" w:eastAsia="Arial" w:hAnsi="Arial"/>
          <w:sz w:val="16"/>
          <w:szCs w:val="16"/>
          <w:color w:val="auto"/>
        </w:rPr>
      </w:pPr>
    </w:p>
    <w:p>
      <w:pPr>
        <w:ind w:left="1100" w:hanging="361"/>
        <w:spacing w:after="0"/>
        <w:tabs>
          <w:tab w:leader="none" w:pos="11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securities exchanges on which such common stock may be listed.</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Underwriters</w:t>
      </w:r>
    </w:p>
    <w:p>
      <w:pPr>
        <w:spacing w:after="0" w:line="198" w:lineRule="exact"/>
        <w:rPr>
          <w:sz w:val="20"/>
          <w:szCs w:val="20"/>
          <w:color w:val="auto"/>
        </w:rPr>
      </w:pPr>
    </w:p>
    <w:p>
      <w:pPr>
        <w:ind w:firstLine="751"/>
        <w:spacing w:after="0" w:line="251" w:lineRule="auto"/>
        <w:rPr>
          <w:sz w:val="20"/>
          <w:szCs w:val="20"/>
          <w:color w:val="auto"/>
        </w:rPr>
      </w:pPr>
      <w:r>
        <w:rPr>
          <w:rFonts w:ascii="Arial" w:cs="Arial" w:eastAsia="Arial" w:hAnsi="Arial"/>
          <w:sz w:val="16"/>
          <w:szCs w:val="16"/>
          <w:color w:val="auto"/>
        </w:rPr>
        <w:t>Underwriters, dealers and agents that participate in the distribution of the securities may be underwriters as defined in the Securities Act and any discounts or commissions they receive from us and any profit on their resale of the securities may be treated as underwriting discounts and commissions under the Securities Act.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Securities Act. Underwriters, dealers and agents may engage in transactions with or perform services for us or our subsidiaries in the ordinary course of their businesses.</w:t>
      </w:r>
    </w:p>
    <w:p>
      <w:pPr>
        <w:spacing w:after="0" w:line="172" w:lineRule="exact"/>
        <w:rPr>
          <w:sz w:val="20"/>
          <w:szCs w:val="20"/>
          <w:color w:val="auto"/>
        </w:rPr>
      </w:pPr>
    </w:p>
    <w:p>
      <w:pPr>
        <w:ind w:right="140" w:firstLine="751"/>
        <w:spacing w:after="0" w:line="250" w:lineRule="auto"/>
        <w:rPr>
          <w:sz w:val="20"/>
          <w:szCs w:val="20"/>
          <w:color w:val="auto"/>
        </w:rPr>
      </w:pPr>
      <w:r>
        <w:rPr>
          <w:rFonts w:ascii="Arial" w:cs="Arial" w:eastAsia="Arial" w:hAnsi="Arial"/>
          <w:sz w:val="16"/>
          <w:szCs w:val="16"/>
          <w:color w:val="auto"/>
        </w:rPr>
        <w:t>If we use underwriters for a sale of securities, the underwriters will acquire the securities for their own account. The underwriters may resell the securities in one or more transactions, including negotiated transactions, at a fixed public offering price or at varying prices determined at the time of sale. The obligations of the underwriters to purchase the securities will be subject to the conditions set forth in the applicable underwriting agreement. The underwriters will be obligated to purchase all the securities offered if they purchase any of the securities offered. We may change from time to time any initial public offering price and any discounts or concessions the underwriters allow or reallow or pay to dealers. We may use underwriters with whom we have a material relationship. We will describe in the prospectus supplement naming the underwriters the nature of any such relationship.</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6470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24" w:name="page25"/>
    <w:bookmarkEnd w:id="24"/>
    <w:p>
      <w:pPr>
        <w:ind w:firstLine="751"/>
        <w:spacing w:after="0" w:line="314" w:lineRule="auto"/>
        <w:rPr>
          <w:sz w:val="20"/>
          <w:szCs w:val="20"/>
          <w:color w:val="auto"/>
        </w:rPr>
      </w:pPr>
      <w:r>
        <w:rPr>
          <w:rFonts w:ascii="Arial" w:cs="Arial" w:eastAsia="Arial" w:hAnsi="Arial"/>
          <w:sz w:val="13"/>
          <w:szCs w:val="13"/>
          <w:color w:val="auto"/>
        </w:rPr>
        <w:t>If indicated in the applicable prospectus supplement, we will authorize underwriters or other persons acting as our agents to solicit offers by particular institutions to purchase securities from us at the public offering price set forth in such prospectus supplement pursuant to delayed delivery contracts providing for payment and delivery on the date or dates stated in such prospectus supplement. Each delayed delivery contract will be for an amount no less than, and the aggregate principal amounts of securities sold under delayed delivery contracts shall be not less nor more than, the respective amounts stated in the applicable prospectus supplement. Institutions with which such contracts, when authorized, may be made include commercial and savings banks, insurance companies, pension funds, investment companies, educational and charitable institutions and others, but will in all cases be subject to our approval. The obligations of any purchaser under any such contract will be subject to the conditions that (a) the purchase of the securities shall not at the time of delivery be prohibited under the laws of any jurisdiction in the United States to which the purchaser is subject, and (b) if the securities are being sold to underwriters, we shall have sold to the underwriters the total principal amount of the securities less the principal amount thereof covered by the contracts. The underwriters and such other agents will not have any responsibility in respect of the validity or performance of such contracts.</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Agents</w:t>
      </w:r>
    </w:p>
    <w:p>
      <w:pPr>
        <w:spacing w:after="0" w:line="198" w:lineRule="exact"/>
        <w:rPr>
          <w:sz w:val="20"/>
          <w:szCs w:val="20"/>
          <w:color w:val="auto"/>
        </w:rPr>
      </w:pPr>
    </w:p>
    <w:p>
      <w:pPr>
        <w:ind w:left="740"/>
        <w:spacing w:after="0"/>
        <w:rPr>
          <w:sz w:val="20"/>
          <w:szCs w:val="20"/>
          <w:color w:val="auto"/>
        </w:rPr>
      </w:pPr>
      <w:r>
        <w:rPr>
          <w:rFonts w:ascii="Arial" w:cs="Arial" w:eastAsia="Arial" w:hAnsi="Arial"/>
          <w:sz w:val="13"/>
          <w:szCs w:val="13"/>
          <w:color w:val="auto"/>
        </w:rPr>
        <w:t>We may designate agents who agree to use their reasonable efforts to solicit purchases for the period of their appointment or to sell securities on a continuing basis.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 Sales</w:t>
      </w:r>
    </w:p>
    <w:p>
      <w:pPr>
        <w:spacing w:after="0" w:line="198" w:lineRule="exact"/>
        <w:rPr>
          <w:sz w:val="20"/>
          <w:szCs w:val="20"/>
          <w:color w:val="auto"/>
        </w:rPr>
      </w:pPr>
    </w:p>
    <w:p>
      <w:pPr>
        <w:ind w:left="740"/>
        <w:spacing w:after="0"/>
        <w:rPr>
          <w:sz w:val="20"/>
          <w:szCs w:val="20"/>
          <w:color w:val="auto"/>
        </w:rPr>
      </w:pPr>
      <w:r>
        <w:rPr>
          <w:rFonts w:ascii="Arial" w:cs="Arial" w:eastAsia="Arial" w:hAnsi="Arial"/>
          <w:sz w:val="16"/>
          <w:szCs w:val="16"/>
          <w:color w:val="auto"/>
        </w:rPr>
        <w:t>We may also sell securities directly to one or more purchasers without using underwriters or agents.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Trading Markets and Listing of Securities</w:t>
      </w:r>
    </w:p>
    <w:p>
      <w:pPr>
        <w:spacing w:after="0" w:line="198" w:lineRule="exact"/>
        <w:rPr>
          <w:sz w:val="20"/>
          <w:szCs w:val="20"/>
          <w:color w:val="auto"/>
        </w:rPr>
      </w:pPr>
    </w:p>
    <w:p>
      <w:pPr>
        <w:ind w:firstLine="751"/>
        <w:spacing w:after="0" w:line="275" w:lineRule="auto"/>
        <w:rPr>
          <w:sz w:val="20"/>
          <w:szCs w:val="20"/>
          <w:color w:val="auto"/>
        </w:rPr>
      </w:pPr>
      <w:r>
        <w:rPr>
          <w:rFonts w:ascii="Arial" w:cs="Arial" w:eastAsia="Arial" w:hAnsi="Arial"/>
          <w:sz w:val="15"/>
          <w:szCs w:val="15"/>
          <w:color w:val="auto"/>
        </w:rPr>
        <w:t>Unless otherwise specified in the applicable prospectus supplement, each class or series of securities will be a new issue with no established trading market, other than our common stock, which is traded on the Nasdaq Global Select Market.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Stabilization Activities</w:t>
      </w:r>
    </w:p>
    <w:p>
      <w:pPr>
        <w:spacing w:after="0" w:line="198" w:lineRule="exact"/>
        <w:rPr>
          <w:sz w:val="20"/>
          <w:szCs w:val="20"/>
          <w:color w:val="auto"/>
        </w:rPr>
      </w:pPr>
    </w:p>
    <w:p>
      <w:pPr>
        <w:ind w:right="40" w:firstLine="751"/>
        <w:spacing w:after="0" w:line="313" w:lineRule="auto"/>
        <w:rPr>
          <w:sz w:val="20"/>
          <w:szCs w:val="20"/>
          <w:color w:val="auto"/>
        </w:rPr>
      </w:pPr>
      <w:r>
        <w:rPr>
          <w:rFonts w:ascii="Arial" w:cs="Arial" w:eastAsia="Arial" w:hAnsi="Arial"/>
          <w:sz w:val="13"/>
          <w:szCs w:val="13"/>
          <w:color w:val="auto"/>
        </w:rPr>
        <w:t>In connection with an offering, an underwriter may purchase and sell securities in the open market. These transactions may include short sales, stabilizing transactions and purchases to cover positions created by short sales. Shorts sales involve the sale by the underwriters of a greater number of securities than they are required to purchase in the offering. “Covered” short sales are sales made in an amount not greater than the underwriters’ option to purchase additional securities from us, if any, in the offering. If the underwriters have an over-allotment option to purchase additional securities from us, the underwriters may close out any covered short position by either exercising their over-allotment option or purchasing securities in the open market. In determining the source of securities to close out the covered short position, the underwriters may consider, among other things, the price of securities available for purchase in the open market as compared to the price at which they may purchase securities through the over-allotment option. “Naked” short sales are any sales in excess of such option or where the underwriters do not have an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w:t>
      </w:r>
    </w:p>
    <w:p>
      <w:pPr>
        <w:spacing w:after="0" w:line="136" w:lineRule="exact"/>
        <w:rPr>
          <w:sz w:val="20"/>
          <w:szCs w:val="20"/>
          <w:color w:val="auto"/>
        </w:rPr>
      </w:pPr>
    </w:p>
    <w:p>
      <w:pPr>
        <w:ind w:right="20" w:firstLine="751"/>
        <w:spacing w:after="0" w:line="319" w:lineRule="auto"/>
        <w:rPr>
          <w:sz w:val="20"/>
          <w:szCs w:val="20"/>
          <w:color w:val="auto"/>
        </w:rPr>
      </w:pPr>
      <w:r>
        <w:rPr>
          <w:rFonts w:ascii="Arial" w:cs="Arial" w:eastAsia="Arial" w:hAnsi="Arial"/>
          <w:sz w:val="13"/>
          <w:szCs w:val="13"/>
          <w:color w:val="auto"/>
        </w:rPr>
        <w:t>Accordingly, to cover these short sales positions or to otherwise stabilize or maintain the price of the securities, the underwriters may bid for or purchase securities in the open market and may impose penalty bids. If penalty bids are imposed, selling concessions allowed to syndicate members or other broker-dealers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impositions of a penalty bid may also effect the price of the securities to the extent that it discourages resale of the securities. The magnitude or effect of any stabilization or other transactions is uncertain. These transactions may be effected on the Nasdaq Global Select Market or otherwise and, if commenced, may be discontinued at any time.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6470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40"/>
          </w:cols>
          <w:pgMar w:left="320" w:top="316"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b w:val="1"/>
          <w:bCs w:val="1"/>
          <w:color w:val="auto"/>
        </w:rPr>
        <w:t>EXPERTS</w:t>
      </w:r>
    </w:p>
    <w:p>
      <w:pPr>
        <w:spacing w:after="0" w:line="198" w:lineRule="exact"/>
        <w:rPr>
          <w:sz w:val="20"/>
          <w:szCs w:val="20"/>
          <w:color w:val="auto"/>
        </w:rPr>
      </w:pPr>
    </w:p>
    <w:p>
      <w:pPr>
        <w:ind w:right="40" w:firstLine="751"/>
        <w:spacing w:after="0" w:line="250" w:lineRule="auto"/>
        <w:rPr>
          <w:sz w:val="20"/>
          <w:szCs w:val="20"/>
          <w:color w:val="auto"/>
        </w:rPr>
      </w:pPr>
      <w:r>
        <w:rPr>
          <w:rFonts w:ascii="Arial" w:cs="Arial" w:eastAsia="Arial" w:hAnsi="Arial"/>
          <w:sz w:val="16"/>
          <w:szCs w:val="16"/>
          <w:color w:val="auto"/>
        </w:rPr>
        <w:t>The consolidated financial statements of Destination XL Group, Inc. as of February 1, 2020 and February 2, 2019 and for each of the years in the three-year period ending February 1, 2020, and management’s assessment of the effectiveness of internal control over financial reporting as of February 1, 2020, have been incorporated by reference herein and in the registration statement in reliance upon the reports of KPMG LLP, independent registered public accounting firm, incorporated by reference herein, and upon the authority of said firm as experts in accounting and auditing. The audit report covering the February 1, 2020 consolidated financial statements refers to a change in the method of accounting for leases as of February 3, 2019 due to the adoption of Accounting Standards Update 2016-12, Leases (Topic 842) and Accounting Standards Update 2018-11, Leases (Topic 842): Targeted Improvements.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LEGAL MATTERS</w:t>
      </w:r>
    </w:p>
    <w:p>
      <w:pPr>
        <w:spacing w:after="0" w:line="198" w:lineRule="exact"/>
        <w:rPr>
          <w:sz w:val="20"/>
          <w:szCs w:val="20"/>
          <w:color w:val="auto"/>
        </w:rPr>
      </w:pPr>
    </w:p>
    <w:p>
      <w:pPr>
        <w:ind w:firstLine="751"/>
        <w:spacing w:after="0" w:line="385" w:lineRule="auto"/>
        <w:rPr>
          <w:sz w:val="20"/>
          <w:szCs w:val="20"/>
          <w:color w:val="auto"/>
        </w:rPr>
      </w:pPr>
      <w:r>
        <w:rPr>
          <w:rFonts w:ascii="Arial" w:cs="Arial" w:eastAsia="Arial" w:hAnsi="Arial"/>
          <w:sz w:val="13"/>
          <w:szCs w:val="13"/>
          <w:color w:val="auto"/>
        </w:rPr>
        <w:t>Certain legal matters, including the legality of the securities offered, will be passed upon for us by our counsel, Greenberg Traurig, LLP, Boston, Massachusetts. If the securities are distributed in an underwritten offering, certain legal matters will be passed upon for the underwriters by counsel identified in the applicable prospectus supplement.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WHERE YOU CAN FIND MORE INFORMATION</w:t>
      </w:r>
    </w:p>
    <w:p>
      <w:pPr>
        <w:spacing w:after="0" w:line="198" w:lineRule="exact"/>
        <w:rPr>
          <w:sz w:val="20"/>
          <w:szCs w:val="20"/>
          <w:color w:val="auto"/>
        </w:rPr>
      </w:pPr>
    </w:p>
    <w:p>
      <w:pPr>
        <w:ind w:right="20" w:firstLine="751"/>
        <w:spacing w:after="0" w:line="251" w:lineRule="auto"/>
        <w:rPr>
          <w:sz w:val="20"/>
          <w:szCs w:val="20"/>
          <w:color w:val="auto"/>
        </w:rPr>
      </w:pPr>
      <w:r>
        <w:rPr>
          <w:rFonts w:ascii="Arial" w:cs="Arial" w:eastAsia="Arial" w:hAnsi="Arial"/>
          <w:sz w:val="16"/>
          <w:szCs w:val="16"/>
          <w:color w:val="auto"/>
        </w:rPr>
        <w:t xml:space="preserve">We file annual, quarterly and current reports, proxy statements and other information with the SEC. Our SEC filings are available to the public over the Internet at the SEC’s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The SEC’s website contains reports, proxy and information statements and other information regarding issuers, such as us, that file electronically with the SEC. The reports and other information filed by us with the SEC are also available at our website, </w:t>
      </w:r>
      <w:r>
        <w:rPr>
          <w:rFonts w:ascii="Arial" w:cs="Arial" w:eastAsia="Arial" w:hAnsi="Arial"/>
          <w:sz w:val="16"/>
          <w:szCs w:val="16"/>
          <w:i w:val="1"/>
          <w:iCs w:val="1"/>
          <w:u w:val="single" w:color="auto"/>
          <w:color w:val="0000FF"/>
        </w:rPr>
        <w:t>https://investor.dxl.com/investor-relations</w:t>
      </w:r>
      <w:r>
        <w:rPr>
          <w:rFonts w:ascii="Arial" w:cs="Arial" w:eastAsia="Arial" w:hAnsi="Arial"/>
          <w:sz w:val="16"/>
          <w:szCs w:val="16"/>
          <w:i w:val="1"/>
          <w:iCs w:val="1"/>
          <w:color w:val="auto"/>
        </w:rPr>
        <w:t>.</w:t>
      </w:r>
      <w:r>
        <w:rPr>
          <w:rFonts w:ascii="Arial" w:cs="Arial" w:eastAsia="Arial" w:hAnsi="Arial"/>
          <w:sz w:val="16"/>
          <w:szCs w:val="16"/>
          <w:color w:val="auto"/>
        </w:rPr>
        <w:t xml:space="preserve"> Information contained on our website or that can be accessed through our website is not incorporated by reference into this prospectus or any prospectus supplement and should not be considered to be part of this prospectus or any prospectus supplement.</w:t>
      </w:r>
    </w:p>
    <w:p>
      <w:pPr>
        <w:spacing w:after="0" w:line="172" w:lineRule="exact"/>
        <w:rPr>
          <w:sz w:val="20"/>
          <w:szCs w:val="20"/>
          <w:color w:val="auto"/>
        </w:rPr>
      </w:pPr>
    </w:p>
    <w:p>
      <w:pPr>
        <w:ind w:right="160" w:firstLine="751"/>
        <w:spacing w:after="0" w:line="301" w:lineRule="auto"/>
        <w:rPr>
          <w:sz w:val="20"/>
          <w:szCs w:val="20"/>
          <w:color w:val="auto"/>
        </w:rPr>
      </w:pPr>
      <w:r>
        <w:rPr>
          <w:rFonts w:ascii="Arial" w:cs="Arial" w:eastAsia="Arial" w:hAnsi="Arial"/>
          <w:sz w:val="15"/>
          <w:szCs w:val="15"/>
          <w:color w:val="auto"/>
        </w:rPr>
        <w:t>This prospectus is part of a registration statement that we filed with the SEC. The registration statement contains more information than this prospectus regarding us and our common stock, including certain exhibits and schedules. You can obtain a copy of the registration statement from the SEC’s Internet site.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INCORPORATION OF CERTAIN DOCUMENTS BY REFERENCE</w:t>
      </w:r>
    </w:p>
    <w:p>
      <w:pPr>
        <w:spacing w:after="0" w:line="198" w:lineRule="exact"/>
        <w:rPr>
          <w:sz w:val="20"/>
          <w:szCs w:val="20"/>
          <w:color w:val="auto"/>
        </w:rPr>
      </w:pPr>
    </w:p>
    <w:p>
      <w:pPr>
        <w:ind w:right="380" w:firstLine="751"/>
        <w:spacing w:after="0" w:line="323" w:lineRule="auto"/>
        <w:rPr>
          <w:sz w:val="20"/>
          <w:szCs w:val="20"/>
          <w:color w:val="auto"/>
        </w:rPr>
      </w:pPr>
      <w:r>
        <w:rPr>
          <w:rFonts w:ascii="Arial" w:cs="Arial" w:eastAsia="Arial" w:hAnsi="Arial"/>
          <w:sz w:val="13"/>
          <w:szCs w:val="13"/>
          <w:color w:val="auto"/>
        </w:rPr>
        <w:t>The SEC allows us to “incorporate” into this prospectus information that we file with the SEC in other documents. This means that we can disclose important information to you by referring to other documents that contain that information. Any information that we incorporate by reference is considered part of this prospectus. The documents and reports that we list below are incorporated by reference into this prospectus. Statements contained in documents that we file with the SEC and that are incorporated by reference in this prospectus will automatically update and supersede information contained in this prospectus, including information in previously filed documents or reports that have been incorporated by reference in this prospectus, to the extent the new information differs from or is inconsistent with the old information.</w:t>
      </w:r>
    </w:p>
    <w:p>
      <w:pPr>
        <w:spacing w:after="0" w:line="128" w:lineRule="exact"/>
        <w:rPr>
          <w:sz w:val="20"/>
          <w:szCs w:val="20"/>
          <w:color w:val="auto"/>
        </w:rPr>
      </w:pPr>
    </w:p>
    <w:p>
      <w:pPr>
        <w:ind w:left="740"/>
        <w:spacing w:after="0"/>
        <w:rPr>
          <w:sz w:val="20"/>
          <w:szCs w:val="20"/>
          <w:color w:val="auto"/>
        </w:rPr>
      </w:pPr>
      <w:r>
        <w:rPr>
          <w:rFonts w:ascii="Arial" w:cs="Arial" w:eastAsia="Arial" w:hAnsi="Arial"/>
          <w:sz w:val="16"/>
          <w:szCs w:val="16"/>
          <w:color w:val="auto"/>
        </w:rPr>
        <w:t>We have filed the following documents with the SEC. These documents are incorporated herein by reference as of their respective dates of filing:</w:t>
      </w:r>
    </w:p>
    <w:p>
      <w:pPr>
        <w:spacing w:after="0" w:line="194" w:lineRule="exact"/>
        <w:rPr>
          <w:sz w:val="20"/>
          <w:szCs w:val="20"/>
          <w:color w:val="auto"/>
        </w:rPr>
      </w:pPr>
    </w:p>
    <w:p>
      <w:pPr>
        <w:ind w:left="1480" w:hanging="741"/>
        <w:spacing w:after="0"/>
        <w:tabs>
          <w:tab w:leader="none" w:pos="14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Our Annual Report on </w:t>
      </w:r>
      <w:hyperlink r:id="rId34">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for the fiscal year ended February 1, 2020, as amended by the </w:t>
      </w:r>
      <w:hyperlink r:id="rId35">
        <w:r>
          <w:rPr>
            <w:rFonts w:ascii="Arial" w:cs="Arial" w:eastAsia="Arial" w:hAnsi="Arial"/>
            <w:sz w:val="16"/>
            <w:szCs w:val="16"/>
            <w:u w:val="single" w:color="auto"/>
            <w:color w:val="0000EE"/>
          </w:rPr>
          <w:t>Form 10-K/A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filed on June 1, 2020;</w:t>
      </w:r>
    </w:p>
    <w:p>
      <w:pPr>
        <w:spacing w:after="0" w:line="194" w:lineRule="exact"/>
        <w:rPr>
          <w:rFonts w:ascii="Arial" w:cs="Arial" w:eastAsia="Arial" w:hAnsi="Arial"/>
          <w:sz w:val="16"/>
          <w:szCs w:val="16"/>
          <w:color w:val="auto"/>
        </w:rPr>
      </w:pPr>
    </w:p>
    <w:p>
      <w:pPr>
        <w:ind w:left="1480" w:hanging="741"/>
        <w:spacing w:after="0"/>
        <w:tabs>
          <w:tab w:leader="none" w:pos="14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Our Quarterly Report on </w:t>
      </w:r>
      <w:hyperlink r:id="rId36">
        <w:r>
          <w:rPr>
            <w:rFonts w:ascii="Arial" w:cs="Arial" w:eastAsia="Arial" w:hAnsi="Arial"/>
            <w:sz w:val="16"/>
            <w:szCs w:val="16"/>
            <w:u w:val="single" w:color="auto"/>
            <w:color w:val="0000EE"/>
          </w:rPr>
          <w:t>Form 10-Q</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quarter ended May 2, 2020;</w:t>
      </w:r>
    </w:p>
    <w:p>
      <w:pPr>
        <w:spacing w:after="0" w:line="194" w:lineRule="exact"/>
        <w:rPr>
          <w:rFonts w:ascii="Arial" w:cs="Arial" w:eastAsia="Arial" w:hAnsi="Arial"/>
          <w:sz w:val="16"/>
          <w:szCs w:val="16"/>
          <w:color w:val="auto"/>
        </w:rPr>
      </w:pPr>
    </w:p>
    <w:p>
      <w:pPr>
        <w:ind w:left="1480" w:hanging="741"/>
        <w:spacing w:after="0"/>
        <w:tabs>
          <w:tab w:leader="none" w:pos="14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Our Current Reports on Form 8-K filed with the SEC on </w:t>
      </w:r>
      <w:hyperlink r:id="rId37">
        <w:r>
          <w:rPr>
            <w:rFonts w:ascii="Arial" w:cs="Arial" w:eastAsia="Arial" w:hAnsi="Arial"/>
            <w:sz w:val="16"/>
            <w:szCs w:val="16"/>
            <w:u w:val="single" w:color="auto"/>
            <w:color w:val="0000EE"/>
          </w:rPr>
          <w:t>February 14, 2020</w:t>
        </w:r>
      </w:hyperlink>
      <w:r>
        <w:rPr>
          <w:rFonts w:ascii="Arial" w:cs="Arial" w:eastAsia="Arial" w:hAnsi="Arial"/>
          <w:sz w:val="16"/>
          <w:szCs w:val="16"/>
          <w:color w:val="auto"/>
        </w:rPr>
        <w:t xml:space="preserve">, </w:t>
      </w:r>
      <w:hyperlink r:id="rId38">
        <w:r>
          <w:rPr>
            <w:rFonts w:ascii="Arial" w:cs="Arial" w:eastAsia="Arial" w:hAnsi="Arial"/>
            <w:sz w:val="16"/>
            <w:szCs w:val="16"/>
            <w:u w:val="single" w:color="auto"/>
            <w:color w:val="0000EE"/>
          </w:rPr>
          <w:t>March 23, 2020</w:t>
        </w:r>
      </w:hyperlink>
      <w:r>
        <w:rPr>
          <w:rFonts w:ascii="Arial" w:cs="Arial" w:eastAsia="Arial" w:hAnsi="Arial"/>
          <w:sz w:val="16"/>
          <w:szCs w:val="16"/>
          <w:color w:val="auto"/>
        </w:rPr>
        <w:t xml:space="preserve">, </w:t>
      </w:r>
      <w:hyperlink r:id="rId39">
        <w:r>
          <w:rPr>
            <w:rFonts w:ascii="Arial" w:cs="Arial" w:eastAsia="Arial" w:hAnsi="Arial"/>
            <w:sz w:val="16"/>
            <w:szCs w:val="16"/>
            <w:u w:val="single" w:color="auto"/>
            <w:color w:val="0000EE"/>
          </w:rPr>
          <w:t>March 30, 2020</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r:id="rId40">
        <w:r>
          <w:rPr>
            <w:rFonts w:ascii="Arial" w:cs="Arial" w:eastAsia="Arial" w:hAnsi="Arial"/>
            <w:sz w:val="16"/>
            <w:szCs w:val="16"/>
            <w:u w:val="single" w:color="auto"/>
            <w:color w:val="0000EE"/>
          </w:rPr>
          <w:t>April 16, 2020</w:t>
        </w:r>
      </w:hyperlink>
      <w:r>
        <w:rPr>
          <w:rFonts w:ascii="Arial" w:cs="Arial" w:eastAsia="Arial" w:hAnsi="Arial"/>
          <w:sz w:val="16"/>
          <w:szCs w:val="16"/>
          <w:color w:val="auto"/>
        </w:rPr>
        <w:t>; and</w:t>
      </w:r>
    </w:p>
    <w:p>
      <w:pPr>
        <w:spacing w:after="0" w:line="194" w:lineRule="exact"/>
        <w:rPr>
          <w:rFonts w:ascii="Arial" w:cs="Arial" w:eastAsia="Arial" w:hAnsi="Arial"/>
          <w:sz w:val="16"/>
          <w:szCs w:val="16"/>
          <w:color w:val="auto"/>
        </w:rPr>
      </w:pPr>
    </w:p>
    <w:p>
      <w:pPr>
        <w:ind w:left="1480" w:right="180" w:hanging="741"/>
        <w:spacing w:after="0" w:line="267" w:lineRule="auto"/>
        <w:tabs>
          <w:tab w:leader="none" w:pos="14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description of our common stock contained in our Registration Statement on Form 8-A filed on May 27, 1987, and any amendments or reports filed for the purpose of updating that description.</w:t>
      </w:r>
    </w:p>
    <w:p>
      <w:pPr>
        <w:spacing w:after="0" w:line="158" w:lineRule="exact"/>
        <w:rPr>
          <w:rFonts w:ascii="Arial" w:cs="Arial" w:eastAsia="Arial" w:hAnsi="Arial"/>
          <w:sz w:val="16"/>
          <w:szCs w:val="16"/>
          <w:color w:val="auto"/>
        </w:rPr>
      </w:pPr>
    </w:p>
    <w:p>
      <w:pPr>
        <w:ind w:right="40" w:firstLine="751"/>
        <w:spacing w:after="0" w:line="344" w:lineRule="auto"/>
        <w:rPr>
          <w:sz w:val="20"/>
          <w:szCs w:val="20"/>
          <w:color w:val="auto"/>
        </w:rPr>
      </w:pPr>
      <w:r>
        <w:rPr>
          <w:rFonts w:ascii="Arial" w:cs="Arial" w:eastAsia="Arial" w:hAnsi="Arial"/>
          <w:sz w:val="13"/>
          <w:szCs w:val="13"/>
          <w:color w:val="auto"/>
        </w:rPr>
        <w:t>In addition, we also incorporate by reference all documents and reports which we file pursuant to Section 13(a), 13(c), 14 or 15(d) of the Exchange Act (i) after the date of the initial registration statement and prior to the effectiveness of the registration statement and (ii) after the date of this prospectus and prior to the termination of the offering of the securities under this Registration Statement (except in each case for the information contained in such documents that is deemed to be “furnished” and not “filed”).</w:t>
      </w:r>
    </w:p>
    <w:p>
      <w:pPr>
        <w:spacing w:after="0" w:line="113"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6470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You may request a copy of these documents, which will be provided to you at no cost, by contacting:</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Destination XL Group, Inc.</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555 Turnpike Street</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Canton, MA 02021</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Attn: Corporate Secretary</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(781) 828-9300</w:t>
      </w:r>
    </w:p>
    <w:p>
      <w:pPr>
        <w:spacing w:after="0" w:line="183" w:lineRule="exact"/>
        <w:rPr>
          <w:sz w:val="20"/>
          <w:szCs w:val="20"/>
          <w:color w:val="auto"/>
        </w:rPr>
      </w:pPr>
    </w:p>
    <w:p>
      <w:pPr>
        <w:ind w:firstLine="751"/>
        <w:spacing w:after="0" w:line="319" w:lineRule="auto"/>
        <w:rPr>
          <w:sz w:val="20"/>
          <w:szCs w:val="20"/>
          <w:color w:val="auto"/>
        </w:rPr>
      </w:pPr>
      <w:r>
        <w:rPr>
          <w:rFonts w:ascii="Arial" w:cs="Arial" w:eastAsia="Arial" w:hAnsi="Arial"/>
          <w:sz w:val="13"/>
          <w:szCs w:val="13"/>
          <w:color w:val="auto"/>
        </w:rPr>
        <w:t>You should rely only on the information contained in this prospectus, including information incorporated by reference as described above, or any prospectus supplement that we have specifically referred you to. We have not authorized anyone else to provide you with different information. You should not assume that the information in this prospectus or any prospectus supplement is accurate as of any date other than the date on the front of those documents or that any document incorporated by reference is accurate as of any date other than its filing date. You should not consider this prospectus to be an offer or solicitation relating to the securities in any jurisdiction in which such an offer or solicitation relating to the securities is not authorized. Furthermore, you should not consider this prospectus to be an offer or solicitation relating to the securities if the person making the offer or solicitation is not qualified to do so, or if it is unlawful for you to receive such an offer or solicitation.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6470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180"/>
          </w:cols>
          <w:pgMar w:left="320" w:top="694" w:right="399" w:bottom="1440" w:gutter="0" w:footer="0" w:header="0"/>
        </w:sectPr>
      </w:pPr>
    </w:p>
    <w:bookmarkStart w:id="27" w:name="page28"/>
    <w:bookmarkEnd w:id="27"/>
    <w:p>
      <w:pPr>
        <w:jc w:val="center"/>
        <w:ind w:right="-4"/>
        <w:spacing w:after="0"/>
        <w:rPr>
          <w:sz w:val="20"/>
          <w:szCs w:val="20"/>
          <w:color w:val="auto"/>
        </w:rPr>
      </w:pPr>
      <w:r>
        <w:rPr>
          <w:rFonts w:ascii="Arial" w:cs="Arial" w:eastAsia="Arial" w:hAnsi="Arial"/>
          <w:sz w:val="16"/>
          <w:szCs w:val="16"/>
          <w:b w:val="1"/>
          <w:bCs w:val="1"/>
          <w:color w:val="auto"/>
        </w:rPr>
        <w:t>PART II</w:t>
      </w:r>
    </w:p>
    <w:p>
      <w:pPr>
        <w:spacing w:after="0" w:line="194" w:lineRule="exact"/>
        <w:rPr>
          <w:sz w:val="20"/>
          <w:szCs w:val="20"/>
          <w:color w:val="auto"/>
        </w:rPr>
      </w:pPr>
    </w:p>
    <w:p>
      <w:pPr>
        <w:ind w:left="3765"/>
        <w:spacing w:after="0"/>
        <w:rPr>
          <w:sz w:val="20"/>
          <w:szCs w:val="20"/>
          <w:color w:val="auto"/>
        </w:rPr>
      </w:pPr>
      <w:r>
        <w:rPr>
          <w:rFonts w:ascii="Arial" w:cs="Arial" w:eastAsia="Arial" w:hAnsi="Arial"/>
          <w:sz w:val="16"/>
          <w:szCs w:val="16"/>
          <w:b w:val="1"/>
          <w:bCs w:val="1"/>
          <w:color w:val="auto"/>
        </w:rPr>
        <w:t>INFORMATION NOT REQUIRED IN PROSPECTUS</w:t>
      </w:r>
    </w:p>
    <w:p>
      <w:pPr>
        <w:spacing w:after="0" w:line="194" w:lineRule="exact"/>
        <w:rPr>
          <w:sz w:val="20"/>
          <w:szCs w:val="20"/>
          <w:color w:val="auto"/>
        </w:rPr>
      </w:pPr>
    </w:p>
    <w:p>
      <w:pPr>
        <w:ind w:left="745"/>
        <w:spacing w:after="0"/>
        <w:tabs>
          <w:tab w:leader="none" w:pos="1845" w:val="left"/>
        </w:tabs>
        <w:rPr>
          <w:sz w:val="20"/>
          <w:szCs w:val="20"/>
          <w:color w:val="auto"/>
        </w:rPr>
      </w:pPr>
      <w:r>
        <w:rPr>
          <w:rFonts w:ascii="Arial" w:cs="Arial" w:eastAsia="Arial" w:hAnsi="Arial"/>
          <w:sz w:val="16"/>
          <w:szCs w:val="16"/>
          <w:b w:val="1"/>
          <w:bCs w:val="1"/>
          <w:color w:val="auto"/>
        </w:rPr>
        <w:t>Item 14.</w:t>
      </w:r>
      <w:r>
        <w:rPr>
          <w:sz w:val="20"/>
          <w:szCs w:val="20"/>
          <w:color w:val="auto"/>
        </w:rPr>
        <w:tab/>
      </w:r>
      <w:r>
        <w:rPr>
          <w:rFonts w:ascii="Arial" w:cs="Arial" w:eastAsia="Arial" w:hAnsi="Arial"/>
          <w:sz w:val="13"/>
          <w:szCs w:val="13"/>
          <w:b w:val="1"/>
          <w:bCs w:val="1"/>
          <w:color w:val="auto"/>
        </w:rPr>
        <w:t>Other Expenses of Issuance and Distribution.</w:t>
      </w:r>
    </w:p>
    <w:p>
      <w:pPr>
        <w:spacing w:after="0" w:line="198" w:lineRule="exact"/>
        <w:rPr>
          <w:sz w:val="20"/>
          <w:szCs w:val="20"/>
          <w:color w:val="auto"/>
        </w:rPr>
      </w:pPr>
    </w:p>
    <w:p>
      <w:pPr>
        <w:ind w:left="5" w:right="60" w:firstLine="751"/>
        <w:spacing w:after="0" w:line="267" w:lineRule="auto"/>
        <w:rPr>
          <w:sz w:val="20"/>
          <w:szCs w:val="20"/>
          <w:color w:val="auto"/>
        </w:rPr>
      </w:pPr>
      <w:r>
        <w:rPr>
          <w:rFonts w:ascii="Arial" w:cs="Arial" w:eastAsia="Arial" w:hAnsi="Arial"/>
          <w:sz w:val="16"/>
          <w:szCs w:val="16"/>
          <w:color w:val="auto"/>
        </w:rPr>
        <w:t>The expenses in connection with the issuance and distribution of the securities being registered are set forth in the following table (all amounts except the registration fee are estimated):</w:t>
      </w:r>
    </w:p>
    <w:p>
      <w:pPr>
        <w:spacing w:after="0" w:line="347" w:lineRule="exact"/>
        <w:rPr>
          <w:sz w:val="20"/>
          <w:szCs w:val="20"/>
          <w:color w:val="auto"/>
        </w:rPr>
      </w:pPr>
    </w:p>
    <w:tbl>
      <w:tblPr>
        <w:tblLayout w:type="fixed"/>
        <w:tblInd w:w="2125" w:type="dxa"/>
        <w:tblCellMar>
          <w:top w:w="0" w:type="dxa"/>
          <w:left w:w="0" w:type="dxa"/>
          <w:bottom w:w="0" w:type="dxa"/>
          <w:right w:w="0" w:type="dxa"/>
        </w:tblCellMar>
      </w:tblPr>
      <w:tr>
        <w:trPr>
          <w:trHeight w:val="189"/>
        </w:trPr>
        <w:tc>
          <w:tcPr>
            <w:tcW w:w="4320" w:type="dxa"/>
            <w:vAlign w:val="bottom"/>
          </w:tcPr>
          <w:p>
            <w:pPr>
              <w:spacing w:after="0"/>
              <w:rPr>
                <w:sz w:val="20"/>
                <w:szCs w:val="20"/>
                <w:color w:val="auto"/>
              </w:rPr>
            </w:pPr>
            <w:r>
              <w:rPr>
                <w:rFonts w:ascii="Arial" w:cs="Arial" w:eastAsia="Arial" w:hAnsi="Arial"/>
                <w:sz w:val="16"/>
                <w:szCs w:val="16"/>
                <w:color w:val="auto"/>
              </w:rPr>
              <w:t>SEC registration fee</w:t>
            </w:r>
          </w:p>
        </w:tc>
        <w:tc>
          <w:tcPr>
            <w:tcW w:w="2680" w:type="dxa"/>
            <w:vAlign w:val="bottom"/>
          </w:tcPr>
          <w:p>
            <w:pPr>
              <w:jc w:val="right"/>
              <w:spacing w:after="0"/>
              <w:rPr>
                <w:sz w:val="20"/>
                <w:szCs w:val="20"/>
                <w:color w:val="auto"/>
              </w:rPr>
            </w:pPr>
            <w:r>
              <w:rPr>
                <w:rFonts w:ascii="Arial" w:cs="Arial" w:eastAsia="Arial" w:hAnsi="Arial"/>
                <w:sz w:val="16"/>
                <w:szCs w:val="16"/>
                <w:color w:val="auto"/>
              </w:rPr>
              <w:t>$3,245</w:t>
            </w:r>
          </w:p>
        </w:tc>
      </w:tr>
      <w:tr>
        <w:trPr>
          <w:trHeight w:val="189"/>
        </w:trPr>
        <w:tc>
          <w:tcPr>
            <w:tcW w:w="4320" w:type="dxa"/>
            <w:vAlign w:val="bottom"/>
          </w:tcPr>
          <w:p>
            <w:pPr>
              <w:spacing w:after="0"/>
              <w:rPr>
                <w:sz w:val="20"/>
                <w:szCs w:val="20"/>
                <w:color w:val="auto"/>
              </w:rPr>
            </w:pPr>
            <w:r>
              <w:rPr>
                <w:rFonts w:ascii="Arial" w:cs="Arial" w:eastAsia="Arial" w:hAnsi="Arial"/>
                <w:sz w:val="16"/>
                <w:szCs w:val="16"/>
                <w:color w:val="auto"/>
              </w:rPr>
              <w:t>Legal fees and expenses</w:t>
            </w:r>
          </w:p>
        </w:tc>
        <w:tc>
          <w:tcPr>
            <w:tcW w:w="2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320" w:type="dxa"/>
            <w:vAlign w:val="bottom"/>
          </w:tcPr>
          <w:p>
            <w:pPr>
              <w:spacing w:after="0"/>
              <w:rPr>
                <w:sz w:val="20"/>
                <w:szCs w:val="20"/>
                <w:color w:val="auto"/>
              </w:rPr>
            </w:pPr>
            <w:r>
              <w:rPr>
                <w:rFonts w:ascii="Arial" w:cs="Arial" w:eastAsia="Arial" w:hAnsi="Arial"/>
                <w:sz w:val="16"/>
                <w:szCs w:val="16"/>
                <w:color w:val="auto"/>
              </w:rPr>
              <w:t>Accounting fees and expenses</w:t>
            </w:r>
          </w:p>
        </w:tc>
        <w:tc>
          <w:tcPr>
            <w:tcW w:w="2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320" w:type="dxa"/>
            <w:vAlign w:val="bottom"/>
          </w:tcPr>
          <w:p>
            <w:pPr>
              <w:spacing w:after="0"/>
              <w:rPr>
                <w:sz w:val="20"/>
                <w:szCs w:val="20"/>
                <w:color w:val="auto"/>
              </w:rPr>
            </w:pPr>
            <w:r>
              <w:rPr>
                <w:rFonts w:ascii="Arial" w:cs="Arial" w:eastAsia="Arial" w:hAnsi="Arial"/>
                <w:sz w:val="16"/>
                <w:szCs w:val="16"/>
                <w:color w:val="auto"/>
              </w:rPr>
              <w:t>Printing fees and expenses</w:t>
            </w:r>
          </w:p>
        </w:tc>
        <w:tc>
          <w:tcPr>
            <w:tcW w:w="2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320" w:type="dxa"/>
            <w:vAlign w:val="bottom"/>
          </w:tcPr>
          <w:p>
            <w:pPr>
              <w:spacing w:after="0"/>
              <w:rPr>
                <w:sz w:val="20"/>
                <w:szCs w:val="20"/>
                <w:color w:val="auto"/>
              </w:rPr>
            </w:pPr>
            <w:r>
              <w:rPr>
                <w:rFonts w:ascii="Arial" w:cs="Arial" w:eastAsia="Arial" w:hAnsi="Arial"/>
                <w:sz w:val="16"/>
                <w:szCs w:val="16"/>
                <w:color w:val="auto"/>
              </w:rPr>
              <w:t>Transfer agent fees and expenses</w:t>
            </w:r>
          </w:p>
        </w:tc>
        <w:tc>
          <w:tcPr>
            <w:tcW w:w="2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4320" w:type="dxa"/>
            <w:vAlign w:val="bottom"/>
          </w:tcPr>
          <w:p>
            <w:pPr>
              <w:spacing w:after="0"/>
              <w:rPr>
                <w:sz w:val="20"/>
                <w:szCs w:val="20"/>
                <w:color w:val="auto"/>
              </w:rPr>
            </w:pPr>
            <w:r>
              <w:rPr>
                <w:rFonts w:ascii="Arial" w:cs="Arial" w:eastAsia="Arial" w:hAnsi="Arial"/>
                <w:sz w:val="16"/>
                <w:szCs w:val="16"/>
                <w:color w:val="auto"/>
              </w:rPr>
              <w:t>Miscellaneous expenses</w:t>
            </w:r>
          </w:p>
        </w:tc>
        <w:tc>
          <w:tcPr>
            <w:tcW w:w="2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78"/>
        </w:trPr>
        <w:tc>
          <w:tcPr>
            <w:tcW w:w="4320" w:type="dxa"/>
            <w:vAlign w:val="bottom"/>
          </w:tcPr>
          <w:p>
            <w:pPr>
              <w:spacing w:after="0"/>
              <w:rPr>
                <w:sz w:val="20"/>
                <w:szCs w:val="20"/>
                <w:color w:val="auto"/>
              </w:rPr>
            </w:pPr>
            <w:r>
              <w:rPr>
                <w:rFonts w:ascii="Arial" w:cs="Arial" w:eastAsia="Arial" w:hAnsi="Arial"/>
                <w:sz w:val="16"/>
                <w:szCs w:val="16"/>
                <w:color w:val="auto"/>
              </w:rPr>
              <w:t>Total Expenses</w:t>
            </w:r>
          </w:p>
        </w:tc>
        <w:tc>
          <w:tcPr>
            <w:tcW w:w="26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83" w:lineRule="exact"/>
        <w:rPr>
          <w:sz w:val="20"/>
          <w:szCs w:val="20"/>
          <w:color w:val="auto"/>
        </w:rPr>
      </w:pPr>
    </w:p>
    <w:p>
      <w:pPr>
        <w:ind w:left="1305" w:right="220" w:hanging="278"/>
        <w:spacing w:after="0" w:line="344" w:lineRule="auto"/>
        <w:tabs>
          <w:tab w:leader="none" w:pos="1305" w:val="left"/>
        </w:tabs>
        <w:numPr>
          <w:ilvl w:val="0"/>
          <w:numId w:val="23"/>
        </w:numPr>
        <w:rPr>
          <w:rFonts w:ascii="Arial" w:cs="Arial" w:eastAsia="Arial" w:hAnsi="Arial"/>
          <w:sz w:val="13"/>
          <w:szCs w:val="13"/>
          <w:color w:val="auto"/>
        </w:rPr>
      </w:pPr>
      <w:r>
        <w:rPr>
          <w:rFonts w:ascii="Arial" w:cs="Arial" w:eastAsia="Arial" w:hAnsi="Arial"/>
          <w:sz w:val="13"/>
          <w:szCs w:val="13"/>
          <w:color w:val="auto"/>
        </w:rPr>
        <w:t>Estimated expenses are not presently known. The foregoing sets forth the general categories of expenses (other than underwriting discounts and commissions) that we anticipate we will incur in connection with the offering of securities under this Registration Statement. An estimate of the aggregate expenses in connection with the issuance and distribution of the securities being offered will be included in the applicable prospectus supplement.</w:t>
      </w:r>
    </w:p>
    <w:p>
      <w:pPr>
        <w:spacing w:after="0" w:line="109" w:lineRule="exact"/>
        <w:rPr>
          <w:sz w:val="20"/>
          <w:szCs w:val="20"/>
          <w:color w:val="auto"/>
        </w:rPr>
      </w:pPr>
    </w:p>
    <w:p>
      <w:pPr>
        <w:ind w:left="745"/>
        <w:spacing w:after="0"/>
        <w:tabs>
          <w:tab w:leader="none" w:pos="1845" w:val="left"/>
        </w:tabs>
        <w:rPr>
          <w:sz w:val="20"/>
          <w:szCs w:val="20"/>
          <w:color w:val="auto"/>
        </w:rPr>
      </w:pPr>
      <w:r>
        <w:rPr>
          <w:rFonts w:ascii="Arial" w:cs="Arial" w:eastAsia="Arial" w:hAnsi="Arial"/>
          <w:sz w:val="16"/>
          <w:szCs w:val="16"/>
          <w:b w:val="1"/>
          <w:bCs w:val="1"/>
          <w:color w:val="auto"/>
        </w:rPr>
        <w:t>Item 15.</w:t>
      </w:r>
      <w:r>
        <w:rPr>
          <w:sz w:val="20"/>
          <w:szCs w:val="20"/>
          <w:color w:val="auto"/>
        </w:rPr>
        <w:tab/>
      </w:r>
      <w:r>
        <w:rPr>
          <w:rFonts w:ascii="Arial" w:cs="Arial" w:eastAsia="Arial" w:hAnsi="Arial"/>
          <w:sz w:val="13"/>
          <w:szCs w:val="13"/>
          <w:b w:val="1"/>
          <w:bCs w:val="1"/>
          <w:color w:val="auto"/>
        </w:rPr>
        <w:t>Indemnification of Directors and Officers.</w:t>
      </w:r>
    </w:p>
    <w:p>
      <w:pPr>
        <w:spacing w:after="0" w:line="198" w:lineRule="exact"/>
        <w:rPr>
          <w:sz w:val="20"/>
          <w:szCs w:val="20"/>
          <w:color w:val="auto"/>
        </w:rPr>
      </w:pPr>
    </w:p>
    <w:p>
      <w:pPr>
        <w:ind w:left="5" w:firstLine="751"/>
        <w:spacing w:after="0" w:line="267" w:lineRule="auto"/>
        <w:rPr>
          <w:sz w:val="20"/>
          <w:szCs w:val="20"/>
          <w:color w:val="auto"/>
        </w:rPr>
      </w:pPr>
      <w:r>
        <w:rPr>
          <w:rFonts w:ascii="Arial" w:cs="Arial" w:eastAsia="Arial" w:hAnsi="Arial"/>
          <w:sz w:val="15"/>
          <w:szCs w:val="15"/>
          <w:color w:val="auto"/>
        </w:rPr>
        <w:t>Section 145 of the Delaware General Corporation Law (“DGCL”) empowers a Delaware corporation to indemnify any persons who are, or are threatened to be made, parties to any threatened, pending or completed legal action, suit or proceeding, whether civil, criminal, administrative, or investigative (other than an action by or in the right of such corporation), by reason of the fact that such person was an officer or director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that such officer or director acted in good faith and in a manner he reasonably believed to be in or not opposed to the corporation’s best interests, and, for criminal proceedings, had no reasonable cause to believe his conduct was illegal. A Delaware corporation may indemnify officers and directors in an action by or in the right of the corporation under the same conditions, except that no indemnification is permitted without judicial approval if the officer or director is adjudged to be liable to the corporation in the performance of his duty. Where an officer or director is successful on the merits or otherwise in the defense of any action referred to above, the corporation must indemnify him against the expenses which such officer or director actually and reasonably incurred.</w:t>
      </w:r>
    </w:p>
    <w:p>
      <w:pPr>
        <w:spacing w:after="0" w:line="160" w:lineRule="exact"/>
        <w:rPr>
          <w:sz w:val="20"/>
          <w:szCs w:val="20"/>
          <w:color w:val="auto"/>
        </w:rPr>
      </w:pPr>
    </w:p>
    <w:p>
      <w:pPr>
        <w:ind w:left="5" w:right="240" w:firstLine="751"/>
        <w:spacing w:after="0" w:line="253" w:lineRule="auto"/>
        <w:rPr>
          <w:sz w:val="20"/>
          <w:szCs w:val="20"/>
          <w:color w:val="auto"/>
        </w:rPr>
      </w:pPr>
      <w:r>
        <w:rPr>
          <w:rFonts w:ascii="Arial" w:cs="Arial" w:eastAsia="Arial" w:hAnsi="Arial"/>
          <w:sz w:val="16"/>
          <w:szCs w:val="16"/>
          <w:color w:val="auto"/>
        </w:rPr>
        <w:t>Our certificate of incorporation and bylaws provide that we will indemnify, to the fullest extent permitted by the DGCL, each director or officer of our company, whom we refer to as an “Indemnitee.” Such indemnification includes payment by us, in advance of the final disposition of a civil or criminal action, suit, or proceeding, of expenses incurred by a director or officer in defending such action, suit, or proceeding upon receipt of any undertaking by or on behalf of such director or officer to repay such payment if it is ultimately determined that he or she is not entitled to be indemnified by us.</w:t>
      </w:r>
    </w:p>
    <w:p>
      <w:pPr>
        <w:spacing w:after="0" w:line="169" w:lineRule="exact"/>
        <w:rPr>
          <w:sz w:val="20"/>
          <w:szCs w:val="20"/>
          <w:color w:val="auto"/>
        </w:rPr>
      </w:pPr>
    </w:p>
    <w:p>
      <w:pPr>
        <w:ind w:left="5" w:firstLine="751"/>
        <w:spacing w:after="0" w:line="257" w:lineRule="auto"/>
        <w:rPr>
          <w:sz w:val="20"/>
          <w:szCs w:val="20"/>
          <w:color w:val="auto"/>
        </w:rPr>
      </w:pPr>
      <w:r>
        <w:rPr>
          <w:rFonts w:ascii="Arial" w:cs="Arial" w:eastAsia="Arial" w:hAnsi="Arial"/>
          <w:sz w:val="16"/>
          <w:szCs w:val="16"/>
          <w:color w:val="auto"/>
        </w:rPr>
        <w:t>Under Delaware law, to the extent that an Indemnitee is successful on the merits in defense of a suit or proceeding brought against him or her by reason of the fact that he or she is or was a director, officer, or agent of our company, or serves or served any other enterprise or organization at the request of our company, we shall indemnify him or her against expenses (including attorneys’ fees) actually and reasonably incurred in connection with such action.</w:t>
      </w:r>
    </w:p>
    <w:p>
      <w:pPr>
        <w:spacing w:after="0" w:line="165" w:lineRule="exact"/>
        <w:rPr>
          <w:sz w:val="20"/>
          <w:szCs w:val="20"/>
          <w:color w:val="auto"/>
        </w:rPr>
      </w:pPr>
    </w:p>
    <w:p>
      <w:pPr>
        <w:ind w:left="745"/>
        <w:spacing w:after="0"/>
        <w:rPr>
          <w:sz w:val="20"/>
          <w:szCs w:val="20"/>
          <w:color w:val="auto"/>
        </w:rPr>
      </w:pPr>
      <w:r>
        <w:rPr>
          <w:rFonts w:ascii="Arial" w:cs="Arial" w:eastAsia="Arial" w:hAnsi="Arial"/>
          <w:sz w:val="13"/>
          <w:szCs w:val="13"/>
          <w:color w:val="auto"/>
        </w:rPr>
        <w:t>If unsuccessful in defense of a third-party civil suit or a criminal suit, or if such a suit is settled, an Indemnitee may be indemnified under Delaware law against both</w:t>
      </w:r>
    </w:p>
    <w:p>
      <w:pPr>
        <w:spacing w:after="0" w:line="51" w:lineRule="exact"/>
        <w:rPr>
          <w:sz w:val="20"/>
          <w:szCs w:val="20"/>
          <w:color w:val="auto"/>
        </w:rPr>
      </w:pPr>
    </w:p>
    <w:p>
      <w:pPr>
        <w:ind w:left="5" w:right="140" w:hanging="5"/>
        <w:spacing w:after="0" w:line="366" w:lineRule="auto"/>
        <w:tabs>
          <w:tab w:leader="none" w:pos="193" w:val="left"/>
        </w:tabs>
        <w:numPr>
          <w:ilvl w:val="0"/>
          <w:numId w:val="24"/>
        </w:numPr>
        <w:rPr>
          <w:rFonts w:ascii="Arial" w:cs="Arial" w:eastAsia="Arial" w:hAnsi="Arial"/>
          <w:sz w:val="13"/>
          <w:szCs w:val="13"/>
          <w:color w:val="auto"/>
        </w:rPr>
      </w:pPr>
      <w:r>
        <w:rPr>
          <w:rFonts w:ascii="Arial" w:cs="Arial" w:eastAsia="Arial" w:hAnsi="Arial"/>
          <w:sz w:val="13"/>
          <w:szCs w:val="13"/>
          <w:color w:val="auto"/>
        </w:rPr>
        <w:t>expenses, including attorney’s fees, and (ii) judgments, fines, and amounts paid in settlement if he or she acted in good faith and in a manner he or she reasonably believed to be in, or not opposed to, the best interests of our company, and, with respect to any criminal action, had no reasonable cause to believe his or her conduct was unlawful.</w:t>
      </w:r>
    </w:p>
    <w:p>
      <w:pPr>
        <w:spacing w:after="0" w:line="100" w:lineRule="exact"/>
        <w:rPr>
          <w:sz w:val="20"/>
          <w:szCs w:val="20"/>
          <w:color w:val="auto"/>
        </w:rPr>
      </w:pPr>
    </w:p>
    <w:p>
      <w:pPr>
        <w:ind w:left="5" w:right="200" w:firstLine="751"/>
        <w:spacing w:after="0" w:line="253" w:lineRule="auto"/>
        <w:rPr>
          <w:sz w:val="20"/>
          <w:szCs w:val="20"/>
          <w:color w:val="auto"/>
        </w:rPr>
      </w:pPr>
      <w:r>
        <w:rPr>
          <w:rFonts w:ascii="Arial" w:cs="Arial" w:eastAsia="Arial" w:hAnsi="Arial"/>
          <w:sz w:val="16"/>
          <w:szCs w:val="16"/>
          <w:color w:val="auto"/>
        </w:rPr>
        <w:t>If unsuccessful in defense of a suit brought by or in the right of our company, where the suit is settled, an Indemnitee may be indemnified under Delaware law only against expenses (including attorneys’ fees) actually and reasonably incurred in the defense or settlement of the suit if he or she acted in good faith and in a manner he or she reasonably believed to be in, or not opposed to, the best interests of our company except that if the Indemnitee is adjudged to be liable for negligence or misconduct in the performance of his</w:t>
      </w:r>
    </w:p>
    <w:p>
      <w:pPr>
        <w:spacing w:after="0" w:line="169"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191135</wp:posOffset>
            </wp:positionV>
            <wp:extent cx="716470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45"/>
          </w:cols>
          <w:pgMar w:left="315" w:top="312" w:right="339" w:bottom="1440" w:gutter="0" w:footer="0" w:header="0"/>
        </w:sectPr>
      </w:pPr>
    </w:p>
    <w:bookmarkStart w:id="28" w:name="page29"/>
    <w:bookmarkEnd w:id="28"/>
    <w:p>
      <w:pPr>
        <w:spacing w:after="0" w:line="267" w:lineRule="auto"/>
        <w:rPr>
          <w:sz w:val="20"/>
          <w:szCs w:val="20"/>
          <w:color w:val="auto"/>
        </w:rPr>
      </w:pPr>
      <w:r>
        <w:rPr>
          <w:rFonts w:ascii="Arial" w:cs="Arial" w:eastAsia="Arial" w:hAnsi="Arial"/>
          <w:sz w:val="16"/>
          <w:szCs w:val="16"/>
          <w:color w:val="auto"/>
        </w:rPr>
        <w:t>or her duty to our company, he or she cannot be made whole even for expenses unless a court determines that he or she is fully and reasonably entitled to indemnification for such expenses.</w:t>
      </w:r>
    </w:p>
    <w:p>
      <w:pPr>
        <w:spacing w:after="0" w:line="158" w:lineRule="exact"/>
        <w:rPr>
          <w:sz w:val="20"/>
          <w:szCs w:val="20"/>
          <w:color w:val="auto"/>
        </w:rPr>
      </w:pPr>
    </w:p>
    <w:p>
      <w:pPr>
        <w:ind w:right="160" w:firstLine="751"/>
        <w:spacing w:after="0" w:line="253" w:lineRule="auto"/>
        <w:rPr>
          <w:sz w:val="20"/>
          <w:szCs w:val="20"/>
          <w:color w:val="auto"/>
        </w:rPr>
      </w:pPr>
      <w:r>
        <w:rPr>
          <w:rFonts w:ascii="Arial" w:cs="Arial" w:eastAsia="Arial" w:hAnsi="Arial"/>
          <w:sz w:val="16"/>
          <w:szCs w:val="16"/>
          <w:color w:val="auto"/>
        </w:rPr>
        <w:t>Also under Delaware law, expenses incurred by an officer or director in defending a civil or criminal action, suit, or proceeding may be paid by our company in advance of the final disposition of the suit, action, or proceeding upon receipt of an undertaking by or on behalf of the officer or director to repay such amount if it is ultimately determined that he or she is not entitled to be indemnified by our company. We may also advance expenses incurred by other employees and agents of our company upon such terms and conditions, if any, that our board of directors of the registrant deems appropriate.</w:t>
      </w:r>
    </w:p>
    <w:p>
      <w:pPr>
        <w:spacing w:after="0" w:line="169" w:lineRule="exact"/>
        <w:rPr>
          <w:sz w:val="20"/>
          <w:szCs w:val="20"/>
          <w:color w:val="auto"/>
        </w:rPr>
      </w:pPr>
    </w:p>
    <w:p>
      <w:pPr>
        <w:ind w:right="20" w:firstLine="751"/>
        <w:spacing w:after="0" w:line="267" w:lineRule="auto"/>
        <w:rPr>
          <w:sz w:val="20"/>
          <w:szCs w:val="20"/>
          <w:color w:val="auto"/>
        </w:rPr>
      </w:pPr>
      <w:r>
        <w:rPr>
          <w:rFonts w:ascii="Arial" w:cs="Arial" w:eastAsia="Arial" w:hAnsi="Arial"/>
          <w:sz w:val="16"/>
          <w:szCs w:val="16"/>
          <w:color w:val="auto"/>
        </w:rPr>
        <w:t>Reference is made to “Undertakings,” below, for the registrant’s undertakings in this Registration Statement with respect to indemnification of liabilities arising under the Securities Act of 1933, as amended.</w:t>
      </w:r>
    </w:p>
    <w:p>
      <w:pPr>
        <w:spacing w:after="0" w:line="154" w:lineRule="exact"/>
        <w:rPr>
          <w:sz w:val="20"/>
          <w:szCs w:val="20"/>
          <w:color w:val="auto"/>
        </w:rPr>
      </w:pPr>
    </w:p>
    <w:p>
      <w:pPr>
        <w:ind w:left="740"/>
        <w:spacing w:after="0"/>
        <w:tabs>
          <w:tab w:leader="none" w:pos="1840" w:val="left"/>
        </w:tabs>
        <w:rPr>
          <w:sz w:val="20"/>
          <w:szCs w:val="20"/>
          <w:color w:val="auto"/>
        </w:rPr>
      </w:pPr>
      <w:r>
        <w:rPr>
          <w:rFonts w:ascii="Arial" w:cs="Arial" w:eastAsia="Arial" w:hAnsi="Arial"/>
          <w:sz w:val="16"/>
          <w:szCs w:val="16"/>
          <w:b w:val="1"/>
          <w:bCs w:val="1"/>
          <w:color w:val="auto"/>
        </w:rPr>
        <w:t>Item 16.</w:t>
      </w:r>
      <w:r>
        <w:rPr>
          <w:sz w:val="20"/>
          <w:szCs w:val="20"/>
          <w:color w:val="auto"/>
        </w:rPr>
        <w:tab/>
      </w:r>
      <w:r>
        <w:rPr>
          <w:rFonts w:ascii="Arial" w:cs="Arial" w:eastAsia="Arial" w:hAnsi="Arial"/>
          <w:sz w:val="13"/>
          <w:szCs w:val="13"/>
          <w:b w:val="1"/>
          <w:bCs w:val="1"/>
          <w:color w:val="auto"/>
        </w:rPr>
        <w:t>Exhibits.</w:t>
      </w:r>
    </w:p>
    <w:p>
      <w:pPr>
        <w:spacing w:after="0" w:line="198"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The exhibits listed in the Exhibit Index below are filed as part of this Registration Statement.</w:t>
      </w:r>
    </w:p>
    <w:p>
      <w:pPr>
        <w:spacing w:after="0" w:line="190" w:lineRule="exact"/>
        <w:rPr>
          <w:sz w:val="20"/>
          <w:szCs w:val="20"/>
          <w:color w:val="auto"/>
        </w:rPr>
      </w:pPr>
    </w:p>
    <w:p>
      <w:pPr>
        <w:ind w:left="740"/>
        <w:spacing w:after="0"/>
        <w:tabs>
          <w:tab w:leader="none" w:pos="1840" w:val="left"/>
        </w:tabs>
        <w:rPr>
          <w:sz w:val="20"/>
          <w:szCs w:val="20"/>
          <w:color w:val="auto"/>
        </w:rPr>
      </w:pPr>
      <w:r>
        <w:rPr>
          <w:rFonts w:ascii="Arial" w:cs="Arial" w:eastAsia="Arial" w:hAnsi="Arial"/>
          <w:sz w:val="16"/>
          <w:szCs w:val="16"/>
          <w:b w:val="1"/>
          <w:bCs w:val="1"/>
          <w:color w:val="auto"/>
        </w:rPr>
        <w:t>Item 17.</w:t>
      </w:r>
      <w:r>
        <w:rPr>
          <w:sz w:val="20"/>
          <w:szCs w:val="20"/>
          <w:color w:val="auto"/>
        </w:rPr>
        <w:tab/>
      </w:r>
      <w:r>
        <w:rPr>
          <w:rFonts w:ascii="Arial" w:cs="Arial" w:eastAsia="Arial" w:hAnsi="Arial"/>
          <w:sz w:val="13"/>
          <w:szCs w:val="13"/>
          <w:b w:val="1"/>
          <w:bCs w:val="1"/>
          <w:color w:val="auto"/>
        </w:rPr>
        <w:t>Undertakings.</w:t>
      </w:r>
    </w:p>
    <w:p>
      <w:pPr>
        <w:spacing w:after="0" w:line="198"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The undersigned Registrant hereby undertakes:</w:t>
      </w:r>
    </w:p>
    <w:p>
      <w:pPr>
        <w:spacing w:after="0" w:line="194" w:lineRule="exact"/>
        <w:rPr>
          <w:sz w:val="20"/>
          <w:szCs w:val="20"/>
          <w:color w:val="auto"/>
        </w:rPr>
      </w:pPr>
    </w:p>
    <w:p>
      <w:pPr>
        <w:ind w:left="1500" w:hanging="755"/>
        <w:spacing w:after="0"/>
        <w:tabs>
          <w:tab w:leader="none" w:pos="1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194" w:lineRule="exact"/>
        <w:rPr>
          <w:rFonts w:ascii="Arial" w:cs="Arial" w:eastAsia="Arial" w:hAnsi="Arial"/>
          <w:sz w:val="16"/>
          <w:szCs w:val="16"/>
          <w:color w:val="auto"/>
        </w:rPr>
      </w:pPr>
    </w:p>
    <w:p>
      <w:pPr>
        <w:ind w:left="2240" w:hanging="745"/>
        <w:spacing w:after="0"/>
        <w:tabs>
          <w:tab w:leader="none" w:pos="22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To include any prospectus required by Section 10(a)(3) of the Securities Act of 1933, as amended (the “Securities Act”);</w:t>
      </w:r>
    </w:p>
    <w:p>
      <w:pPr>
        <w:spacing w:after="0" w:line="194" w:lineRule="exact"/>
        <w:rPr>
          <w:rFonts w:ascii="Arial" w:cs="Arial" w:eastAsia="Arial" w:hAnsi="Arial"/>
          <w:sz w:val="16"/>
          <w:szCs w:val="16"/>
          <w:color w:val="auto"/>
        </w:rPr>
      </w:pPr>
    </w:p>
    <w:p>
      <w:pPr>
        <w:ind w:left="2240" w:right="80" w:hanging="745"/>
        <w:spacing w:after="0" w:line="269" w:lineRule="auto"/>
        <w:tabs>
          <w:tab w:leader="none" w:pos="2240" w:val="left"/>
        </w:tabs>
        <w:numPr>
          <w:ilvl w:val="1"/>
          <w:numId w:val="25"/>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58" w:lineRule="exact"/>
        <w:rPr>
          <w:rFonts w:ascii="Arial" w:cs="Arial" w:eastAsia="Arial" w:hAnsi="Arial"/>
          <w:sz w:val="15"/>
          <w:szCs w:val="15"/>
          <w:color w:val="auto"/>
        </w:rPr>
      </w:pPr>
    </w:p>
    <w:p>
      <w:pPr>
        <w:ind w:left="2240" w:right="360" w:hanging="745"/>
        <w:spacing w:after="0" w:line="267" w:lineRule="auto"/>
        <w:tabs>
          <w:tab w:leader="none" w:pos="22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To include any material information with respect to the plan of distribution not previously disclosed in this Registration Statement or any material change to such information in this Registration Statement;</w:t>
      </w:r>
    </w:p>
    <w:p>
      <w:pPr>
        <w:spacing w:after="0" w:line="158"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(1)(i), (1)(ii) and (1)(iii) do not apply if the information required to be included in a post-effective amendment by those paragraphs is</w:t>
      </w:r>
      <w:r>
        <w:rPr>
          <w:rFonts w:ascii="Arial" w:cs="Arial" w:eastAsia="Arial" w:hAnsi="Arial"/>
          <w:sz w:val="16"/>
          <w:szCs w:val="16"/>
          <w:i w:val="1"/>
          <w:iCs w:val="1"/>
          <w:color w:val="auto"/>
        </w:rPr>
        <w:t xml:space="preserve"> </w:t>
      </w:r>
      <w:r>
        <w:rPr>
          <w:rFonts w:ascii="Arial" w:cs="Arial" w:eastAsia="Arial" w:hAnsi="Arial"/>
          <w:sz w:val="16"/>
          <w:szCs w:val="16"/>
          <w:color w:val="auto"/>
        </w:rPr>
        <w:t>contained in periodic reports filed with or furnished to the Commission by the Registrant pursuant to Section 13 or Section 15(d) of the Securities Exchange Act of 1934, as amended (the “Exchange Act”), that are incorporated by reference in this Registration Statement, or is contained in a form of prospectus filed pursuant to Rule 424(b) that is part of the Registration Statement.</w:t>
      </w:r>
    </w:p>
    <w:p>
      <w:pPr>
        <w:spacing w:after="0" w:line="169" w:lineRule="exact"/>
        <w:rPr>
          <w:sz w:val="20"/>
          <w:szCs w:val="20"/>
          <w:color w:val="auto"/>
        </w:rPr>
      </w:pPr>
    </w:p>
    <w:p>
      <w:pPr>
        <w:ind w:right="80" w:firstLine="745"/>
        <w:spacing w:after="0" w:line="301" w:lineRule="auto"/>
        <w:tabs>
          <w:tab w:leader="none" w:pos="1501" w:val="left"/>
        </w:tabs>
        <w:numPr>
          <w:ilvl w:val="0"/>
          <w:numId w:val="26"/>
        </w:numPr>
        <w:rPr>
          <w:rFonts w:ascii="Arial" w:cs="Arial" w:eastAsia="Arial" w:hAnsi="Arial"/>
          <w:sz w:val="15"/>
          <w:szCs w:val="15"/>
          <w:color w:val="auto"/>
        </w:rPr>
      </w:pPr>
      <w:r>
        <w:rPr>
          <w:rFonts w:ascii="Arial" w:cs="Arial" w:eastAsia="Arial" w:hAnsi="Arial"/>
          <w:sz w:val="15"/>
          <w:szCs w:val="15"/>
          <w:color w:val="auto"/>
        </w:rPr>
        <w:t xml:space="preserve">That, for the purposes of determining any liability under the Securities Act, each such post-effective amendment shall be deemed to be a new registration statement relating to the securities offered therein, and the offering of such securities at the time shall be deemed to be the initial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offering thereof.</w:t>
      </w:r>
    </w:p>
    <w:p>
      <w:pPr>
        <w:spacing w:after="0" w:line="134" w:lineRule="exact"/>
        <w:rPr>
          <w:rFonts w:ascii="Arial" w:cs="Arial" w:eastAsia="Arial" w:hAnsi="Arial"/>
          <w:sz w:val="15"/>
          <w:szCs w:val="15"/>
          <w:color w:val="auto"/>
        </w:rPr>
      </w:pPr>
    </w:p>
    <w:p>
      <w:pPr>
        <w:ind w:left="1500" w:hanging="755"/>
        <w:spacing w:after="0"/>
        <w:tabs>
          <w:tab w:leader="none" w:pos="1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To remove from registration by means of a post-effective amendment any of the securities being registered which remain unsold at the termination of the</w:t>
      </w:r>
    </w:p>
    <w:p>
      <w:pPr>
        <w:spacing w:after="0" w:line="5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6"/>
          <w:szCs w:val="16"/>
          <w:color w:val="auto"/>
        </w:rPr>
        <w:t>offering.</w:t>
      </w:r>
    </w:p>
    <w:p>
      <w:pPr>
        <w:spacing w:after="0" w:line="182" w:lineRule="exact"/>
        <w:rPr>
          <w:rFonts w:ascii="Arial" w:cs="Arial" w:eastAsia="Arial" w:hAnsi="Arial"/>
          <w:sz w:val="13"/>
          <w:szCs w:val="13"/>
          <w:color w:val="auto"/>
        </w:rPr>
      </w:pPr>
    </w:p>
    <w:p>
      <w:pPr>
        <w:ind w:left="1500" w:hanging="755"/>
        <w:spacing w:after="0"/>
        <w:tabs>
          <w:tab w:leader="none" w:pos="1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to any purchaser:</w:t>
      </w:r>
    </w:p>
    <w:p>
      <w:pPr>
        <w:spacing w:after="0" w:line="194" w:lineRule="exact"/>
        <w:rPr>
          <w:rFonts w:ascii="Arial" w:cs="Arial" w:eastAsia="Arial" w:hAnsi="Arial"/>
          <w:sz w:val="16"/>
          <w:szCs w:val="16"/>
          <w:color w:val="auto"/>
        </w:rPr>
      </w:pPr>
    </w:p>
    <w:p>
      <w:pPr>
        <w:ind w:left="740" w:right="460" w:firstLine="706"/>
        <w:spacing w:after="0" w:line="267" w:lineRule="auto"/>
        <w:tabs>
          <w:tab w:leader="none" w:pos="1629" w:val="left"/>
        </w:tabs>
        <w:numPr>
          <w:ilvl w:val="1"/>
          <w:numId w:val="26"/>
        </w:numPr>
        <w:rPr>
          <w:rFonts w:ascii="Arial" w:cs="Arial" w:eastAsia="Arial" w:hAnsi="Arial"/>
          <w:sz w:val="16"/>
          <w:szCs w:val="16"/>
          <w:color w:val="auto"/>
        </w:rPr>
      </w:pPr>
      <w:r>
        <w:rPr>
          <w:rFonts w:ascii="Arial" w:cs="Arial" w:eastAsia="Arial" w:hAnsi="Arial"/>
          <w:sz w:val="16"/>
          <w:szCs w:val="16"/>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57" w:lineRule="exact"/>
        <w:rPr>
          <w:rFonts w:ascii="Arial" w:cs="Arial" w:eastAsia="Arial" w:hAnsi="Arial"/>
          <w:sz w:val="16"/>
          <w:szCs w:val="16"/>
          <w:color w:val="auto"/>
        </w:rPr>
      </w:pPr>
    </w:p>
    <w:p>
      <w:pPr>
        <w:ind w:left="740" w:right="60" w:firstLine="706"/>
        <w:spacing w:after="0" w:line="267" w:lineRule="auto"/>
        <w:tabs>
          <w:tab w:leader="none" w:pos="1673" w:val="left"/>
        </w:tabs>
        <w:numPr>
          <w:ilvl w:val="1"/>
          <w:numId w:val="26"/>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191135</wp:posOffset>
            </wp:positionV>
            <wp:extent cx="716470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20"/>
          </w:cols>
          <w:pgMar w:left="320" w:top="316" w:right="359" w:bottom="1440" w:gutter="0" w:footer="0" w:header="0"/>
        </w:sectPr>
      </w:pPr>
    </w:p>
    <w:bookmarkStart w:id="29" w:name="page30"/>
    <w:bookmarkEnd w:id="29"/>
    <w:p>
      <w:pPr>
        <w:ind w:left="740"/>
        <w:spacing w:after="0" w:line="315" w:lineRule="auto"/>
        <w:rPr>
          <w:sz w:val="20"/>
          <w:szCs w:val="20"/>
          <w:color w:val="auto"/>
        </w:rPr>
      </w:pPr>
      <w:r>
        <w:rPr>
          <w:rFonts w:ascii="Arial" w:cs="Arial" w:eastAsia="Arial" w:hAnsi="Arial"/>
          <w:sz w:val="13"/>
          <w:szCs w:val="13"/>
          <w:color w:val="auto"/>
        </w:rPr>
        <w:t xml:space="preserve">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3"/>
          <w:szCs w:val="13"/>
          <w:i w:val="1"/>
          <w:iCs w:val="1"/>
          <w:color w:val="auto"/>
        </w:rPr>
        <w:t>bona fide</w:t>
      </w:r>
      <w:r>
        <w:rPr>
          <w:rFonts w:ascii="Arial" w:cs="Arial" w:eastAsia="Arial" w:hAnsi="Arial"/>
          <w:sz w:val="13"/>
          <w:szCs w:val="13"/>
          <w:color w:val="auto"/>
        </w:rPr>
        <w:t xml:space="preserve"> offering thereof. </w:t>
      </w:r>
      <w:r>
        <w:rPr>
          <w:rFonts w:ascii="Arial" w:cs="Arial" w:eastAsia="Arial" w:hAnsi="Arial"/>
          <w:sz w:val="13"/>
          <w:szCs w:val="13"/>
          <w:i w:val="1"/>
          <w:iCs w:val="1"/>
          <w:color w:val="auto"/>
        </w:rPr>
        <w:t>Provided, however</w:t>
      </w:r>
      <w:r>
        <w:rPr>
          <w:rFonts w:ascii="Arial" w:cs="Arial" w:eastAsia="Arial" w:hAnsi="Arial"/>
          <w:sz w:val="13"/>
          <w:szCs w:val="13"/>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32" w:lineRule="exact"/>
        <w:rPr>
          <w:sz w:val="20"/>
          <w:szCs w:val="20"/>
          <w:color w:val="auto"/>
        </w:rPr>
      </w:pPr>
    </w:p>
    <w:p>
      <w:pPr>
        <w:ind w:left="1500" w:hanging="755"/>
        <w:spacing w:after="0"/>
        <w:tabs>
          <w:tab w:leader="none" w:pos="15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That, for the purpose of determining liability of the Registrant under the Securities Act to any purchaser in the initial distribution of the securities:</w:t>
      </w:r>
    </w:p>
    <w:p>
      <w:pPr>
        <w:spacing w:after="0" w:line="206" w:lineRule="exact"/>
        <w:rPr>
          <w:sz w:val="20"/>
          <w:szCs w:val="20"/>
          <w:color w:val="auto"/>
        </w:rPr>
      </w:pPr>
    </w:p>
    <w:p>
      <w:pPr>
        <w:ind w:right="60" w:firstLine="751"/>
        <w:spacing w:after="0" w:line="282" w:lineRule="auto"/>
        <w:rPr>
          <w:sz w:val="20"/>
          <w:szCs w:val="20"/>
          <w:color w:val="auto"/>
        </w:rPr>
      </w:pPr>
      <w:r>
        <w:rPr>
          <w:rFonts w:ascii="Arial" w:cs="Arial" w:eastAsia="Arial" w:hAnsi="Arial"/>
          <w:sz w:val="15"/>
          <w:szCs w:val="15"/>
          <w:color w:val="auto"/>
        </w:rPr>
        <w:t>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such undersigned Registrant will be a seller to the purchaser and will be considered to offer or sell such securities to such purchaser:</w:t>
      </w:r>
    </w:p>
    <w:p>
      <w:pPr>
        <w:spacing w:after="0" w:line="148" w:lineRule="exact"/>
        <w:rPr>
          <w:sz w:val="20"/>
          <w:szCs w:val="20"/>
          <w:color w:val="auto"/>
        </w:rPr>
      </w:pPr>
    </w:p>
    <w:p>
      <w:pPr>
        <w:ind w:left="2160" w:hanging="714"/>
        <w:spacing w:after="0"/>
        <w:tabs>
          <w:tab w:leader="none" w:pos="21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Any preliminary prospectus or prospectus of the undersigned Registrant relating to the offering required to be filed pursuant to Rule 424;</w:t>
      </w:r>
    </w:p>
    <w:p>
      <w:pPr>
        <w:spacing w:after="0" w:line="205" w:lineRule="exact"/>
        <w:rPr>
          <w:rFonts w:ascii="Arial" w:cs="Arial" w:eastAsia="Arial" w:hAnsi="Arial"/>
          <w:sz w:val="15"/>
          <w:szCs w:val="15"/>
          <w:color w:val="auto"/>
        </w:rPr>
      </w:pPr>
    </w:p>
    <w:p>
      <w:pPr>
        <w:ind w:left="740" w:right="520" w:firstLine="706"/>
        <w:spacing w:after="0" w:line="267" w:lineRule="auto"/>
        <w:tabs>
          <w:tab w:leader="none" w:pos="22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free writing prospectus relating to the offering prepared by or on behalf of the undersigned Registrant or used or referred to by the undersigned Registrant;</w:t>
      </w:r>
    </w:p>
    <w:p>
      <w:pPr>
        <w:spacing w:after="0" w:line="157" w:lineRule="exact"/>
        <w:rPr>
          <w:rFonts w:ascii="Arial" w:cs="Arial" w:eastAsia="Arial" w:hAnsi="Arial"/>
          <w:sz w:val="16"/>
          <w:szCs w:val="16"/>
          <w:color w:val="auto"/>
        </w:rPr>
      </w:pPr>
    </w:p>
    <w:p>
      <w:pPr>
        <w:ind w:left="740" w:right="160" w:firstLine="706"/>
        <w:spacing w:after="0" w:line="267" w:lineRule="auto"/>
        <w:tabs>
          <w:tab w:leader="none" w:pos="2244"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portion of any other free writing prospectus relating to the offering containing material information about the undersigned Registrant or its securities provided by or on behalf of the undersigned Registrant; and</w:t>
      </w:r>
    </w:p>
    <w:p>
      <w:pPr>
        <w:spacing w:after="0" w:line="157" w:lineRule="exact"/>
        <w:rPr>
          <w:rFonts w:ascii="Arial" w:cs="Arial" w:eastAsia="Arial" w:hAnsi="Arial"/>
          <w:sz w:val="16"/>
          <w:szCs w:val="16"/>
          <w:color w:val="auto"/>
        </w:rPr>
      </w:pPr>
    </w:p>
    <w:p>
      <w:pPr>
        <w:ind w:left="2240" w:hanging="794"/>
        <w:spacing w:after="0"/>
        <w:tabs>
          <w:tab w:leader="none" w:pos="22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other communication that is an offer in the offering made by the undersigned Registrant to the purchaser.</w:t>
      </w:r>
    </w:p>
    <w:p>
      <w:pPr>
        <w:spacing w:after="0" w:line="194" w:lineRule="exact"/>
        <w:rPr>
          <w:sz w:val="20"/>
          <w:szCs w:val="20"/>
          <w:color w:val="auto"/>
        </w:rPr>
      </w:pPr>
    </w:p>
    <w:p>
      <w:pPr>
        <w:ind w:right="40" w:firstLine="751"/>
        <w:spacing w:after="0" w:line="282" w:lineRule="auto"/>
        <w:rPr>
          <w:sz w:val="20"/>
          <w:szCs w:val="20"/>
          <w:color w:val="auto"/>
        </w:rPr>
      </w:pPr>
      <w:r>
        <w:rPr>
          <w:rFonts w:ascii="Arial" w:cs="Arial" w:eastAsia="Arial" w:hAnsi="Arial"/>
          <w:sz w:val="15"/>
          <w:szCs w:val="15"/>
          <w:color w:val="auto"/>
        </w:rPr>
        <w:t xml:space="preserve">The undersigned Registrant hereby undertakes that, for purposes of determining any liability under the Securities Act, each filing of the Registrant’s annual report pursuant to Section 13(a) or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offering thereof.</w:t>
      </w:r>
    </w:p>
    <w:p>
      <w:pPr>
        <w:spacing w:after="0" w:line="148" w:lineRule="exact"/>
        <w:rPr>
          <w:sz w:val="20"/>
          <w:szCs w:val="20"/>
          <w:color w:val="auto"/>
        </w:rPr>
      </w:pPr>
    </w:p>
    <w:p>
      <w:pPr>
        <w:ind w:right="20" w:firstLine="751"/>
        <w:spacing w:after="0" w:line="269" w:lineRule="auto"/>
        <w:rPr>
          <w:sz w:val="20"/>
          <w:szCs w:val="20"/>
          <w:color w:val="auto"/>
        </w:rPr>
      </w:pPr>
      <w:r>
        <w:rPr>
          <w:rFonts w:ascii="Arial" w:cs="Arial" w:eastAsia="Arial" w:hAnsi="Arial"/>
          <w:sz w:val="15"/>
          <w:szCs w:val="15"/>
          <w:color w:val="auto"/>
        </w:rPr>
        <w:t>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191135</wp:posOffset>
            </wp:positionV>
            <wp:extent cx="716470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20"/>
          </w:cols>
          <w:pgMar w:left="320" w:top="316" w:right="359" w:bottom="1440" w:gutter="0" w:footer="0" w:header="0"/>
        </w:sectPr>
      </w:pPr>
    </w:p>
    <w:bookmarkStart w:id="30" w:name="page31"/>
    <w:bookmarkEnd w:id="30"/>
    <w:p>
      <w:pPr>
        <w:jc w:val="center"/>
        <w:ind w:right="-44"/>
        <w:spacing w:after="0"/>
        <w:rPr>
          <w:sz w:val="20"/>
          <w:szCs w:val="20"/>
          <w:color w:val="auto"/>
        </w:rPr>
      </w:pPr>
      <w:r>
        <w:rPr>
          <w:rFonts w:ascii="Arial" w:cs="Arial" w:eastAsia="Arial" w:hAnsi="Arial"/>
          <w:sz w:val="16"/>
          <w:szCs w:val="16"/>
          <w:b w:val="1"/>
          <w:bCs w:val="1"/>
          <w:color w:val="auto"/>
        </w:rPr>
        <w:t>EXHIBIT INDEX</w:t>
      </w:r>
    </w:p>
    <w:p>
      <w:pPr>
        <w:spacing w:after="0" w:line="194" w:lineRule="exact"/>
        <w:rPr>
          <w:sz w:val="20"/>
          <w:szCs w:val="20"/>
          <w:color w:val="auto"/>
        </w:rPr>
      </w:pPr>
    </w:p>
    <w:p>
      <w:pPr>
        <w:ind w:left="1525"/>
        <w:spacing w:after="0"/>
        <w:rPr>
          <w:sz w:val="20"/>
          <w:szCs w:val="20"/>
          <w:color w:val="auto"/>
        </w:rPr>
      </w:pPr>
      <w:r>
        <w:rPr>
          <w:rFonts w:ascii="Arial" w:cs="Arial" w:eastAsia="Arial" w:hAnsi="Arial"/>
          <w:sz w:val="16"/>
          <w:szCs w:val="16"/>
          <w:b w:val="1"/>
          <w:bCs w:val="1"/>
          <w:color w:val="auto"/>
        </w:rPr>
        <w:t>EXHIBIT</w:t>
      </w:r>
    </w:p>
    <w:p>
      <w:pPr>
        <w:spacing w:after="0" w:line="20" w:lineRule="exact"/>
        <w:rPr>
          <w:sz w:val="20"/>
          <w:szCs w:val="20"/>
          <w:color w:val="auto"/>
        </w:rPr>
      </w:pPr>
    </w:p>
    <w:p>
      <w:pPr>
        <w:ind w:left="1505"/>
        <w:spacing w:after="0"/>
        <w:rPr>
          <w:sz w:val="20"/>
          <w:szCs w:val="20"/>
          <w:color w:val="auto"/>
        </w:rPr>
      </w:pPr>
      <w:r>
        <w:rPr>
          <w:rFonts w:ascii="Arial" w:cs="Arial" w:eastAsia="Arial" w:hAnsi="Arial"/>
          <w:sz w:val="16"/>
          <w:szCs w:val="16"/>
          <w:b w:val="1"/>
          <w:bCs w:val="1"/>
          <w:u w:val="single" w:color="auto"/>
          <w:color w:val="auto"/>
        </w:rPr>
        <w:t>NUMBERDESCRIPTION</w:t>
      </w:r>
    </w:p>
    <w:p>
      <w:pPr>
        <w:spacing w:after="0" w:line="183" w:lineRule="exact"/>
        <w:rPr>
          <w:sz w:val="20"/>
          <w:szCs w:val="20"/>
          <w:color w:val="auto"/>
        </w:rPr>
      </w:pPr>
    </w:p>
    <w:p>
      <w:pPr>
        <w:ind w:left="1845"/>
        <w:spacing w:after="0"/>
        <w:rPr>
          <w:sz w:val="20"/>
          <w:szCs w:val="20"/>
          <w:color w:val="auto"/>
        </w:rPr>
      </w:pPr>
      <w:r>
        <w:rPr>
          <w:rFonts w:ascii="Arial" w:cs="Arial" w:eastAsia="Arial" w:hAnsi="Arial"/>
          <w:sz w:val="16"/>
          <w:szCs w:val="16"/>
          <w:color w:val="auto"/>
        </w:rPr>
        <w:t>**1.1Form of Underwriting Agreement.</w:t>
      </w:r>
    </w:p>
    <w:p>
      <w:pPr>
        <w:spacing w:after="0" w:line="194" w:lineRule="exact"/>
        <w:rPr>
          <w:sz w:val="20"/>
          <w:szCs w:val="20"/>
          <w:color w:val="auto"/>
        </w:rPr>
      </w:pPr>
    </w:p>
    <w:p>
      <w:pPr>
        <w:ind w:left="2205" w:right="1340" w:hanging="196"/>
        <w:spacing w:after="0" w:line="257" w:lineRule="auto"/>
        <w:rPr>
          <w:rFonts w:ascii="Arial" w:cs="Arial" w:eastAsia="Arial" w:hAnsi="Arial"/>
          <w:sz w:val="16"/>
          <w:szCs w:val="16"/>
          <w:u w:val="single" w:color="auto"/>
          <w:color w:val="0000EE"/>
        </w:rPr>
      </w:pPr>
      <w:r>
        <w:rPr>
          <w:rFonts w:ascii="Arial" w:cs="Arial" w:eastAsia="Arial" w:hAnsi="Arial"/>
          <w:sz w:val="16"/>
          <w:szCs w:val="16"/>
          <w:color w:val="auto"/>
        </w:rPr>
        <w:t>3.1</w:t>
      </w:r>
      <w:hyperlink r:id="rId46">
        <w:r>
          <w:rPr>
            <w:rFonts w:ascii="Arial" w:cs="Arial" w:eastAsia="Arial" w:hAnsi="Arial"/>
            <w:sz w:val="16"/>
            <w:szCs w:val="16"/>
            <w:u w:val="single" w:color="auto"/>
            <w:color w:val="0000EE"/>
          </w:rPr>
          <w:t>Restated Certificate of Incorporation of the Company (conformed copy incorporating all amendments through August 9,</w:t>
        </w:r>
      </w:hyperlink>
      <w:r>
        <w:rPr>
          <w:rFonts w:ascii="Arial" w:cs="Arial" w:eastAsia="Arial" w:hAnsi="Arial"/>
          <w:sz w:val="16"/>
          <w:szCs w:val="16"/>
          <w:color w:val="auto"/>
        </w:rPr>
        <w:t xml:space="preserve"> </w:t>
      </w:r>
      <w:hyperlink r:id="rId46">
        <w:r>
          <w:rPr>
            <w:rFonts w:ascii="Arial" w:cs="Arial" w:eastAsia="Arial" w:hAnsi="Arial"/>
            <w:sz w:val="16"/>
            <w:szCs w:val="16"/>
            <w:u w:val="single" w:color="auto"/>
            <w:color w:val="0000EE"/>
          </w:rPr>
          <w:t>2018) (included as Exhibit 3.1 to the Company’s Quarterly Report on Form 10-Q filed August 30, 2018, and incorporated</w:t>
        </w:r>
      </w:hyperlink>
      <w:r>
        <w:rPr>
          <w:rFonts w:ascii="Arial" w:cs="Arial" w:eastAsia="Arial" w:hAnsi="Arial"/>
          <w:sz w:val="16"/>
          <w:szCs w:val="16"/>
          <w:u w:val="single" w:color="auto"/>
          <w:color w:val="0000EE"/>
        </w:rPr>
        <w:t xml:space="preserve"> </w:t>
      </w:r>
      <w:hyperlink r:id="rId46">
        <w:r>
          <w:rPr>
            <w:rFonts w:ascii="Arial" w:cs="Arial" w:eastAsia="Arial" w:hAnsi="Arial"/>
            <w:sz w:val="16"/>
            <w:szCs w:val="16"/>
            <w:u w:val="single" w:color="auto"/>
            <w:color w:val="0000EE"/>
          </w:rPr>
          <w:t>herein by reference).</w:t>
        </w:r>
      </w:hyperlink>
    </w:p>
    <w:p>
      <w:pPr>
        <w:spacing w:after="0" w:line="165" w:lineRule="exact"/>
        <w:rPr>
          <w:rFonts w:ascii="Arial" w:cs="Arial" w:eastAsia="Arial" w:hAnsi="Arial"/>
          <w:sz w:val="16"/>
          <w:szCs w:val="16"/>
          <w:color w:val="auto"/>
        </w:rPr>
      </w:pPr>
    </w:p>
    <w:p>
      <w:pPr>
        <w:ind w:left="2205" w:right="1400" w:hanging="196"/>
        <w:spacing w:after="0" w:line="267" w:lineRule="auto"/>
        <w:rPr>
          <w:rFonts w:ascii="Arial" w:cs="Arial" w:eastAsia="Arial" w:hAnsi="Arial"/>
          <w:sz w:val="16"/>
          <w:szCs w:val="16"/>
          <w:u w:val="single" w:color="auto"/>
          <w:color w:val="0000EE"/>
        </w:rPr>
      </w:pPr>
      <w:r>
        <w:rPr>
          <w:rFonts w:ascii="Arial" w:cs="Arial" w:eastAsia="Arial" w:hAnsi="Arial"/>
          <w:sz w:val="16"/>
          <w:szCs w:val="16"/>
          <w:color w:val="auto"/>
        </w:rPr>
        <w:t>3.2</w:t>
      </w:r>
      <w:hyperlink r:id="rId47">
        <w:r>
          <w:rPr>
            <w:rFonts w:ascii="Arial" w:cs="Arial" w:eastAsia="Arial" w:hAnsi="Arial"/>
            <w:sz w:val="16"/>
            <w:szCs w:val="16"/>
            <w:u w:val="single" w:color="auto"/>
            <w:color w:val="0000EE"/>
          </w:rPr>
          <w:t>Fourth Amended and Restated By-Laws (included as Exhibit 3.1 to the Company’s Current Report on Form 8-K filed on</w:t>
        </w:r>
      </w:hyperlink>
      <w:r>
        <w:rPr>
          <w:rFonts w:ascii="Arial" w:cs="Arial" w:eastAsia="Arial" w:hAnsi="Arial"/>
          <w:sz w:val="16"/>
          <w:szCs w:val="16"/>
          <w:color w:val="auto"/>
        </w:rPr>
        <w:t xml:space="preserve"> </w:t>
      </w:r>
      <w:hyperlink r:id="rId47">
        <w:r>
          <w:rPr>
            <w:rFonts w:ascii="Arial" w:cs="Arial" w:eastAsia="Arial" w:hAnsi="Arial"/>
            <w:sz w:val="16"/>
            <w:szCs w:val="16"/>
            <w:u w:val="single" w:color="auto"/>
            <w:color w:val="0000EE"/>
          </w:rPr>
          <w:t>June 18, 2015, and incorporated herein by reference).</w:t>
        </w:r>
      </w:hyperlink>
    </w:p>
    <w:p>
      <w:pPr>
        <w:spacing w:after="0" w:line="158" w:lineRule="exact"/>
        <w:rPr>
          <w:sz w:val="20"/>
          <w:szCs w:val="20"/>
          <w:color w:val="auto"/>
        </w:rPr>
      </w:pPr>
    </w:p>
    <w:p>
      <w:pPr>
        <w:ind w:left="1925"/>
        <w:spacing w:after="0"/>
        <w:rPr>
          <w:rFonts w:ascii="Arial" w:cs="Arial" w:eastAsia="Arial" w:hAnsi="Arial"/>
          <w:sz w:val="16"/>
          <w:szCs w:val="16"/>
          <w:color w:val="auto"/>
        </w:rPr>
      </w:pPr>
      <w:r>
        <w:rPr>
          <w:rFonts w:ascii="Arial" w:cs="Arial" w:eastAsia="Arial" w:hAnsi="Arial"/>
          <w:sz w:val="16"/>
          <w:szCs w:val="16"/>
          <w:color w:val="auto"/>
        </w:rPr>
        <w:t>*4.1</w:t>
      </w:r>
      <w:hyperlink w:anchor="page34">
        <w:r>
          <w:rPr>
            <w:rFonts w:ascii="Arial" w:cs="Arial" w:eastAsia="Arial" w:hAnsi="Arial"/>
            <w:sz w:val="16"/>
            <w:szCs w:val="16"/>
            <w:u w:val="single" w:color="auto"/>
            <w:color w:val="0000EE"/>
          </w:rPr>
          <w:t>Form of Indenture</w:t>
        </w:r>
      </w:hyperlink>
      <w:r>
        <w:rPr>
          <w:rFonts w:ascii="Arial" w:cs="Arial" w:eastAsia="Arial" w:hAnsi="Arial"/>
          <w:sz w:val="16"/>
          <w:szCs w:val="16"/>
          <w:color w:val="auto"/>
        </w:rPr>
        <w:t>.</w:t>
      </w:r>
    </w:p>
    <w:p>
      <w:pPr>
        <w:spacing w:after="0" w:line="194" w:lineRule="exact"/>
        <w:rPr>
          <w:sz w:val="20"/>
          <w:szCs w:val="20"/>
          <w:color w:val="auto"/>
        </w:rPr>
      </w:pPr>
    </w:p>
    <w:p>
      <w:pPr>
        <w:ind w:left="1845"/>
        <w:spacing w:after="0"/>
        <w:rPr>
          <w:sz w:val="20"/>
          <w:szCs w:val="20"/>
          <w:color w:val="auto"/>
        </w:rPr>
      </w:pPr>
      <w:r>
        <w:rPr>
          <w:rFonts w:ascii="Arial" w:cs="Arial" w:eastAsia="Arial" w:hAnsi="Arial"/>
          <w:sz w:val="16"/>
          <w:szCs w:val="16"/>
          <w:color w:val="auto"/>
        </w:rPr>
        <w:t>**4.2Form of Debt Security.</w:t>
      </w:r>
    </w:p>
    <w:p>
      <w:pPr>
        <w:spacing w:after="0" w:line="194" w:lineRule="exact"/>
        <w:rPr>
          <w:sz w:val="20"/>
          <w:szCs w:val="20"/>
          <w:color w:val="auto"/>
        </w:rPr>
      </w:pPr>
    </w:p>
    <w:p>
      <w:pPr>
        <w:ind w:left="1845"/>
        <w:spacing w:after="0"/>
        <w:rPr>
          <w:sz w:val="20"/>
          <w:szCs w:val="20"/>
          <w:color w:val="auto"/>
        </w:rPr>
      </w:pPr>
      <w:r>
        <w:rPr>
          <w:rFonts w:ascii="Arial" w:cs="Arial" w:eastAsia="Arial" w:hAnsi="Arial"/>
          <w:sz w:val="16"/>
          <w:szCs w:val="16"/>
          <w:color w:val="auto"/>
        </w:rPr>
        <w:t>**4.3Form of Preferred Stock Certificate and Form of Certificate of Designation of Preferred Stock.</w:t>
      </w:r>
    </w:p>
    <w:p>
      <w:pPr>
        <w:spacing w:after="0" w:line="194" w:lineRule="exact"/>
        <w:rPr>
          <w:sz w:val="20"/>
          <w:szCs w:val="20"/>
          <w:color w:val="auto"/>
        </w:rPr>
      </w:pPr>
    </w:p>
    <w:p>
      <w:pPr>
        <w:ind w:left="1845"/>
        <w:spacing w:after="0"/>
        <w:rPr>
          <w:sz w:val="20"/>
          <w:szCs w:val="20"/>
          <w:color w:val="auto"/>
        </w:rPr>
      </w:pPr>
      <w:r>
        <w:rPr>
          <w:rFonts w:ascii="Arial" w:cs="Arial" w:eastAsia="Arial" w:hAnsi="Arial"/>
          <w:sz w:val="16"/>
          <w:szCs w:val="16"/>
          <w:color w:val="auto"/>
        </w:rPr>
        <w:t>**4.4Form of Warrant Agreement and Form of Warrant Certificate.</w:t>
      </w:r>
    </w:p>
    <w:p>
      <w:pPr>
        <w:spacing w:after="0" w:line="194" w:lineRule="exact"/>
        <w:rPr>
          <w:sz w:val="20"/>
          <w:szCs w:val="20"/>
          <w:color w:val="auto"/>
        </w:rPr>
      </w:pPr>
    </w:p>
    <w:p>
      <w:pPr>
        <w:ind w:left="1845"/>
        <w:spacing w:after="0"/>
        <w:rPr>
          <w:sz w:val="20"/>
          <w:szCs w:val="20"/>
          <w:color w:val="auto"/>
        </w:rPr>
      </w:pPr>
      <w:r>
        <w:rPr>
          <w:rFonts w:ascii="Arial" w:cs="Arial" w:eastAsia="Arial" w:hAnsi="Arial"/>
          <w:sz w:val="16"/>
          <w:szCs w:val="16"/>
          <w:color w:val="auto"/>
        </w:rPr>
        <w:t>**4.5Form of Deposit Agreement for Depositary Shares and Form of Depositary Receipt for Depositary Shares.</w:t>
      </w:r>
    </w:p>
    <w:p>
      <w:pPr>
        <w:spacing w:after="0" w:line="194" w:lineRule="exact"/>
        <w:rPr>
          <w:sz w:val="20"/>
          <w:szCs w:val="20"/>
          <w:color w:val="auto"/>
        </w:rPr>
      </w:pPr>
    </w:p>
    <w:p>
      <w:pPr>
        <w:ind w:left="1845"/>
        <w:spacing w:after="0"/>
        <w:rPr>
          <w:sz w:val="20"/>
          <w:szCs w:val="20"/>
          <w:color w:val="auto"/>
        </w:rPr>
      </w:pPr>
      <w:r>
        <w:rPr>
          <w:rFonts w:ascii="Arial" w:cs="Arial" w:eastAsia="Arial" w:hAnsi="Arial"/>
          <w:sz w:val="16"/>
          <w:szCs w:val="16"/>
          <w:color w:val="auto"/>
        </w:rPr>
        <w:t>**4.6Form of Purchase Contract.</w:t>
      </w:r>
    </w:p>
    <w:p>
      <w:pPr>
        <w:spacing w:after="0" w:line="194" w:lineRule="exact"/>
        <w:rPr>
          <w:sz w:val="20"/>
          <w:szCs w:val="20"/>
          <w:color w:val="auto"/>
        </w:rPr>
      </w:pPr>
    </w:p>
    <w:p>
      <w:pPr>
        <w:ind w:left="1845"/>
        <w:spacing w:after="0"/>
        <w:rPr>
          <w:sz w:val="20"/>
          <w:szCs w:val="20"/>
          <w:color w:val="auto"/>
        </w:rPr>
      </w:pPr>
      <w:r>
        <w:rPr>
          <w:rFonts w:ascii="Arial" w:cs="Arial" w:eastAsia="Arial" w:hAnsi="Arial"/>
          <w:sz w:val="16"/>
          <w:szCs w:val="16"/>
          <w:color w:val="auto"/>
        </w:rPr>
        <w:t>**4.7Form of Unit Agreement and Unit Certificate.</w:t>
      </w:r>
    </w:p>
    <w:p>
      <w:pPr>
        <w:spacing w:after="0" w:line="194" w:lineRule="exact"/>
        <w:rPr>
          <w:sz w:val="20"/>
          <w:szCs w:val="20"/>
          <w:color w:val="auto"/>
        </w:rPr>
      </w:pPr>
    </w:p>
    <w:p>
      <w:pPr>
        <w:ind w:left="1845"/>
        <w:spacing w:after="0"/>
        <w:rPr>
          <w:sz w:val="20"/>
          <w:szCs w:val="20"/>
          <w:color w:val="auto"/>
        </w:rPr>
      </w:pPr>
      <w:r>
        <w:rPr>
          <w:rFonts w:ascii="Arial" w:cs="Arial" w:eastAsia="Arial" w:hAnsi="Arial"/>
          <w:sz w:val="16"/>
          <w:szCs w:val="16"/>
          <w:color w:val="auto"/>
        </w:rPr>
        <w:t>**4.8Form of Rights Agreement and Form of Rights Certificate.</w:t>
      </w:r>
    </w:p>
    <w:p>
      <w:pPr>
        <w:spacing w:after="0" w:line="194" w:lineRule="exact"/>
        <w:rPr>
          <w:sz w:val="20"/>
          <w:szCs w:val="20"/>
          <w:color w:val="auto"/>
        </w:rPr>
      </w:pPr>
    </w:p>
    <w:p>
      <w:pPr>
        <w:ind w:left="1925"/>
        <w:spacing w:after="0"/>
        <w:rPr>
          <w:rFonts w:ascii="Arial" w:cs="Arial" w:eastAsia="Arial" w:hAnsi="Arial"/>
          <w:sz w:val="16"/>
          <w:szCs w:val="16"/>
          <w:color w:val="auto"/>
        </w:rPr>
      </w:pPr>
      <w:r>
        <w:rPr>
          <w:rFonts w:ascii="Arial" w:cs="Arial" w:eastAsia="Arial" w:hAnsi="Arial"/>
          <w:sz w:val="16"/>
          <w:szCs w:val="16"/>
          <w:color w:val="auto"/>
        </w:rPr>
        <w:t>*5.1</w:t>
      </w:r>
      <w:hyperlink w:anchor="page87">
        <w:r>
          <w:rPr>
            <w:rFonts w:ascii="Arial" w:cs="Arial" w:eastAsia="Arial" w:hAnsi="Arial"/>
            <w:sz w:val="16"/>
            <w:szCs w:val="16"/>
            <w:u w:val="single" w:color="auto"/>
            <w:color w:val="0000EE"/>
          </w:rPr>
          <w:t>Opinion of Greenberg Traurig LLP, counsel to the Registrant</w:t>
        </w:r>
      </w:hyperlink>
      <w:r>
        <w:rPr>
          <w:rFonts w:ascii="Arial" w:cs="Arial" w:eastAsia="Arial" w:hAnsi="Arial"/>
          <w:sz w:val="16"/>
          <w:szCs w:val="16"/>
          <w:color w:val="auto"/>
        </w:rPr>
        <w:t>.</w:t>
      </w:r>
    </w:p>
    <w:p>
      <w:pPr>
        <w:spacing w:after="0" w:line="194" w:lineRule="exact"/>
        <w:rPr>
          <w:sz w:val="20"/>
          <w:szCs w:val="20"/>
          <w:color w:val="auto"/>
        </w:rPr>
      </w:pPr>
    </w:p>
    <w:p>
      <w:pPr>
        <w:ind w:left="1845"/>
        <w:spacing w:after="0"/>
        <w:rPr>
          <w:rFonts w:ascii="Arial" w:cs="Arial" w:eastAsia="Arial" w:hAnsi="Arial"/>
          <w:sz w:val="16"/>
          <w:szCs w:val="16"/>
          <w:color w:val="auto"/>
        </w:rPr>
      </w:pPr>
      <w:r>
        <w:rPr>
          <w:rFonts w:ascii="Arial" w:cs="Arial" w:eastAsia="Arial" w:hAnsi="Arial"/>
          <w:sz w:val="16"/>
          <w:szCs w:val="16"/>
          <w:color w:val="auto"/>
        </w:rPr>
        <w:t>*23.1</w:t>
      </w:r>
      <w:hyperlink w:anchor="page87">
        <w:r>
          <w:rPr>
            <w:rFonts w:ascii="Arial" w:cs="Arial" w:eastAsia="Arial" w:hAnsi="Arial"/>
            <w:sz w:val="16"/>
            <w:szCs w:val="16"/>
            <w:u w:val="single" w:color="auto"/>
            <w:color w:val="0000EE"/>
          </w:rPr>
          <w:t>Consent of Greenberg Traurig LLP (included in Exhibit 5.1).</w:t>
        </w:r>
      </w:hyperlink>
    </w:p>
    <w:p>
      <w:pPr>
        <w:spacing w:after="0" w:line="194" w:lineRule="exact"/>
        <w:rPr>
          <w:sz w:val="20"/>
          <w:szCs w:val="20"/>
          <w:color w:val="auto"/>
        </w:rPr>
      </w:pPr>
    </w:p>
    <w:p>
      <w:pPr>
        <w:ind w:left="1845"/>
        <w:spacing w:after="0"/>
        <w:rPr>
          <w:rFonts w:ascii="Arial" w:cs="Arial" w:eastAsia="Arial" w:hAnsi="Arial"/>
          <w:sz w:val="16"/>
          <w:szCs w:val="16"/>
          <w:color w:val="auto"/>
        </w:rPr>
      </w:pPr>
      <w:r>
        <w:rPr>
          <w:rFonts w:ascii="Arial" w:cs="Arial" w:eastAsia="Arial" w:hAnsi="Arial"/>
          <w:sz w:val="16"/>
          <w:szCs w:val="16"/>
          <w:color w:val="auto"/>
        </w:rPr>
        <w:t>*23.2</w:t>
      </w:r>
      <w:hyperlink w:anchor="page93">
        <w:r>
          <w:rPr>
            <w:rFonts w:ascii="Arial" w:cs="Arial" w:eastAsia="Arial" w:hAnsi="Arial"/>
            <w:sz w:val="16"/>
            <w:szCs w:val="16"/>
            <w:u w:val="single" w:color="auto"/>
            <w:color w:val="0000EE"/>
          </w:rPr>
          <w:t>Consent of Independent Registered Public Accounting Firm</w:t>
        </w:r>
      </w:hyperlink>
      <w:r>
        <w:rPr>
          <w:rFonts w:ascii="Arial" w:cs="Arial" w:eastAsia="Arial" w:hAnsi="Arial"/>
          <w:sz w:val="16"/>
          <w:szCs w:val="16"/>
          <w:color w:val="auto"/>
        </w:rPr>
        <w:t>.</w:t>
      </w:r>
    </w:p>
    <w:p>
      <w:pPr>
        <w:spacing w:after="0" w:line="194" w:lineRule="exact"/>
        <w:rPr>
          <w:sz w:val="20"/>
          <w:szCs w:val="20"/>
          <w:color w:val="auto"/>
        </w:rPr>
      </w:pPr>
    </w:p>
    <w:p>
      <w:pPr>
        <w:ind w:left="1845"/>
        <w:spacing w:after="0"/>
        <w:rPr>
          <w:rFonts w:ascii="Arial" w:cs="Arial" w:eastAsia="Arial" w:hAnsi="Arial"/>
          <w:sz w:val="16"/>
          <w:szCs w:val="16"/>
          <w:color w:val="auto"/>
        </w:rPr>
      </w:pPr>
      <w:r>
        <w:rPr>
          <w:rFonts w:ascii="Arial" w:cs="Arial" w:eastAsia="Arial" w:hAnsi="Arial"/>
          <w:sz w:val="16"/>
          <w:szCs w:val="16"/>
          <w:color w:val="auto"/>
        </w:rPr>
        <w:t>*24.1</w:t>
      </w:r>
      <w:hyperlink w:anchor="page32">
        <w:r>
          <w:rPr>
            <w:rFonts w:ascii="Arial" w:cs="Arial" w:eastAsia="Arial" w:hAnsi="Arial"/>
            <w:sz w:val="16"/>
            <w:szCs w:val="16"/>
            <w:u w:val="single" w:color="auto"/>
            <w:color w:val="0000EE"/>
          </w:rPr>
          <w:t>Power of Attorney (contained in signature page).</w:t>
        </w:r>
      </w:hyperlink>
    </w:p>
    <w:p>
      <w:pPr>
        <w:spacing w:after="0" w:line="194" w:lineRule="exact"/>
        <w:rPr>
          <w:sz w:val="20"/>
          <w:szCs w:val="20"/>
          <w:color w:val="auto"/>
        </w:rPr>
      </w:pPr>
    </w:p>
    <w:p>
      <w:pPr>
        <w:ind w:left="1765"/>
        <w:spacing w:after="0"/>
        <w:rPr>
          <w:sz w:val="20"/>
          <w:szCs w:val="20"/>
          <w:color w:val="auto"/>
        </w:rPr>
      </w:pPr>
      <w:r>
        <w:rPr>
          <w:rFonts w:ascii="Arial" w:cs="Arial" w:eastAsia="Arial" w:hAnsi="Arial"/>
          <w:sz w:val="16"/>
          <w:szCs w:val="16"/>
          <w:color w:val="auto"/>
        </w:rPr>
        <w:t>**25.1Form T-1 Statement of Eligibility under Trust Indenture Act of 1939 of Trustee.</w:t>
      </w:r>
    </w:p>
    <w:p>
      <w:pPr>
        <w:spacing w:after="0" w:line="383" w:lineRule="exact"/>
        <w:rPr>
          <w:sz w:val="20"/>
          <w:szCs w:val="20"/>
          <w:color w:val="auto"/>
        </w:rPr>
      </w:pPr>
    </w:p>
    <w:p>
      <w:pPr>
        <w:ind w:left="365" w:hanging="365"/>
        <w:spacing w:after="0"/>
        <w:tabs>
          <w:tab w:leader="none" w:pos="365" w:val="left"/>
        </w:tabs>
        <w:numPr>
          <w:ilvl w:val="0"/>
          <w:numId w:val="29"/>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194" w:lineRule="exact"/>
        <w:rPr>
          <w:sz w:val="20"/>
          <w:szCs w:val="20"/>
          <w:color w:val="auto"/>
        </w:rPr>
      </w:pPr>
    </w:p>
    <w:p>
      <w:pPr>
        <w:ind w:left="365" w:hanging="365"/>
        <w:spacing w:after="0" w:line="267" w:lineRule="auto"/>
        <w:tabs>
          <w:tab w:leader="none" w:pos="365"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 be subsequently filed by amendment or as an exhibit to a document to be incorporated or deemed to be incorporated by reference to this registration statement, including a Current Report on Form 8-K.</w:t>
      </w:r>
    </w:p>
    <w:p>
      <w:pPr>
        <w:spacing w:after="0" w:line="200" w:lineRule="exact"/>
        <w:rPr>
          <w:sz w:val="20"/>
          <w:szCs w:val="20"/>
          <w:color w:val="auto"/>
        </w:rPr>
      </w:pPr>
    </w:p>
    <w:p>
      <w:pPr>
        <w:spacing w:after="0" w:line="336" w:lineRule="exact"/>
        <w:rPr>
          <w:sz w:val="20"/>
          <w:szCs w:val="20"/>
          <w:color w:val="auto"/>
        </w:rPr>
      </w:pPr>
    </w:p>
    <w:p>
      <w:pPr>
        <w:jc w:val="center"/>
        <w:ind w:right="-44"/>
        <w:spacing w:after="0"/>
        <w:rPr>
          <w:sz w:val="20"/>
          <w:szCs w:val="20"/>
          <w:color w:val="auto"/>
        </w:rPr>
      </w:pPr>
      <w:r>
        <w:rPr>
          <w:rFonts w:ascii="Arial" w:cs="Arial" w:eastAsia="Arial" w:hAnsi="Arial"/>
          <w:sz w:val="16"/>
          <w:szCs w:val="16"/>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191135</wp:posOffset>
            </wp:positionV>
            <wp:extent cx="716470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05"/>
          </w:cols>
          <w:pgMar w:left="315" w:top="312" w:right="379" w:bottom="1440" w:gutter="0" w:footer="0" w:header="0"/>
        </w:sectPr>
      </w:pPr>
    </w:p>
    <w:bookmarkStart w:id="31" w:name="page32"/>
    <w:bookmarkEnd w:id="31"/>
    <w:p>
      <w:pPr>
        <w:jc w:val="center"/>
        <w:ind w:right="20"/>
        <w:spacing w:after="0"/>
        <w:rPr>
          <w:sz w:val="20"/>
          <w:szCs w:val="20"/>
          <w:color w:val="auto"/>
        </w:rPr>
      </w:pPr>
      <w:r>
        <w:rPr>
          <w:rFonts w:ascii="Arial" w:cs="Arial" w:eastAsia="Arial" w:hAnsi="Arial"/>
          <w:sz w:val="16"/>
          <w:szCs w:val="16"/>
          <w:b w:val="1"/>
          <w:bCs w:val="1"/>
          <w:color w:val="auto"/>
        </w:rPr>
        <w:t>SIGNATURES</w:t>
      </w:r>
    </w:p>
    <w:p>
      <w:pPr>
        <w:spacing w:after="0" w:line="198" w:lineRule="exact"/>
        <w:rPr>
          <w:sz w:val="20"/>
          <w:szCs w:val="20"/>
          <w:color w:val="auto"/>
        </w:rPr>
      </w:pPr>
    </w:p>
    <w:p>
      <w:pPr>
        <w:ind w:right="60" w:firstLine="751"/>
        <w:spacing w:after="0" w:line="257" w:lineRule="auto"/>
        <w:rPr>
          <w:sz w:val="20"/>
          <w:szCs w:val="20"/>
          <w:color w:val="auto"/>
        </w:rPr>
      </w:pPr>
      <w:r>
        <w:rPr>
          <w:rFonts w:ascii="Arial" w:cs="Arial" w:eastAsia="Arial" w:hAnsi="Arial"/>
          <w:sz w:val="16"/>
          <w:szCs w:val="16"/>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Canton, Commonwealth of Massachusetts, on this 4th day of June, 2020.</w:t>
      </w:r>
    </w:p>
    <w:p>
      <w:pPr>
        <w:spacing w:after="0" w:line="165"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DESTINATION XL GROUP, INC.</w:t>
      </w:r>
    </w:p>
    <w:p>
      <w:pPr>
        <w:spacing w:after="0" w:line="194" w:lineRule="exact"/>
        <w:rPr>
          <w:sz w:val="20"/>
          <w:szCs w:val="20"/>
          <w:color w:val="auto"/>
        </w:rPr>
      </w:pPr>
    </w:p>
    <w:p>
      <w:pPr>
        <w:ind w:left="6760"/>
        <w:spacing w:after="0"/>
        <w:tabs>
          <w:tab w:leader="none" w:pos="8280" w:val="left"/>
          <w:tab w:leader="none" w:pos="85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w:t>
      </w:r>
      <w:r>
        <w:rPr>
          <w:sz w:val="20"/>
          <w:szCs w:val="20"/>
          <w:color w:val="auto"/>
        </w:rPr>
        <w:tab/>
      </w:r>
      <w:r>
        <w:rPr>
          <w:rFonts w:ascii="Arial" w:cs="Arial" w:eastAsia="Arial" w:hAnsi="Arial"/>
          <w:sz w:val="15"/>
          <w:szCs w:val="15"/>
          <w:color w:val="auto"/>
        </w:rPr>
        <w:t>HARVEY S. KANTER</w:t>
      </w:r>
    </w:p>
    <w:p>
      <w:pPr>
        <w:spacing w:after="0" w:line="16" w:lineRule="exact"/>
        <w:rPr>
          <w:sz w:val="20"/>
          <w:szCs w:val="20"/>
          <w:color w:val="auto"/>
        </w:rPr>
      </w:pPr>
    </w:p>
    <w:p>
      <w:pPr>
        <w:jc w:val="center"/>
        <w:ind w:left="7080"/>
        <w:spacing w:after="0"/>
        <w:rPr>
          <w:sz w:val="20"/>
          <w:szCs w:val="20"/>
          <w:color w:val="auto"/>
        </w:rPr>
      </w:pPr>
      <w:r>
        <w:rPr>
          <w:rFonts w:ascii="Arial" w:cs="Arial" w:eastAsia="Arial" w:hAnsi="Arial"/>
          <w:sz w:val="16"/>
          <w:szCs w:val="16"/>
          <w:b w:val="1"/>
          <w:bCs w:val="1"/>
          <w:color w:val="auto"/>
        </w:rPr>
        <w:t>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-115570</wp:posOffset>
            </wp:positionV>
            <wp:extent cx="264096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2640965" cy="7620"/>
                    </a:xfrm>
                    <a:prstGeom prst="rect">
                      <a:avLst/>
                    </a:prstGeom>
                    <a:noFill/>
                  </pic:spPr>
                </pic:pic>
              </a:graphicData>
            </a:graphic>
          </wp:anchor>
        </w:drawing>
      </w:r>
    </w:p>
    <w:p>
      <w:pPr>
        <w:jc w:val="center"/>
        <w:ind w:left="708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372" w:lineRule="exact"/>
        <w:rPr>
          <w:sz w:val="20"/>
          <w:szCs w:val="20"/>
          <w:color w:val="auto"/>
        </w:rPr>
      </w:pPr>
    </w:p>
    <w:p>
      <w:pPr>
        <w:ind w:right="60" w:firstLine="751"/>
        <w:spacing w:after="0" w:line="270" w:lineRule="auto"/>
        <w:rPr>
          <w:sz w:val="20"/>
          <w:szCs w:val="20"/>
          <w:color w:val="auto"/>
        </w:rPr>
      </w:pPr>
      <w:r>
        <w:rPr>
          <w:rFonts w:ascii="Arial" w:cs="Arial" w:eastAsia="Arial" w:hAnsi="Arial"/>
          <w:sz w:val="15"/>
          <w:szCs w:val="15"/>
          <w:color w:val="auto"/>
        </w:rPr>
        <w:t>We, the undersigned officers and directors of Destination XL Group, Inc., hereby severally constitute and appoint Harvey S. Kanter and Peter H. Stratton, Jr. and each of them singly, our true and lawful attorneys with full power to any of them, and to each of them singly, to sign for us and in our names in the capacities indicated below the Registration Statement on Form S-3 filed herewith and any and all pre-effective and post-effective amendments to said Registration Statement and generally to do all such things in our name and behalf in our capacities as officers and directors to enable Destination XL Group,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59" w:lineRule="exact"/>
        <w:rPr>
          <w:sz w:val="20"/>
          <w:szCs w:val="20"/>
          <w:color w:val="auto"/>
        </w:rPr>
      </w:pPr>
    </w:p>
    <w:p>
      <w:pPr>
        <w:ind w:right="120" w:firstLine="751"/>
        <w:spacing w:after="0" w:line="267" w:lineRule="auto"/>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 the following persons in the capacities and on the dates indicated.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jc w:val="center"/>
              <w:spacing w:after="0"/>
              <w:rPr>
                <w:sz w:val="20"/>
                <w:szCs w:val="20"/>
                <w:color w:val="auto"/>
              </w:rPr>
            </w:pPr>
            <w:r>
              <w:rPr>
                <w:rFonts w:ascii="Arial" w:cs="Arial" w:eastAsia="Arial" w:hAnsi="Arial"/>
                <w:sz w:val="16"/>
                <w:szCs w:val="16"/>
                <w:b w:val="1"/>
                <w:bCs w:val="1"/>
                <w:color w:val="auto"/>
                <w:w w:val="84"/>
              </w:rPr>
              <w:t>Signatures</w:t>
            </w:r>
          </w:p>
        </w:tc>
        <w:tc>
          <w:tcPr>
            <w:tcW w:w="5160" w:type="dxa"/>
            <w:vAlign w:val="bottom"/>
          </w:tcPr>
          <w:p>
            <w:pPr>
              <w:ind w:left="2520"/>
              <w:spacing w:after="0"/>
              <w:rPr>
                <w:sz w:val="20"/>
                <w:szCs w:val="20"/>
                <w:color w:val="auto"/>
              </w:rPr>
            </w:pPr>
            <w:r>
              <w:rPr>
                <w:rFonts w:ascii="Arial" w:cs="Arial" w:eastAsia="Arial" w:hAnsi="Arial"/>
                <w:sz w:val="16"/>
                <w:szCs w:val="16"/>
                <w:b w:val="1"/>
                <w:bCs w:val="1"/>
                <w:color w:val="auto"/>
              </w:rPr>
              <w:t>Title</w:t>
            </w:r>
          </w:p>
        </w:tc>
        <w:tc>
          <w:tcPr>
            <w:tcW w:w="2100" w:type="dxa"/>
            <w:vAlign w:val="bottom"/>
          </w:tcPr>
          <w:p>
            <w:pPr>
              <w:ind w:left="960"/>
              <w:spacing w:after="0"/>
              <w:rPr>
                <w:sz w:val="20"/>
                <w:szCs w:val="20"/>
                <w:color w:val="auto"/>
              </w:rPr>
            </w:pPr>
            <w:r>
              <w:rPr>
                <w:rFonts w:ascii="Arial" w:cs="Arial" w:eastAsia="Arial" w:hAnsi="Arial"/>
                <w:sz w:val="16"/>
                <w:szCs w:val="16"/>
                <w:b w:val="1"/>
                <w:bCs w:val="1"/>
                <w:color w:val="auto"/>
              </w:rPr>
              <w:t>Date</w:t>
            </w:r>
          </w:p>
        </w:tc>
      </w:tr>
      <w:tr>
        <w:trPr>
          <w:trHeight w:val="379"/>
        </w:trPr>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 HARVEY S. KANTER</w:t>
            </w:r>
          </w:p>
        </w:tc>
        <w:tc>
          <w:tcPr>
            <w:tcW w:w="5160" w:type="dxa"/>
            <w:vAlign w:val="bottom"/>
          </w:tcPr>
          <w:p>
            <w:pPr>
              <w:ind w:left="160"/>
              <w:spacing w:after="0"/>
              <w:rPr>
                <w:sz w:val="20"/>
                <w:szCs w:val="20"/>
                <w:color w:val="auto"/>
              </w:rPr>
            </w:pPr>
            <w:r>
              <w:rPr>
                <w:rFonts w:ascii="Arial" w:cs="Arial" w:eastAsia="Arial" w:hAnsi="Arial"/>
                <w:sz w:val="16"/>
                <w:szCs w:val="16"/>
                <w:color w:val="auto"/>
              </w:rPr>
              <w:t>President and Chief Executive Officer (Principal Executive Officer)</w:t>
            </w:r>
          </w:p>
        </w:tc>
        <w:tc>
          <w:tcPr>
            <w:tcW w:w="2100" w:type="dxa"/>
            <w:vAlign w:val="bottom"/>
          </w:tcPr>
          <w:p>
            <w:pPr>
              <w:ind w:left="180"/>
              <w:spacing w:after="0"/>
              <w:rPr>
                <w:sz w:val="20"/>
                <w:szCs w:val="20"/>
                <w:color w:val="auto"/>
              </w:rPr>
            </w:pPr>
            <w:r>
              <w:rPr>
                <w:rFonts w:ascii="Arial" w:cs="Arial" w:eastAsia="Arial" w:hAnsi="Arial"/>
                <w:sz w:val="16"/>
                <w:szCs w:val="16"/>
                <w:color w:val="auto"/>
              </w:rPr>
              <w:t>June 4, 2020</w:t>
            </w:r>
          </w:p>
        </w:tc>
      </w:tr>
      <w:tr>
        <w:trPr>
          <w:trHeight w:val="216"/>
        </w:trPr>
        <w:tc>
          <w:tcPr>
            <w:tcW w:w="4020" w:type="dxa"/>
            <w:vAlign w:val="bottom"/>
          </w:tcPr>
          <w:p>
            <w:pPr>
              <w:jc w:val="center"/>
              <w:spacing w:after="0"/>
              <w:rPr>
                <w:sz w:val="20"/>
                <w:szCs w:val="20"/>
                <w:color w:val="auto"/>
              </w:rPr>
            </w:pPr>
            <w:r>
              <w:rPr>
                <w:rFonts w:ascii="Arial" w:cs="Arial" w:eastAsia="Arial" w:hAnsi="Arial"/>
                <w:sz w:val="16"/>
                <w:szCs w:val="16"/>
                <w:b w:val="1"/>
                <w:bCs w:val="1"/>
                <w:color w:val="auto"/>
                <w:w w:val="92"/>
              </w:rPr>
              <w:t>Harvey S. Kanter</w:t>
            </w:r>
          </w:p>
        </w:tc>
        <w:tc>
          <w:tcPr>
            <w:tcW w:w="516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378"/>
        </w:trPr>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/s/ PETER H. STRATTON, JR.</w:t>
            </w:r>
          </w:p>
        </w:tc>
        <w:tc>
          <w:tcPr>
            <w:tcW w:w="5160" w:type="dxa"/>
            <w:vAlign w:val="bottom"/>
          </w:tcPr>
          <w:p>
            <w:pPr>
              <w:ind w:left="160"/>
              <w:spacing w:after="0"/>
              <w:rPr>
                <w:sz w:val="20"/>
                <w:szCs w:val="20"/>
                <w:color w:val="auto"/>
              </w:rPr>
            </w:pPr>
            <w:r>
              <w:rPr>
                <w:rFonts w:ascii="Arial" w:cs="Arial" w:eastAsia="Arial" w:hAnsi="Arial"/>
                <w:sz w:val="16"/>
                <w:szCs w:val="16"/>
                <w:color w:val="auto"/>
                <w:w w:val="95"/>
              </w:rPr>
              <w:t>Executive Vice President, Chief Financial Officer and Treasurer (Principal</w:t>
            </w:r>
          </w:p>
        </w:tc>
        <w:tc>
          <w:tcPr>
            <w:tcW w:w="2100" w:type="dxa"/>
            <w:vAlign w:val="bottom"/>
          </w:tcPr>
          <w:p>
            <w:pPr>
              <w:ind w:left="180"/>
              <w:spacing w:after="0"/>
              <w:rPr>
                <w:sz w:val="20"/>
                <w:szCs w:val="20"/>
                <w:color w:val="auto"/>
              </w:rPr>
            </w:pPr>
            <w:r>
              <w:rPr>
                <w:rFonts w:ascii="Arial" w:cs="Arial" w:eastAsia="Arial" w:hAnsi="Arial"/>
                <w:sz w:val="16"/>
                <w:szCs w:val="16"/>
                <w:color w:val="auto"/>
              </w:rPr>
              <w:t>June 4, 2020</w:t>
            </w:r>
          </w:p>
        </w:tc>
      </w:tr>
      <w:tr>
        <w:trPr>
          <w:trHeight w:val="216"/>
        </w:trPr>
        <w:tc>
          <w:tcPr>
            <w:tcW w:w="4020" w:type="dxa"/>
            <w:vAlign w:val="bottom"/>
          </w:tcPr>
          <w:p>
            <w:pPr>
              <w:jc w:val="center"/>
              <w:spacing w:after="0"/>
              <w:rPr>
                <w:sz w:val="20"/>
                <w:szCs w:val="20"/>
                <w:color w:val="auto"/>
              </w:rPr>
            </w:pPr>
            <w:r>
              <w:rPr>
                <w:rFonts w:ascii="Arial" w:cs="Arial" w:eastAsia="Arial" w:hAnsi="Arial"/>
                <w:sz w:val="16"/>
                <w:szCs w:val="16"/>
                <w:b w:val="1"/>
                <w:bCs w:val="1"/>
                <w:color w:val="auto"/>
                <w:w w:val="91"/>
              </w:rPr>
              <w:t>Peter H. Stratton, Jr.</w:t>
            </w:r>
          </w:p>
        </w:tc>
        <w:tc>
          <w:tcPr>
            <w:tcW w:w="5160" w:type="dxa"/>
            <w:vAlign w:val="bottom"/>
          </w:tcPr>
          <w:p>
            <w:pPr>
              <w:ind w:left="160"/>
              <w:spacing w:after="0" w:line="181" w:lineRule="exact"/>
              <w:rPr>
                <w:sz w:val="20"/>
                <w:szCs w:val="20"/>
                <w:color w:val="auto"/>
              </w:rPr>
            </w:pPr>
            <w:r>
              <w:rPr>
                <w:rFonts w:ascii="Arial" w:cs="Arial" w:eastAsia="Arial" w:hAnsi="Arial"/>
                <w:sz w:val="16"/>
                <w:szCs w:val="16"/>
                <w:color w:val="auto"/>
              </w:rPr>
              <w:t>Financial Officer)</w:t>
            </w:r>
          </w:p>
        </w:tc>
        <w:tc>
          <w:tcPr>
            <w:tcW w:w="2100" w:type="dxa"/>
            <w:vAlign w:val="bottom"/>
          </w:tcPr>
          <w:p>
            <w:pPr>
              <w:spacing w:after="0"/>
              <w:rPr>
                <w:sz w:val="18"/>
                <w:szCs w:val="18"/>
                <w:color w:val="auto"/>
              </w:rPr>
            </w:pPr>
          </w:p>
        </w:tc>
      </w:tr>
      <w:tr>
        <w:trPr>
          <w:trHeight w:val="378"/>
        </w:trPr>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/s/ JOHN F. COONEY</w:t>
            </w:r>
          </w:p>
        </w:tc>
        <w:tc>
          <w:tcPr>
            <w:tcW w:w="5160" w:type="dxa"/>
            <w:vAlign w:val="bottom"/>
          </w:tcPr>
          <w:p>
            <w:pPr>
              <w:ind w:left="160"/>
              <w:spacing w:after="0"/>
              <w:rPr>
                <w:sz w:val="20"/>
                <w:szCs w:val="20"/>
                <w:color w:val="auto"/>
              </w:rPr>
            </w:pPr>
            <w:r>
              <w:rPr>
                <w:rFonts w:ascii="Arial" w:cs="Arial" w:eastAsia="Arial" w:hAnsi="Arial"/>
                <w:sz w:val="16"/>
                <w:szCs w:val="16"/>
                <w:color w:val="auto"/>
                <w:w w:val="93"/>
              </w:rPr>
              <w:t>Vice President and Managing Director of Finance, Chief Accounting Officer</w:t>
            </w:r>
          </w:p>
        </w:tc>
        <w:tc>
          <w:tcPr>
            <w:tcW w:w="2100" w:type="dxa"/>
            <w:vAlign w:val="bottom"/>
          </w:tcPr>
          <w:p>
            <w:pPr>
              <w:ind w:left="180"/>
              <w:spacing w:after="0"/>
              <w:rPr>
                <w:sz w:val="20"/>
                <w:szCs w:val="20"/>
                <w:color w:val="auto"/>
              </w:rPr>
            </w:pPr>
            <w:r>
              <w:rPr>
                <w:rFonts w:ascii="Arial" w:cs="Arial" w:eastAsia="Arial" w:hAnsi="Arial"/>
                <w:sz w:val="16"/>
                <w:szCs w:val="16"/>
                <w:color w:val="auto"/>
              </w:rPr>
              <w:t>June 4, 2020</w:t>
            </w:r>
          </w:p>
        </w:tc>
      </w:tr>
      <w:tr>
        <w:trPr>
          <w:trHeight w:val="216"/>
        </w:trPr>
        <w:tc>
          <w:tcPr>
            <w:tcW w:w="4020" w:type="dxa"/>
            <w:vAlign w:val="bottom"/>
          </w:tcPr>
          <w:p>
            <w:pPr>
              <w:jc w:val="center"/>
              <w:spacing w:after="0"/>
              <w:rPr>
                <w:sz w:val="20"/>
                <w:szCs w:val="20"/>
                <w:color w:val="auto"/>
              </w:rPr>
            </w:pPr>
            <w:r>
              <w:rPr>
                <w:rFonts w:ascii="Arial" w:cs="Arial" w:eastAsia="Arial" w:hAnsi="Arial"/>
                <w:sz w:val="16"/>
                <w:szCs w:val="16"/>
                <w:b w:val="1"/>
                <w:bCs w:val="1"/>
                <w:color w:val="auto"/>
                <w:w w:val="86"/>
              </w:rPr>
              <w:t>John F. Cooney</w:t>
            </w:r>
          </w:p>
        </w:tc>
        <w:tc>
          <w:tcPr>
            <w:tcW w:w="5160" w:type="dxa"/>
            <w:vAlign w:val="bottom"/>
          </w:tcPr>
          <w:p>
            <w:pPr>
              <w:ind w:left="160"/>
              <w:spacing w:after="0" w:line="181" w:lineRule="exact"/>
              <w:rPr>
                <w:sz w:val="20"/>
                <w:szCs w:val="20"/>
                <w:color w:val="auto"/>
              </w:rPr>
            </w:pPr>
            <w:r>
              <w:rPr>
                <w:rFonts w:ascii="Arial" w:cs="Arial" w:eastAsia="Arial" w:hAnsi="Arial"/>
                <w:sz w:val="16"/>
                <w:szCs w:val="16"/>
                <w:color w:val="auto"/>
              </w:rPr>
              <w:t>and Corporate Controller (Principal Accounting Officer)</w:t>
            </w:r>
          </w:p>
        </w:tc>
        <w:tc>
          <w:tcPr>
            <w:tcW w:w="2100" w:type="dxa"/>
            <w:vAlign w:val="bottom"/>
          </w:tcPr>
          <w:p>
            <w:pPr>
              <w:spacing w:after="0"/>
              <w:rPr>
                <w:sz w:val="18"/>
                <w:szCs w:val="18"/>
                <w:color w:val="auto"/>
              </w:rPr>
            </w:pPr>
          </w:p>
        </w:tc>
      </w:tr>
      <w:tr>
        <w:trPr>
          <w:trHeight w:val="379"/>
        </w:trPr>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/s/ JOHN E. KYEES</w:t>
            </w:r>
          </w:p>
        </w:tc>
        <w:tc>
          <w:tcPr>
            <w:tcW w:w="5160" w:type="dxa"/>
            <w:vAlign w:val="bottom"/>
          </w:tcPr>
          <w:p>
            <w:pPr>
              <w:ind w:left="160"/>
              <w:spacing w:after="0"/>
              <w:rPr>
                <w:sz w:val="20"/>
                <w:szCs w:val="20"/>
                <w:color w:val="auto"/>
              </w:rPr>
            </w:pPr>
            <w:r>
              <w:rPr>
                <w:rFonts w:ascii="Arial" w:cs="Arial" w:eastAsia="Arial" w:hAnsi="Arial"/>
                <w:sz w:val="16"/>
                <w:szCs w:val="16"/>
                <w:color w:val="auto"/>
              </w:rPr>
              <w:t>Chairman of the Board of Directors</w:t>
            </w:r>
          </w:p>
        </w:tc>
        <w:tc>
          <w:tcPr>
            <w:tcW w:w="2100" w:type="dxa"/>
            <w:vAlign w:val="bottom"/>
          </w:tcPr>
          <w:p>
            <w:pPr>
              <w:ind w:left="180"/>
              <w:spacing w:after="0"/>
              <w:rPr>
                <w:sz w:val="20"/>
                <w:szCs w:val="20"/>
                <w:color w:val="auto"/>
              </w:rPr>
            </w:pPr>
            <w:r>
              <w:rPr>
                <w:rFonts w:ascii="Arial" w:cs="Arial" w:eastAsia="Arial" w:hAnsi="Arial"/>
                <w:sz w:val="16"/>
                <w:szCs w:val="16"/>
                <w:color w:val="auto"/>
              </w:rPr>
              <w:t>June 4, 2020</w:t>
            </w:r>
          </w:p>
        </w:tc>
      </w:tr>
      <w:tr>
        <w:trPr>
          <w:trHeight w:val="216"/>
        </w:trPr>
        <w:tc>
          <w:tcPr>
            <w:tcW w:w="4020" w:type="dxa"/>
            <w:vAlign w:val="bottom"/>
          </w:tcPr>
          <w:p>
            <w:pPr>
              <w:jc w:val="center"/>
              <w:spacing w:after="0"/>
              <w:rPr>
                <w:sz w:val="20"/>
                <w:szCs w:val="20"/>
                <w:color w:val="auto"/>
              </w:rPr>
            </w:pPr>
            <w:r>
              <w:rPr>
                <w:rFonts w:ascii="Arial" w:cs="Arial" w:eastAsia="Arial" w:hAnsi="Arial"/>
                <w:sz w:val="16"/>
                <w:szCs w:val="16"/>
                <w:b w:val="1"/>
                <w:bCs w:val="1"/>
                <w:color w:val="auto"/>
                <w:w w:val="87"/>
              </w:rPr>
              <w:t>John E. Kyees</w:t>
            </w:r>
          </w:p>
        </w:tc>
        <w:tc>
          <w:tcPr>
            <w:tcW w:w="516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379"/>
        </w:trPr>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 JACK BOYLE</w:t>
            </w:r>
          </w:p>
        </w:tc>
        <w:tc>
          <w:tcPr>
            <w:tcW w:w="5160" w:type="dxa"/>
            <w:vAlign w:val="bottom"/>
          </w:tcPr>
          <w:p>
            <w:pPr>
              <w:ind w:left="160"/>
              <w:spacing w:after="0"/>
              <w:rPr>
                <w:sz w:val="20"/>
                <w:szCs w:val="20"/>
                <w:color w:val="auto"/>
              </w:rPr>
            </w:pPr>
            <w:r>
              <w:rPr>
                <w:rFonts w:ascii="Arial" w:cs="Arial" w:eastAsia="Arial" w:hAnsi="Arial"/>
                <w:sz w:val="16"/>
                <w:szCs w:val="16"/>
                <w:color w:val="auto"/>
              </w:rPr>
              <w:t>Director</w:t>
            </w:r>
          </w:p>
        </w:tc>
        <w:tc>
          <w:tcPr>
            <w:tcW w:w="2100" w:type="dxa"/>
            <w:vAlign w:val="bottom"/>
          </w:tcPr>
          <w:p>
            <w:pPr>
              <w:ind w:left="180"/>
              <w:spacing w:after="0"/>
              <w:rPr>
                <w:sz w:val="20"/>
                <w:szCs w:val="20"/>
                <w:color w:val="auto"/>
              </w:rPr>
            </w:pPr>
            <w:r>
              <w:rPr>
                <w:rFonts w:ascii="Arial" w:cs="Arial" w:eastAsia="Arial" w:hAnsi="Arial"/>
                <w:sz w:val="16"/>
                <w:szCs w:val="16"/>
                <w:color w:val="auto"/>
              </w:rPr>
              <w:t>June 4, 2020</w:t>
            </w:r>
          </w:p>
        </w:tc>
      </w:tr>
      <w:tr>
        <w:trPr>
          <w:trHeight w:val="216"/>
        </w:trPr>
        <w:tc>
          <w:tcPr>
            <w:tcW w:w="4020" w:type="dxa"/>
            <w:vAlign w:val="bottom"/>
          </w:tcPr>
          <w:p>
            <w:pPr>
              <w:jc w:val="center"/>
              <w:spacing w:after="0"/>
              <w:rPr>
                <w:sz w:val="20"/>
                <w:szCs w:val="20"/>
                <w:color w:val="auto"/>
              </w:rPr>
            </w:pPr>
            <w:r>
              <w:rPr>
                <w:rFonts w:ascii="Arial" w:cs="Arial" w:eastAsia="Arial" w:hAnsi="Arial"/>
                <w:sz w:val="16"/>
                <w:szCs w:val="16"/>
                <w:b w:val="1"/>
                <w:bCs w:val="1"/>
                <w:color w:val="auto"/>
                <w:w w:val="88"/>
              </w:rPr>
              <w:t>Jack Boyle</w:t>
            </w:r>
          </w:p>
        </w:tc>
        <w:tc>
          <w:tcPr>
            <w:tcW w:w="516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379"/>
        </w:trPr>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 LIONEL F. CONACHER</w:t>
            </w:r>
          </w:p>
        </w:tc>
        <w:tc>
          <w:tcPr>
            <w:tcW w:w="5160" w:type="dxa"/>
            <w:vAlign w:val="bottom"/>
          </w:tcPr>
          <w:p>
            <w:pPr>
              <w:ind w:left="160"/>
              <w:spacing w:after="0"/>
              <w:rPr>
                <w:sz w:val="20"/>
                <w:szCs w:val="20"/>
                <w:color w:val="auto"/>
              </w:rPr>
            </w:pPr>
            <w:r>
              <w:rPr>
                <w:rFonts w:ascii="Arial" w:cs="Arial" w:eastAsia="Arial" w:hAnsi="Arial"/>
                <w:sz w:val="16"/>
                <w:szCs w:val="16"/>
                <w:color w:val="auto"/>
              </w:rPr>
              <w:t>Director</w:t>
            </w:r>
          </w:p>
        </w:tc>
        <w:tc>
          <w:tcPr>
            <w:tcW w:w="2100" w:type="dxa"/>
            <w:vAlign w:val="bottom"/>
          </w:tcPr>
          <w:p>
            <w:pPr>
              <w:ind w:left="180"/>
              <w:spacing w:after="0"/>
              <w:rPr>
                <w:sz w:val="20"/>
                <w:szCs w:val="20"/>
                <w:color w:val="auto"/>
              </w:rPr>
            </w:pPr>
            <w:r>
              <w:rPr>
                <w:rFonts w:ascii="Arial" w:cs="Arial" w:eastAsia="Arial" w:hAnsi="Arial"/>
                <w:sz w:val="16"/>
                <w:szCs w:val="16"/>
                <w:color w:val="auto"/>
              </w:rPr>
              <w:t>June 4, 2020</w:t>
            </w:r>
          </w:p>
        </w:tc>
      </w:tr>
      <w:tr>
        <w:trPr>
          <w:trHeight w:val="216"/>
        </w:trPr>
        <w:tc>
          <w:tcPr>
            <w:tcW w:w="4020" w:type="dxa"/>
            <w:vAlign w:val="bottom"/>
          </w:tcPr>
          <w:p>
            <w:pPr>
              <w:jc w:val="center"/>
              <w:spacing w:after="0"/>
              <w:rPr>
                <w:sz w:val="20"/>
                <w:szCs w:val="20"/>
                <w:color w:val="auto"/>
              </w:rPr>
            </w:pPr>
            <w:r>
              <w:rPr>
                <w:rFonts w:ascii="Arial" w:cs="Arial" w:eastAsia="Arial" w:hAnsi="Arial"/>
                <w:sz w:val="16"/>
                <w:szCs w:val="16"/>
                <w:b w:val="1"/>
                <w:bCs w:val="1"/>
                <w:color w:val="auto"/>
                <w:w w:val="90"/>
              </w:rPr>
              <w:t>Lionel F. Conacher</w:t>
            </w:r>
          </w:p>
        </w:tc>
        <w:tc>
          <w:tcPr>
            <w:tcW w:w="516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379"/>
        </w:trPr>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/s/ SEYMOUR HOLTZMAN</w:t>
            </w:r>
          </w:p>
        </w:tc>
        <w:tc>
          <w:tcPr>
            <w:tcW w:w="5160" w:type="dxa"/>
            <w:vAlign w:val="bottom"/>
          </w:tcPr>
          <w:p>
            <w:pPr>
              <w:ind w:left="160"/>
              <w:spacing w:after="0"/>
              <w:rPr>
                <w:sz w:val="20"/>
                <w:szCs w:val="20"/>
                <w:color w:val="auto"/>
              </w:rPr>
            </w:pPr>
            <w:r>
              <w:rPr>
                <w:rFonts w:ascii="Arial" w:cs="Arial" w:eastAsia="Arial" w:hAnsi="Arial"/>
                <w:sz w:val="16"/>
                <w:szCs w:val="16"/>
                <w:color w:val="auto"/>
              </w:rPr>
              <w:t>Director</w:t>
            </w:r>
          </w:p>
        </w:tc>
        <w:tc>
          <w:tcPr>
            <w:tcW w:w="2100" w:type="dxa"/>
            <w:vAlign w:val="bottom"/>
          </w:tcPr>
          <w:p>
            <w:pPr>
              <w:ind w:left="180"/>
              <w:spacing w:after="0"/>
              <w:rPr>
                <w:sz w:val="20"/>
                <w:szCs w:val="20"/>
                <w:color w:val="auto"/>
              </w:rPr>
            </w:pPr>
            <w:r>
              <w:rPr>
                <w:rFonts w:ascii="Arial" w:cs="Arial" w:eastAsia="Arial" w:hAnsi="Arial"/>
                <w:sz w:val="16"/>
                <w:szCs w:val="16"/>
                <w:color w:val="auto"/>
              </w:rPr>
              <w:t>June 4, 2020</w:t>
            </w:r>
          </w:p>
        </w:tc>
      </w:tr>
      <w:tr>
        <w:trPr>
          <w:trHeight w:val="216"/>
        </w:trPr>
        <w:tc>
          <w:tcPr>
            <w:tcW w:w="4020" w:type="dxa"/>
            <w:vAlign w:val="bottom"/>
          </w:tcPr>
          <w:p>
            <w:pPr>
              <w:jc w:val="center"/>
              <w:spacing w:after="0"/>
              <w:rPr>
                <w:sz w:val="20"/>
                <w:szCs w:val="20"/>
                <w:color w:val="auto"/>
              </w:rPr>
            </w:pPr>
            <w:r>
              <w:rPr>
                <w:rFonts w:ascii="Arial" w:cs="Arial" w:eastAsia="Arial" w:hAnsi="Arial"/>
                <w:sz w:val="16"/>
                <w:szCs w:val="16"/>
                <w:b w:val="1"/>
                <w:bCs w:val="1"/>
                <w:color w:val="auto"/>
                <w:w w:val="89"/>
              </w:rPr>
              <w:t>Seymour Holtzman</w:t>
            </w:r>
          </w:p>
        </w:tc>
        <w:tc>
          <w:tcPr>
            <w:tcW w:w="516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379"/>
        </w:trPr>
        <w:tc>
          <w:tcPr>
            <w:tcW w:w="4020" w:type="dxa"/>
            <w:vAlign w:val="bottom"/>
            <w:tcBorders>
              <w:bottom w:val="single" w:sz="8" w:color="auto"/>
            </w:tcBorders>
          </w:tcPr>
          <w:p>
            <w:pPr>
              <w:ind w:left="1220"/>
              <w:spacing w:after="0"/>
              <w:rPr>
                <w:sz w:val="20"/>
                <w:szCs w:val="20"/>
                <w:color w:val="auto"/>
              </w:rPr>
            </w:pPr>
            <w:r>
              <w:rPr>
                <w:rFonts w:ascii="Arial" w:cs="Arial" w:eastAsia="Arial" w:hAnsi="Arial"/>
                <w:sz w:val="16"/>
                <w:szCs w:val="16"/>
                <w:color w:val="auto"/>
              </w:rPr>
              <w:t>/s/ WILLEM MESDAG</w:t>
            </w:r>
          </w:p>
        </w:tc>
        <w:tc>
          <w:tcPr>
            <w:tcW w:w="5160" w:type="dxa"/>
            <w:vAlign w:val="bottom"/>
          </w:tcPr>
          <w:p>
            <w:pPr>
              <w:ind w:left="160"/>
              <w:spacing w:after="0"/>
              <w:rPr>
                <w:sz w:val="20"/>
                <w:szCs w:val="20"/>
                <w:color w:val="auto"/>
              </w:rPr>
            </w:pPr>
            <w:r>
              <w:rPr>
                <w:rFonts w:ascii="Arial" w:cs="Arial" w:eastAsia="Arial" w:hAnsi="Arial"/>
                <w:sz w:val="16"/>
                <w:szCs w:val="16"/>
                <w:color w:val="auto"/>
              </w:rPr>
              <w:t>Director</w:t>
            </w:r>
          </w:p>
        </w:tc>
        <w:tc>
          <w:tcPr>
            <w:tcW w:w="2100" w:type="dxa"/>
            <w:vAlign w:val="bottom"/>
          </w:tcPr>
          <w:p>
            <w:pPr>
              <w:ind w:left="180"/>
              <w:spacing w:after="0"/>
              <w:rPr>
                <w:sz w:val="20"/>
                <w:szCs w:val="20"/>
                <w:color w:val="auto"/>
              </w:rPr>
            </w:pPr>
            <w:r>
              <w:rPr>
                <w:rFonts w:ascii="Arial" w:cs="Arial" w:eastAsia="Arial" w:hAnsi="Arial"/>
                <w:sz w:val="16"/>
                <w:szCs w:val="16"/>
                <w:color w:val="auto"/>
              </w:rPr>
              <w:t>June 4, 2020</w:t>
            </w:r>
          </w:p>
        </w:tc>
      </w:tr>
      <w:tr>
        <w:trPr>
          <w:trHeight w:val="216"/>
        </w:trPr>
        <w:tc>
          <w:tcPr>
            <w:tcW w:w="4020" w:type="dxa"/>
            <w:vAlign w:val="bottom"/>
          </w:tcPr>
          <w:p>
            <w:pPr>
              <w:jc w:val="center"/>
              <w:spacing w:after="0"/>
              <w:rPr>
                <w:sz w:val="20"/>
                <w:szCs w:val="20"/>
                <w:color w:val="auto"/>
              </w:rPr>
            </w:pPr>
            <w:r>
              <w:rPr>
                <w:rFonts w:ascii="Arial" w:cs="Arial" w:eastAsia="Arial" w:hAnsi="Arial"/>
                <w:sz w:val="16"/>
                <w:szCs w:val="16"/>
                <w:b w:val="1"/>
                <w:bCs w:val="1"/>
                <w:color w:val="auto"/>
                <w:w w:val="91"/>
              </w:rPr>
              <w:t>Willem Mesdag</w:t>
            </w:r>
          </w:p>
        </w:tc>
        <w:tc>
          <w:tcPr>
            <w:tcW w:w="516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379"/>
        </w:trPr>
        <w:tc>
          <w:tcPr>
            <w:tcW w:w="4020" w:type="dxa"/>
            <w:vAlign w:val="bottom"/>
            <w:tcBorders>
              <w:bottom w:val="single" w:sz="8" w:color="auto"/>
            </w:tcBorders>
          </w:tcPr>
          <w:p>
            <w:pPr>
              <w:ind w:left="1180"/>
              <w:spacing w:after="0"/>
              <w:rPr>
                <w:sz w:val="20"/>
                <w:szCs w:val="20"/>
                <w:color w:val="auto"/>
              </w:rPr>
            </w:pPr>
            <w:r>
              <w:rPr>
                <w:rFonts w:ascii="Arial" w:cs="Arial" w:eastAsia="Arial" w:hAnsi="Arial"/>
                <w:sz w:val="16"/>
                <w:szCs w:val="16"/>
                <w:color w:val="auto"/>
              </w:rPr>
              <w:t>/s/ WARD K. MOONEY</w:t>
            </w:r>
          </w:p>
        </w:tc>
        <w:tc>
          <w:tcPr>
            <w:tcW w:w="5160" w:type="dxa"/>
            <w:vAlign w:val="bottom"/>
          </w:tcPr>
          <w:p>
            <w:pPr>
              <w:ind w:left="160"/>
              <w:spacing w:after="0"/>
              <w:rPr>
                <w:sz w:val="20"/>
                <w:szCs w:val="20"/>
                <w:color w:val="auto"/>
              </w:rPr>
            </w:pPr>
            <w:r>
              <w:rPr>
                <w:rFonts w:ascii="Arial" w:cs="Arial" w:eastAsia="Arial" w:hAnsi="Arial"/>
                <w:sz w:val="16"/>
                <w:szCs w:val="16"/>
                <w:color w:val="auto"/>
              </w:rPr>
              <w:t>Director</w:t>
            </w:r>
          </w:p>
        </w:tc>
        <w:tc>
          <w:tcPr>
            <w:tcW w:w="2100" w:type="dxa"/>
            <w:vAlign w:val="bottom"/>
          </w:tcPr>
          <w:p>
            <w:pPr>
              <w:ind w:left="180"/>
              <w:spacing w:after="0"/>
              <w:rPr>
                <w:sz w:val="20"/>
                <w:szCs w:val="20"/>
                <w:color w:val="auto"/>
              </w:rPr>
            </w:pPr>
            <w:r>
              <w:rPr>
                <w:rFonts w:ascii="Arial" w:cs="Arial" w:eastAsia="Arial" w:hAnsi="Arial"/>
                <w:sz w:val="16"/>
                <w:szCs w:val="16"/>
                <w:color w:val="auto"/>
              </w:rPr>
              <w:t>June 4, 2020</w:t>
            </w:r>
          </w:p>
        </w:tc>
      </w:tr>
      <w:tr>
        <w:trPr>
          <w:trHeight w:val="216"/>
        </w:trPr>
        <w:tc>
          <w:tcPr>
            <w:tcW w:w="4020" w:type="dxa"/>
            <w:vAlign w:val="bottom"/>
          </w:tcPr>
          <w:p>
            <w:pPr>
              <w:jc w:val="center"/>
              <w:spacing w:after="0"/>
              <w:rPr>
                <w:sz w:val="20"/>
                <w:szCs w:val="20"/>
                <w:color w:val="auto"/>
              </w:rPr>
            </w:pPr>
            <w:r>
              <w:rPr>
                <w:rFonts w:ascii="Arial" w:cs="Arial" w:eastAsia="Arial" w:hAnsi="Arial"/>
                <w:sz w:val="16"/>
                <w:szCs w:val="16"/>
                <w:b w:val="1"/>
                <w:bCs w:val="1"/>
                <w:color w:val="auto"/>
                <w:w w:val="94"/>
              </w:rPr>
              <w:t>Ward K. Mooney</w:t>
            </w:r>
          </w:p>
        </w:tc>
        <w:tc>
          <w:tcPr>
            <w:tcW w:w="516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378"/>
        </w:trPr>
        <w:tc>
          <w:tcPr>
            <w:tcW w:w="4020" w:type="dxa"/>
            <w:vAlign w:val="bottom"/>
          </w:tcPr>
          <w:p>
            <w:pPr>
              <w:spacing w:after="0"/>
              <w:rPr>
                <w:sz w:val="24"/>
                <w:szCs w:val="24"/>
                <w:color w:val="auto"/>
              </w:rPr>
            </w:pPr>
          </w:p>
        </w:tc>
        <w:tc>
          <w:tcPr>
            <w:tcW w:w="5160" w:type="dxa"/>
            <w:vAlign w:val="bottom"/>
          </w:tcPr>
          <w:p>
            <w:pPr>
              <w:ind w:left="1480"/>
              <w:spacing w:after="0"/>
              <w:rPr>
                <w:sz w:val="20"/>
                <w:szCs w:val="20"/>
                <w:color w:val="auto"/>
              </w:rPr>
            </w:pPr>
            <w:r>
              <w:rPr>
                <w:rFonts w:ascii="Arial" w:cs="Arial" w:eastAsia="Arial" w:hAnsi="Arial"/>
                <w:sz w:val="16"/>
                <w:szCs w:val="16"/>
                <w:color w:val="auto"/>
              </w:rPr>
              <w:t>II-5</w:t>
            </w:r>
          </w:p>
        </w:tc>
        <w:tc>
          <w:tcPr>
            <w:tcW w:w="2100" w:type="dxa"/>
            <w:vAlign w:val="bottom"/>
          </w:tcPr>
          <w:p>
            <w:pPr>
              <w:spacing w:after="0"/>
              <w:rPr>
                <w:sz w:val="24"/>
                <w:szCs w:val="24"/>
                <w:color w:val="auto"/>
              </w:rPr>
            </w:pPr>
          </w:p>
        </w:tc>
      </w:tr>
      <w:tr>
        <w:trPr>
          <w:trHeight w:val="288"/>
        </w:trPr>
        <w:tc>
          <w:tcPr>
            <w:tcW w:w="402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7153275</wp:posOffset>
            </wp:positionH>
            <wp:positionV relativeFrom="paragraph">
              <wp:posOffset>-6985</wp:posOffset>
            </wp:positionV>
            <wp:extent cx="762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80"/>
          </w:cols>
          <w:pgMar w:left="320" w:top="312" w:right="29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4"/>
        </w:trPr>
        <w:tc>
          <w:tcPr>
            <w:tcW w:w="4020" w:type="dxa"/>
            <w:vAlign w:val="bottom"/>
          </w:tcPr>
          <w:p>
            <w:pPr>
              <w:jc w:val="center"/>
              <w:spacing w:after="0"/>
              <w:rPr>
                <w:sz w:val="20"/>
                <w:szCs w:val="20"/>
                <w:color w:val="auto"/>
              </w:rPr>
            </w:pPr>
            <w:r>
              <w:rPr>
                <w:rFonts w:ascii="Arial" w:cs="Arial" w:eastAsia="Arial" w:hAnsi="Arial"/>
                <w:sz w:val="16"/>
                <w:szCs w:val="16"/>
                <w:b w:val="1"/>
                <w:bCs w:val="1"/>
                <w:color w:val="auto"/>
                <w:w w:val="84"/>
              </w:rPr>
              <w:t>Signatures</w:t>
            </w:r>
          </w:p>
        </w:tc>
        <w:tc>
          <w:tcPr>
            <w:tcW w:w="4080" w:type="dxa"/>
            <w:vAlign w:val="bottom"/>
          </w:tcPr>
          <w:p>
            <w:pPr>
              <w:ind w:left="2520"/>
              <w:spacing w:after="0"/>
              <w:rPr>
                <w:sz w:val="20"/>
                <w:szCs w:val="20"/>
                <w:color w:val="auto"/>
              </w:rPr>
            </w:pPr>
            <w:r>
              <w:rPr>
                <w:rFonts w:ascii="Arial" w:cs="Arial" w:eastAsia="Arial" w:hAnsi="Arial"/>
                <w:sz w:val="16"/>
                <w:szCs w:val="16"/>
                <w:b w:val="1"/>
                <w:bCs w:val="1"/>
                <w:color w:val="auto"/>
              </w:rPr>
              <w:t>Title</w:t>
            </w:r>
          </w:p>
        </w:tc>
        <w:tc>
          <w:tcPr>
            <w:tcW w:w="2360" w:type="dxa"/>
            <w:vAlign w:val="bottom"/>
          </w:tcPr>
          <w:p>
            <w:pPr>
              <w:ind w:left="2040"/>
              <w:spacing w:after="0"/>
              <w:rPr>
                <w:sz w:val="20"/>
                <w:szCs w:val="20"/>
                <w:color w:val="auto"/>
              </w:rPr>
            </w:pPr>
            <w:r>
              <w:rPr>
                <w:rFonts w:ascii="Arial" w:cs="Arial" w:eastAsia="Arial" w:hAnsi="Arial"/>
                <w:sz w:val="16"/>
                <w:szCs w:val="16"/>
                <w:b w:val="1"/>
                <w:bCs w:val="1"/>
                <w:color w:val="auto"/>
                <w:w w:val="86"/>
              </w:rPr>
              <w:t>Date</w:t>
            </w:r>
          </w:p>
        </w:tc>
      </w:tr>
      <w:tr>
        <w:trPr>
          <w:trHeight w:val="379"/>
        </w:trPr>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/s/ MITCHELL S. PRESSER</w:t>
            </w:r>
          </w:p>
        </w:tc>
        <w:tc>
          <w:tcPr>
            <w:tcW w:w="4080" w:type="dxa"/>
            <w:vAlign w:val="bottom"/>
          </w:tcPr>
          <w:p>
            <w:pPr>
              <w:ind w:left="160"/>
              <w:spacing w:after="0"/>
              <w:rPr>
                <w:sz w:val="20"/>
                <w:szCs w:val="20"/>
                <w:color w:val="auto"/>
              </w:rPr>
            </w:pPr>
            <w:r>
              <w:rPr>
                <w:rFonts w:ascii="Arial" w:cs="Arial" w:eastAsia="Arial" w:hAnsi="Arial"/>
                <w:sz w:val="16"/>
                <w:szCs w:val="16"/>
                <w:color w:val="auto"/>
              </w:rPr>
              <w:t>Director</w:t>
            </w:r>
          </w:p>
        </w:tc>
        <w:tc>
          <w:tcPr>
            <w:tcW w:w="2360" w:type="dxa"/>
            <w:vAlign w:val="bottom"/>
          </w:tcPr>
          <w:p>
            <w:pPr>
              <w:ind w:left="1260"/>
              <w:spacing w:after="0"/>
              <w:rPr>
                <w:sz w:val="20"/>
                <w:szCs w:val="20"/>
                <w:color w:val="auto"/>
              </w:rPr>
            </w:pPr>
            <w:r>
              <w:rPr>
                <w:rFonts w:ascii="Arial" w:cs="Arial" w:eastAsia="Arial" w:hAnsi="Arial"/>
                <w:sz w:val="16"/>
                <w:szCs w:val="16"/>
                <w:color w:val="auto"/>
              </w:rPr>
              <w:t>June 4, 2020</w:t>
            </w:r>
          </w:p>
        </w:tc>
      </w:tr>
      <w:tr>
        <w:trPr>
          <w:trHeight w:val="216"/>
        </w:trPr>
        <w:tc>
          <w:tcPr>
            <w:tcW w:w="4020" w:type="dxa"/>
            <w:vAlign w:val="bottom"/>
          </w:tcPr>
          <w:p>
            <w:pPr>
              <w:jc w:val="center"/>
              <w:spacing w:after="0"/>
              <w:rPr>
                <w:sz w:val="20"/>
                <w:szCs w:val="20"/>
                <w:color w:val="auto"/>
              </w:rPr>
            </w:pPr>
            <w:r>
              <w:rPr>
                <w:rFonts w:ascii="Arial" w:cs="Arial" w:eastAsia="Arial" w:hAnsi="Arial"/>
                <w:sz w:val="16"/>
                <w:szCs w:val="16"/>
                <w:b w:val="1"/>
                <w:bCs w:val="1"/>
                <w:color w:val="auto"/>
                <w:w w:val="88"/>
              </w:rPr>
              <w:t>Mitchell S. Presser</w:t>
            </w:r>
          </w:p>
        </w:tc>
        <w:tc>
          <w:tcPr>
            <w:tcW w:w="40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379"/>
        </w:trPr>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/s/ IVY ROSS</w:t>
            </w:r>
          </w:p>
        </w:tc>
        <w:tc>
          <w:tcPr>
            <w:tcW w:w="4080" w:type="dxa"/>
            <w:vAlign w:val="bottom"/>
          </w:tcPr>
          <w:p>
            <w:pPr>
              <w:ind w:left="160"/>
              <w:spacing w:after="0"/>
              <w:rPr>
                <w:sz w:val="20"/>
                <w:szCs w:val="20"/>
                <w:color w:val="auto"/>
              </w:rPr>
            </w:pPr>
            <w:r>
              <w:rPr>
                <w:rFonts w:ascii="Arial" w:cs="Arial" w:eastAsia="Arial" w:hAnsi="Arial"/>
                <w:sz w:val="16"/>
                <w:szCs w:val="16"/>
                <w:color w:val="auto"/>
              </w:rPr>
              <w:t>Director</w:t>
            </w:r>
          </w:p>
        </w:tc>
        <w:tc>
          <w:tcPr>
            <w:tcW w:w="2360" w:type="dxa"/>
            <w:vAlign w:val="bottom"/>
          </w:tcPr>
          <w:p>
            <w:pPr>
              <w:ind w:left="1260"/>
              <w:spacing w:after="0"/>
              <w:rPr>
                <w:sz w:val="20"/>
                <w:szCs w:val="20"/>
                <w:color w:val="auto"/>
              </w:rPr>
            </w:pPr>
            <w:r>
              <w:rPr>
                <w:rFonts w:ascii="Arial" w:cs="Arial" w:eastAsia="Arial" w:hAnsi="Arial"/>
                <w:sz w:val="16"/>
                <w:szCs w:val="16"/>
                <w:color w:val="auto"/>
              </w:rPr>
              <w:t>June 4, 2020</w:t>
            </w:r>
          </w:p>
        </w:tc>
      </w:tr>
      <w:tr>
        <w:trPr>
          <w:trHeight w:val="216"/>
        </w:trPr>
        <w:tc>
          <w:tcPr>
            <w:tcW w:w="4020" w:type="dxa"/>
            <w:vAlign w:val="bottom"/>
          </w:tcPr>
          <w:p>
            <w:pPr>
              <w:jc w:val="center"/>
              <w:spacing w:after="0"/>
              <w:rPr>
                <w:sz w:val="20"/>
                <w:szCs w:val="20"/>
                <w:color w:val="auto"/>
              </w:rPr>
            </w:pPr>
            <w:r>
              <w:rPr>
                <w:rFonts w:ascii="Arial" w:cs="Arial" w:eastAsia="Arial" w:hAnsi="Arial"/>
                <w:sz w:val="16"/>
                <w:szCs w:val="16"/>
                <w:b w:val="1"/>
                <w:bCs w:val="1"/>
                <w:color w:val="auto"/>
                <w:w w:val="88"/>
              </w:rPr>
              <w:t>Ivy Ross</w:t>
            </w:r>
          </w:p>
        </w:tc>
        <w:tc>
          <w:tcPr>
            <w:tcW w:w="40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567"/>
        </w:trPr>
        <w:tc>
          <w:tcPr>
            <w:tcW w:w="4020" w:type="dxa"/>
            <w:vAlign w:val="bottom"/>
          </w:tcPr>
          <w:p>
            <w:pPr>
              <w:spacing w:after="0"/>
              <w:rPr>
                <w:sz w:val="24"/>
                <w:szCs w:val="24"/>
                <w:color w:val="auto"/>
              </w:rPr>
            </w:pPr>
          </w:p>
        </w:tc>
        <w:tc>
          <w:tcPr>
            <w:tcW w:w="4080" w:type="dxa"/>
            <w:vAlign w:val="bottom"/>
          </w:tcPr>
          <w:p>
            <w:pPr>
              <w:ind w:left="1480"/>
              <w:spacing w:after="0"/>
              <w:rPr>
                <w:sz w:val="20"/>
                <w:szCs w:val="20"/>
                <w:color w:val="auto"/>
              </w:rPr>
            </w:pPr>
            <w:r>
              <w:rPr>
                <w:rFonts w:ascii="Arial" w:cs="Arial" w:eastAsia="Arial" w:hAnsi="Arial"/>
                <w:sz w:val="16"/>
                <w:szCs w:val="16"/>
                <w:color w:val="auto"/>
              </w:rPr>
              <w:t>II-6</w:t>
            </w:r>
          </w:p>
        </w:tc>
        <w:tc>
          <w:tcPr>
            <w:tcW w:w="2360" w:type="dxa"/>
            <w:vAlign w:val="bottom"/>
          </w:tcPr>
          <w:p>
            <w:pPr>
              <w:spacing w:after="0"/>
              <w:rPr>
                <w:sz w:val="24"/>
                <w:szCs w:val="24"/>
                <w:color w:val="auto"/>
              </w:rPr>
            </w:pPr>
          </w:p>
        </w:tc>
      </w:tr>
    </w:tbl>
    <w:p>
      <w:pPr>
        <w:sectPr>
          <w:pgSz w:w="11900" w:h="16838" w:orient="portrait"/>
          <w:cols w:equalWidth="0" w:num="1">
            <w:col w:w="10460"/>
          </w:cols>
          <w:pgMar w:left="320" w:top="312" w:right="1119" w:bottom="1440" w:gutter="0" w:footer="0" w:header="0"/>
        </w:sectPr>
      </w:pPr>
    </w:p>
    <w:bookmarkStart w:id="33" w:name="page34"/>
    <w:bookmarkEnd w:id="33"/>
    <w:p>
      <w:pPr>
        <w:jc w:val="right"/>
        <w:spacing w:after="0"/>
        <w:rPr>
          <w:sz w:val="20"/>
          <w:szCs w:val="20"/>
          <w:color w:val="auto"/>
        </w:rPr>
      </w:pPr>
      <w:r>
        <w:rPr>
          <w:rFonts w:ascii="Arial" w:cs="Arial" w:eastAsia="Arial" w:hAnsi="Arial"/>
          <w:sz w:val="16"/>
          <w:szCs w:val="16"/>
          <w:b w:val="1"/>
          <w:bCs w:val="1"/>
          <w:color w:val="auto"/>
        </w:rPr>
        <w:t>Exhibit 4.1</w:t>
      </w:r>
    </w:p>
    <w:p>
      <w:pPr>
        <w:spacing w:after="0" w:line="170" w:lineRule="exact"/>
        <w:rPr>
          <w:sz w:val="20"/>
          <w:szCs w:val="20"/>
          <w:color w:val="auto"/>
        </w:rPr>
      </w:pPr>
    </w:p>
    <w:p>
      <w:pPr>
        <w:jc w:val="center"/>
        <w:ind w:right="2360"/>
        <w:spacing w:after="0"/>
        <w:rPr>
          <w:sz w:val="20"/>
          <w:szCs w:val="20"/>
          <w:color w:val="auto"/>
        </w:rPr>
      </w:pPr>
      <w:r>
        <w:rPr>
          <w:rFonts w:ascii="Arial" w:cs="Arial" w:eastAsia="Arial" w:hAnsi="Arial"/>
          <w:sz w:val="15"/>
          <w:szCs w:val="15"/>
          <w:b w:val="1"/>
          <w:bCs w:val="1"/>
          <w:color w:val="auto"/>
        </w:rPr>
        <w:t>DESTINATION XL GROUP, INC.,</w:t>
      </w:r>
    </w:p>
    <w:p>
      <w:pPr>
        <w:spacing w:after="0" w:line="32" w:lineRule="exact"/>
        <w:rPr>
          <w:sz w:val="20"/>
          <w:szCs w:val="20"/>
          <w:color w:val="auto"/>
        </w:rPr>
      </w:pPr>
    </w:p>
    <w:p>
      <w:pPr>
        <w:jc w:val="center"/>
        <w:ind w:right="2360"/>
        <w:spacing w:after="0"/>
        <w:rPr>
          <w:sz w:val="20"/>
          <w:szCs w:val="20"/>
          <w:color w:val="auto"/>
        </w:rPr>
      </w:pPr>
      <w:r>
        <w:rPr>
          <w:rFonts w:ascii="Arial" w:cs="Arial" w:eastAsia="Arial" w:hAnsi="Arial"/>
          <w:sz w:val="16"/>
          <w:szCs w:val="16"/>
          <w:b w:val="1"/>
          <w:bCs w:val="1"/>
          <w:color w:val="auto"/>
        </w:rPr>
        <w:t>Iss</w:t>
      </w:r>
      <w:r>
        <w:rPr>
          <w:rFonts w:ascii="Arial" w:cs="Arial" w:eastAsia="Arial" w:hAnsi="Arial"/>
          <w:sz w:val="16"/>
          <w:szCs w:val="16"/>
          <w:color w:val="auto"/>
        </w:rPr>
        <w:t>u</w:t>
      </w:r>
      <w:r>
        <w:rPr>
          <w:rFonts w:ascii="Arial" w:cs="Arial" w:eastAsia="Arial" w:hAnsi="Arial"/>
          <w:sz w:val="16"/>
          <w:szCs w:val="16"/>
          <w:b w:val="1"/>
          <w:bCs w:val="1"/>
          <w:color w:val="auto"/>
        </w:rPr>
        <w:t>er</w:t>
      </w:r>
    </w:p>
    <w:p>
      <w:pPr>
        <w:spacing w:after="0" w:line="155" w:lineRule="exact"/>
        <w:rPr>
          <w:sz w:val="20"/>
          <w:szCs w:val="20"/>
          <w:color w:val="auto"/>
        </w:rPr>
      </w:pPr>
    </w:p>
    <w:p>
      <w:pPr>
        <w:jc w:val="center"/>
        <w:ind w:right="2360"/>
        <w:spacing w:after="0"/>
        <w:rPr>
          <w:sz w:val="20"/>
          <w:szCs w:val="20"/>
          <w:color w:val="auto"/>
        </w:rPr>
      </w:pPr>
      <w:r>
        <w:rPr>
          <w:rFonts w:ascii="Arial" w:cs="Arial" w:eastAsia="Arial" w:hAnsi="Arial"/>
          <w:sz w:val="16"/>
          <w:szCs w:val="16"/>
          <w:b w:val="1"/>
          <w:bCs w:val="1"/>
          <w:color w:val="auto"/>
        </w:rPr>
        <w:t>AND</w:t>
      </w:r>
    </w:p>
    <w:p>
      <w:pPr>
        <w:spacing w:after="0" w:line="170" w:lineRule="exact"/>
        <w:rPr>
          <w:sz w:val="20"/>
          <w:szCs w:val="20"/>
          <w:color w:val="auto"/>
        </w:rPr>
      </w:pPr>
    </w:p>
    <w:p>
      <w:pPr>
        <w:ind w:left="3460"/>
        <w:spacing w:after="0"/>
        <w:rPr>
          <w:sz w:val="20"/>
          <w:szCs w:val="20"/>
          <w:color w:val="auto"/>
        </w:rPr>
      </w:pPr>
      <w:r>
        <w:rPr>
          <w:rFonts w:ascii="Arial" w:cs="Arial" w:eastAsia="Arial" w:hAnsi="Arial"/>
          <w:sz w:val="16"/>
          <w:szCs w:val="16"/>
          <w:b w:val="1"/>
          <w:bCs w:val="1"/>
          <w:color w:val="auto"/>
        </w:rPr>
        <w:t>[TRUSTEE],</w:t>
      </w:r>
    </w:p>
    <w:p>
      <w:pPr>
        <w:spacing w:after="0" w:line="170"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13970</wp:posOffset>
            </wp:positionV>
            <wp:extent cx="140271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402715" cy="7620"/>
                    </a:xfrm>
                    <a:prstGeom prst="rect">
                      <a:avLst/>
                    </a:prstGeom>
                    <a:noFill/>
                  </pic:spPr>
                </pic:pic>
              </a:graphicData>
            </a:graphic>
          </wp:anchor>
        </w:drawing>
      </w:r>
    </w:p>
    <w:p>
      <w:pPr>
        <w:spacing w:after="0" w:line="351" w:lineRule="exact"/>
        <w:rPr>
          <w:sz w:val="20"/>
          <w:szCs w:val="20"/>
          <w:color w:val="auto"/>
        </w:rPr>
      </w:pPr>
    </w:p>
    <w:p>
      <w:pPr>
        <w:ind w:left="3420"/>
        <w:spacing w:after="0"/>
        <w:rPr>
          <w:sz w:val="20"/>
          <w:szCs w:val="20"/>
          <w:color w:val="auto"/>
        </w:rPr>
      </w:pPr>
      <w:r>
        <w:rPr>
          <w:rFonts w:ascii="Arial" w:cs="Arial" w:eastAsia="Arial" w:hAnsi="Arial"/>
          <w:sz w:val="16"/>
          <w:szCs w:val="16"/>
          <w:b w:val="1"/>
          <w:bCs w:val="1"/>
          <w:color w:val="auto"/>
        </w:rPr>
        <w:t>INDENTURE</w:t>
      </w:r>
    </w:p>
    <w:p>
      <w:pPr>
        <w:spacing w:after="0" w:line="170" w:lineRule="exact"/>
        <w:rPr>
          <w:sz w:val="20"/>
          <w:szCs w:val="20"/>
          <w:color w:val="auto"/>
        </w:rPr>
      </w:pPr>
    </w:p>
    <w:p>
      <w:pPr>
        <w:ind w:left="3020"/>
        <w:spacing w:after="0"/>
        <w:rPr>
          <w:sz w:val="20"/>
          <w:szCs w:val="20"/>
          <w:color w:val="auto"/>
        </w:rPr>
      </w:pPr>
      <w:r>
        <w:rPr>
          <w:rFonts w:ascii="Arial" w:cs="Arial" w:eastAsia="Arial" w:hAnsi="Arial"/>
          <w:sz w:val="16"/>
          <w:szCs w:val="16"/>
          <w:b w:val="1"/>
          <w:bCs w:val="1"/>
          <w:color w:val="auto"/>
        </w:rPr>
        <w:t>Dated as of [●],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13970</wp:posOffset>
            </wp:positionV>
            <wp:extent cx="140271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402715" cy="7620"/>
                    </a:xfrm>
                    <a:prstGeom prst="rect">
                      <a:avLst/>
                    </a:prstGeom>
                    <a:noFill/>
                  </pic:spPr>
                </pic:pic>
              </a:graphicData>
            </a:graphic>
          </wp:anchor>
        </w:drawing>
      </w:r>
    </w:p>
    <w:p>
      <w:pPr>
        <w:spacing w:after="0" w:line="351"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448945</wp:posOffset>
            </wp:positionV>
            <wp:extent cx="716470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-713740</wp:posOffset>
            </wp:positionH>
            <wp:positionV relativeFrom="paragraph">
              <wp:posOffset>13970</wp:posOffset>
            </wp:positionV>
            <wp:extent cx="561149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0140"/>
          </w:cols>
          <w:pgMar w:left="1440" w:top="324" w:right="3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4"/>
        </w:trPr>
        <w:tc>
          <w:tcPr>
            <w:tcW w:w="1180" w:type="dxa"/>
            <w:vAlign w:val="bottom"/>
          </w:tcPr>
          <w:p>
            <w:pPr>
              <w:spacing w:after="0"/>
              <w:rPr>
                <w:sz w:val="17"/>
                <w:szCs w:val="17"/>
                <w:color w:val="auto"/>
              </w:rPr>
            </w:pPr>
          </w:p>
        </w:tc>
        <w:tc>
          <w:tcPr>
            <w:tcW w:w="7100" w:type="dxa"/>
            <w:vAlign w:val="bottom"/>
          </w:tcPr>
          <w:p>
            <w:pPr>
              <w:ind w:left="3600"/>
              <w:spacing w:after="0"/>
              <w:rPr>
                <w:sz w:val="20"/>
                <w:szCs w:val="20"/>
                <w:color w:val="auto"/>
              </w:rPr>
            </w:pPr>
            <w:r>
              <w:rPr>
                <w:rFonts w:ascii="Arial" w:cs="Arial" w:eastAsia="Arial" w:hAnsi="Arial"/>
                <w:sz w:val="16"/>
                <w:szCs w:val="16"/>
                <w:b w:val="1"/>
                <w:bCs w:val="1"/>
                <w:color w:val="auto"/>
              </w:rPr>
              <w:t>TABLE OF CONTENTS</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7"/>
        </w:trPr>
        <w:tc>
          <w:tcPr>
            <w:tcW w:w="118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5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81"/>
        </w:trPr>
        <w:tc>
          <w:tcPr>
            <w:tcW w:w="118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28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ARTICLE 1 DEFINITIONS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8280" w:type="dxa"/>
            <w:vAlign w:val="bottom"/>
            <w:gridSpan w:val="2"/>
            <w:vMerge w:val="continue"/>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280" w:type="dxa"/>
            <w:vAlign w:val="bottom"/>
            <w:gridSpan w:val="2"/>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Section 1.01   Definitions of Terms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gridSpan w:val="2"/>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2 ISSUE, DESCRIPTION, TERMS, EXECUTION, REGISTRATION AND EXCHANGE OF SECURITIES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gridSpan w:val="2"/>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Section 2.01   Designation and Terms of Securities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gridSpan w:val="2"/>
          </w:tcPr>
          <w:p>
            <w:pPr>
              <w:ind w:left="280"/>
              <w:spacing w:after="0"/>
              <w:rPr>
                <w:sz w:val="20"/>
                <w:szCs w:val="20"/>
                <w:color w:val="auto"/>
              </w:rPr>
            </w:pPr>
            <w:r>
              <w:rPr>
                <w:rFonts w:ascii="Arial" w:cs="Arial" w:eastAsia="Arial" w:hAnsi="Arial"/>
                <w:sz w:val="16"/>
                <w:szCs w:val="16"/>
                <w:color w:val="auto"/>
              </w:rPr>
              <w:t>Section 2.02   Form of Securities and Trustee’s Certificate</w:t>
            </w:r>
          </w:p>
        </w:tc>
        <w:tc>
          <w:tcPr>
            <w:tcW w:w="500" w:type="dxa"/>
            <w:vAlign w:val="bottom"/>
          </w:tcPr>
          <w:p>
            <w:pPr>
              <w:jc w:val="right"/>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Section 2.03   Denominations: Provisions for Payment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gridSpan w:val="2"/>
          </w:tcPr>
          <w:p>
            <w:pPr>
              <w:ind w:left="280"/>
              <w:spacing w:after="0"/>
              <w:rPr>
                <w:sz w:val="20"/>
                <w:szCs w:val="20"/>
                <w:color w:val="auto"/>
              </w:rPr>
            </w:pPr>
            <w:r>
              <w:rPr>
                <w:rFonts w:ascii="Arial" w:cs="Arial" w:eastAsia="Arial" w:hAnsi="Arial"/>
                <w:sz w:val="16"/>
                <w:szCs w:val="16"/>
                <w:color w:val="auto"/>
              </w:rPr>
              <w:t>Section 2.04   Execution and Authentications</w:t>
            </w:r>
          </w:p>
        </w:tc>
        <w:tc>
          <w:tcPr>
            <w:tcW w:w="500" w:type="dxa"/>
            <w:vAlign w:val="bottom"/>
          </w:tcPr>
          <w:p>
            <w:pPr>
              <w:jc w:val="right"/>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Section 2.05   Registration of Transfer and Exchange</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80" w:type="dxa"/>
            <w:vAlign w:val="bottom"/>
          </w:tcPr>
          <w:p>
            <w:pPr>
              <w:ind w:left="280"/>
              <w:spacing w:after="0"/>
              <w:rPr>
                <w:sz w:val="20"/>
                <w:szCs w:val="20"/>
                <w:color w:val="auto"/>
              </w:rPr>
            </w:pPr>
            <w:r>
              <w:rPr>
                <w:rFonts w:ascii="Arial" w:cs="Arial" w:eastAsia="Arial" w:hAnsi="Arial"/>
                <w:sz w:val="16"/>
                <w:szCs w:val="16"/>
                <w:color w:val="auto"/>
                <w:w w:val="98"/>
              </w:rPr>
              <w:t>Section 2.06</w:t>
            </w:r>
          </w:p>
        </w:tc>
        <w:tc>
          <w:tcPr>
            <w:tcW w:w="7100" w:type="dxa"/>
            <w:vAlign w:val="bottom"/>
          </w:tcPr>
          <w:p>
            <w:pPr>
              <w:ind w:left="120"/>
              <w:spacing w:after="0"/>
              <w:rPr>
                <w:sz w:val="20"/>
                <w:szCs w:val="20"/>
                <w:color w:val="auto"/>
              </w:rPr>
            </w:pPr>
            <w:r>
              <w:rPr>
                <w:rFonts w:ascii="Arial" w:cs="Arial" w:eastAsia="Arial" w:hAnsi="Arial"/>
                <w:sz w:val="16"/>
                <w:szCs w:val="16"/>
                <w:color w:val="auto"/>
              </w:rPr>
              <w:t>Temporary Securities</w:t>
            </w:r>
          </w:p>
        </w:tc>
        <w:tc>
          <w:tcPr>
            <w:tcW w:w="500" w:type="dxa"/>
            <w:vAlign w:val="bottom"/>
          </w:tcPr>
          <w:p>
            <w:pPr>
              <w:jc w:val="right"/>
              <w:spacing w:after="0"/>
              <w:rPr>
                <w:sz w:val="20"/>
                <w:szCs w:val="20"/>
                <w:color w:val="auto"/>
              </w:rPr>
            </w:pPr>
            <w:r>
              <w:rPr>
                <w:rFonts w:ascii="Arial" w:cs="Arial" w:eastAsia="Arial" w:hAnsi="Arial"/>
                <w:sz w:val="16"/>
                <w:szCs w:val="16"/>
                <w:color w:val="auto"/>
              </w:rPr>
              <w:t>12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Section 2.07   Mutilated, Destroyed, Lost or Stolen Securities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80" w:type="dxa"/>
            <w:vAlign w:val="bottom"/>
          </w:tcPr>
          <w:p>
            <w:pPr>
              <w:ind w:left="280"/>
              <w:spacing w:after="0"/>
              <w:rPr>
                <w:sz w:val="20"/>
                <w:szCs w:val="20"/>
                <w:color w:val="auto"/>
              </w:rPr>
            </w:pPr>
            <w:r>
              <w:rPr>
                <w:rFonts w:ascii="Arial" w:cs="Arial" w:eastAsia="Arial" w:hAnsi="Arial"/>
                <w:sz w:val="16"/>
                <w:szCs w:val="16"/>
                <w:color w:val="auto"/>
                <w:w w:val="98"/>
              </w:rPr>
              <w:t>Section 2.08</w:t>
            </w:r>
          </w:p>
        </w:tc>
        <w:tc>
          <w:tcPr>
            <w:tcW w:w="7100" w:type="dxa"/>
            <w:vAlign w:val="bottom"/>
          </w:tcPr>
          <w:p>
            <w:pPr>
              <w:ind w:left="120"/>
              <w:spacing w:after="0"/>
              <w:rPr>
                <w:sz w:val="20"/>
                <w:szCs w:val="20"/>
                <w:color w:val="auto"/>
              </w:rPr>
            </w:pPr>
            <w:r>
              <w:rPr>
                <w:rFonts w:ascii="Arial" w:cs="Arial" w:eastAsia="Arial" w:hAnsi="Arial"/>
                <w:sz w:val="16"/>
                <w:szCs w:val="16"/>
                <w:color w:val="auto"/>
              </w:rPr>
              <w:t>Cancellation</w:t>
            </w:r>
          </w:p>
        </w:tc>
        <w:tc>
          <w:tcPr>
            <w:tcW w:w="500" w:type="dxa"/>
            <w:vAlign w:val="bottom"/>
          </w:tcPr>
          <w:p>
            <w:pPr>
              <w:jc w:val="right"/>
              <w:spacing w:after="0"/>
              <w:rPr>
                <w:sz w:val="20"/>
                <w:szCs w:val="20"/>
                <w:color w:val="auto"/>
              </w:rPr>
            </w:pPr>
            <w:r>
              <w:rPr>
                <w:rFonts w:ascii="Arial" w:cs="Arial" w:eastAsia="Arial" w:hAnsi="Arial"/>
                <w:sz w:val="16"/>
                <w:szCs w:val="16"/>
                <w:color w:val="auto"/>
              </w:rPr>
              <w:t>13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Section 2.09   Benefits of Indenture</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80" w:type="dxa"/>
            <w:vAlign w:val="bottom"/>
          </w:tcPr>
          <w:p>
            <w:pPr>
              <w:ind w:left="280"/>
              <w:spacing w:after="0"/>
              <w:rPr>
                <w:sz w:val="20"/>
                <w:szCs w:val="20"/>
                <w:color w:val="auto"/>
              </w:rPr>
            </w:pPr>
            <w:r>
              <w:rPr>
                <w:rFonts w:ascii="Arial" w:cs="Arial" w:eastAsia="Arial" w:hAnsi="Arial"/>
                <w:sz w:val="16"/>
                <w:szCs w:val="16"/>
                <w:color w:val="auto"/>
                <w:w w:val="98"/>
              </w:rPr>
              <w:t>Section 2.10</w:t>
            </w:r>
          </w:p>
        </w:tc>
        <w:tc>
          <w:tcPr>
            <w:tcW w:w="7100" w:type="dxa"/>
            <w:vAlign w:val="bottom"/>
          </w:tcPr>
          <w:p>
            <w:pPr>
              <w:ind w:left="120"/>
              <w:spacing w:after="0"/>
              <w:rPr>
                <w:sz w:val="20"/>
                <w:szCs w:val="20"/>
                <w:color w:val="auto"/>
              </w:rPr>
            </w:pPr>
            <w:r>
              <w:rPr>
                <w:rFonts w:ascii="Arial" w:cs="Arial" w:eastAsia="Arial" w:hAnsi="Arial"/>
                <w:sz w:val="16"/>
                <w:szCs w:val="16"/>
                <w:color w:val="auto"/>
              </w:rPr>
              <w:t>Authenticating Agent</w:t>
            </w:r>
          </w:p>
        </w:tc>
        <w:tc>
          <w:tcPr>
            <w:tcW w:w="500" w:type="dxa"/>
            <w:vAlign w:val="bottom"/>
          </w:tcPr>
          <w:p>
            <w:pPr>
              <w:jc w:val="right"/>
              <w:spacing w:after="0"/>
              <w:rPr>
                <w:sz w:val="20"/>
                <w:szCs w:val="20"/>
                <w:color w:val="auto"/>
              </w:rPr>
            </w:pPr>
            <w:r>
              <w:rPr>
                <w:rFonts w:ascii="Arial" w:cs="Arial" w:eastAsia="Arial" w:hAnsi="Arial"/>
                <w:sz w:val="16"/>
                <w:szCs w:val="16"/>
                <w:color w:val="auto"/>
              </w:rPr>
              <w:t>14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8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8"/>
              </w:rPr>
              <w:t>Section 2.11</w:t>
            </w:r>
          </w:p>
        </w:tc>
        <w:tc>
          <w:tcPr>
            <w:tcW w:w="7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Global Securities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80" w:type="dxa"/>
            <w:vAlign w:val="bottom"/>
          </w:tcPr>
          <w:p>
            <w:pPr>
              <w:ind w:left="280"/>
              <w:spacing w:after="0"/>
              <w:rPr>
                <w:sz w:val="20"/>
                <w:szCs w:val="20"/>
                <w:color w:val="auto"/>
              </w:rPr>
            </w:pPr>
            <w:r>
              <w:rPr>
                <w:rFonts w:ascii="Arial" w:cs="Arial" w:eastAsia="Arial" w:hAnsi="Arial"/>
                <w:sz w:val="16"/>
                <w:szCs w:val="16"/>
                <w:color w:val="auto"/>
                <w:w w:val="98"/>
              </w:rPr>
              <w:t>Section 2.12</w:t>
            </w:r>
          </w:p>
        </w:tc>
        <w:tc>
          <w:tcPr>
            <w:tcW w:w="7100" w:type="dxa"/>
            <w:vAlign w:val="bottom"/>
          </w:tcPr>
          <w:p>
            <w:pPr>
              <w:ind w:left="120"/>
              <w:spacing w:after="0"/>
              <w:rPr>
                <w:sz w:val="20"/>
                <w:szCs w:val="20"/>
                <w:color w:val="auto"/>
              </w:rPr>
            </w:pPr>
            <w:r>
              <w:rPr>
                <w:rFonts w:ascii="Arial" w:cs="Arial" w:eastAsia="Arial" w:hAnsi="Arial"/>
                <w:sz w:val="16"/>
                <w:szCs w:val="16"/>
                <w:color w:val="auto"/>
              </w:rPr>
              <w:t>CUSIP Numbers</w:t>
            </w:r>
          </w:p>
        </w:tc>
        <w:tc>
          <w:tcPr>
            <w:tcW w:w="500" w:type="dxa"/>
            <w:vAlign w:val="bottom"/>
          </w:tcPr>
          <w:p>
            <w:pPr>
              <w:jc w:val="right"/>
              <w:spacing w:after="0"/>
              <w:rPr>
                <w:sz w:val="20"/>
                <w:szCs w:val="20"/>
                <w:color w:val="auto"/>
              </w:rPr>
            </w:pPr>
            <w:r>
              <w:rPr>
                <w:rFonts w:ascii="Arial" w:cs="Arial" w:eastAsia="Arial" w:hAnsi="Arial"/>
                <w:sz w:val="16"/>
                <w:szCs w:val="16"/>
                <w:color w:val="auto"/>
              </w:rPr>
              <w:t>15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gridSpan w:val="2"/>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gridSpan w:val="2"/>
          </w:tcPr>
          <w:p>
            <w:pPr>
              <w:spacing w:after="0"/>
              <w:rPr>
                <w:sz w:val="20"/>
                <w:szCs w:val="20"/>
                <w:color w:val="auto"/>
              </w:rPr>
            </w:pPr>
            <w:r>
              <w:rPr>
                <w:rFonts w:ascii="Arial" w:cs="Arial" w:eastAsia="Arial" w:hAnsi="Arial"/>
                <w:sz w:val="16"/>
                <w:szCs w:val="16"/>
                <w:color w:val="auto"/>
              </w:rPr>
              <w:t>ARTICLE 3 REDEMPTION OF SECURITIES AND SINKING FUND PROVISIONS</w:t>
            </w:r>
          </w:p>
        </w:tc>
        <w:tc>
          <w:tcPr>
            <w:tcW w:w="500" w:type="dxa"/>
            <w:vAlign w:val="bottom"/>
          </w:tcPr>
          <w:p>
            <w:pPr>
              <w:jc w:val="right"/>
              <w:spacing w:after="0"/>
              <w:rPr>
                <w:sz w:val="20"/>
                <w:szCs w:val="20"/>
                <w:color w:val="auto"/>
              </w:rPr>
            </w:pPr>
            <w:r>
              <w:rPr>
                <w:rFonts w:ascii="Arial" w:cs="Arial" w:eastAsia="Arial" w:hAnsi="Arial"/>
                <w:sz w:val="16"/>
                <w:szCs w:val="16"/>
                <w:color w:val="auto"/>
              </w:rPr>
              <w:t>16</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80" w:type="dxa"/>
            <w:vAlign w:val="bottom"/>
            <w:shd w:val="clear" w:color="auto" w:fill="CCEEFF"/>
          </w:tcPr>
          <w:p>
            <w:pPr>
              <w:spacing w:after="0"/>
              <w:rPr>
                <w:sz w:val="16"/>
                <w:szCs w:val="16"/>
                <w:color w:val="auto"/>
              </w:rPr>
            </w:pPr>
          </w:p>
        </w:tc>
        <w:tc>
          <w:tcPr>
            <w:tcW w:w="7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80" w:type="dxa"/>
            <w:vAlign w:val="bottom"/>
          </w:tcPr>
          <w:p>
            <w:pPr>
              <w:ind w:left="280"/>
              <w:spacing w:after="0"/>
              <w:rPr>
                <w:sz w:val="20"/>
                <w:szCs w:val="20"/>
                <w:color w:val="auto"/>
              </w:rPr>
            </w:pPr>
            <w:r>
              <w:rPr>
                <w:rFonts w:ascii="Arial" w:cs="Arial" w:eastAsia="Arial" w:hAnsi="Arial"/>
                <w:sz w:val="16"/>
                <w:szCs w:val="16"/>
                <w:color w:val="auto"/>
                <w:w w:val="98"/>
              </w:rPr>
              <w:t>Section 3.01</w:t>
            </w:r>
          </w:p>
        </w:tc>
        <w:tc>
          <w:tcPr>
            <w:tcW w:w="7100" w:type="dxa"/>
            <w:vAlign w:val="bottom"/>
          </w:tcPr>
          <w:p>
            <w:pPr>
              <w:ind w:left="120"/>
              <w:spacing w:after="0"/>
              <w:rPr>
                <w:sz w:val="20"/>
                <w:szCs w:val="20"/>
                <w:color w:val="auto"/>
              </w:rPr>
            </w:pPr>
            <w:r>
              <w:rPr>
                <w:rFonts w:ascii="Arial" w:cs="Arial" w:eastAsia="Arial" w:hAnsi="Arial"/>
                <w:sz w:val="16"/>
                <w:szCs w:val="16"/>
                <w:color w:val="auto"/>
              </w:rPr>
              <w:t>Redemption</w:t>
            </w:r>
          </w:p>
        </w:tc>
        <w:tc>
          <w:tcPr>
            <w:tcW w:w="500" w:type="dxa"/>
            <w:vAlign w:val="bottom"/>
          </w:tcPr>
          <w:p>
            <w:pPr>
              <w:jc w:val="right"/>
              <w:spacing w:after="0"/>
              <w:rPr>
                <w:sz w:val="20"/>
                <w:szCs w:val="20"/>
                <w:color w:val="auto"/>
              </w:rPr>
            </w:pPr>
            <w:r>
              <w:rPr>
                <w:rFonts w:ascii="Arial" w:cs="Arial" w:eastAsia="Arial" w:hAnsi="Arial"/>
                <w:sz w:val="16"/>
                <w:szCs w:val="16"/>
                <w:color w:val="auto"/>
              </w:rPr>
              <w:t>16</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Section 3.02   Notice of Redemption</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gridSpan w:val="2"/>
          </w:tcPr>
          <w:p>
            <w:pPr>
              <w:ind w:left="280"/>
              <w:spacing w:after="0"/>
              <w:rPr>
                <w:sz w:val="20"/>
                <w:szCs w:val="20"/>
                <w:color w:val="auto"/>
              </w:rPr>
            </w:pPr>
            <w:r>
              <w:rPr>
                <w:rFonts w:ascii="Arial" w:cs="Arial" w:eastAsia="Arial" w:hAnsi="Arial"/>
                <w:sz w:val="16"/>
                <w:szCs w:val="16"/>
                <w:color w:val="auto"/>
              </w:rPr>
              <w:t>Section 3.03   Payment Upon Redemption</w:t>
            </w:r>
          </w:p>
        </w:tc>
        <w:tc>
          <w:tcPr>
            <w:tcW w:w="500" w:type="dxa"/>
            <w:vAlign w:val="bottom"/>
          </w:tcPr>
          <w:p>
            <w:pPr>
              <w:jc w:val="right"/>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8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8"/>
              </w:rPr>
              <w:t>Section 3.04</w:t>
            </w:r>
          </w:p>
        </w:tc>
        <w:tc>
          <w:tcPr>
            <w:tcW w:w="7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Sinking Fund</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gridSpan w:val="2"/>
          </w:tcPr>
          <w:p>
            <w:pPr>
              <w:ind w:left="280"/>
              <w:spacing w:after="0"/>
              <w:rPr>
                <w:sz w:val="20"/>
                <w:szCs w:val="20"/>
                <w:color w:val="auto"/>
              </w:rPr>
            </w:pPr>
            <w:r>
              <w:rPr>
                <w:rFonts w:ascii="Arial" w:cs="Arial" w:eastAsia="Arial" w:hAnsi="Arial"/>
                <w:sz w:val="16"/>
                <w:szCs w:val="16"/>
                <w:color w:val="auto"/>
              </w:rPr>
              <w:t>Section 3.05   Satisfaction of Sinking Fund Payments with Securities</w:t>
            </w:r>
          </w:p>
        </w:tc>
        <w:tc>
          <w:tcPr>
            <w:tcW w:w="500" w:type="dxa"/>
            <w:vAlign w:val="bottom"/>
          </w:tcPr>
          <w:p>
            <w:pPr>
              <w:jc w:val="right"/>
              <w:spacing w:after="0"/>
              <w:rPr>
                <w:sz w:val="20"/>
                <w:szCs w:val="20"/>
                <w:color w:val="auto"/>
              </w:rPr>
            </w:pPr>
            <w:r>
              <w:rPr>
                <w:rFonts w:ascii="Arial" w:cs="Arial" w:eastAsia="Arial" w:hAnsi="Arial"/>
                <w:sz w:val="16"/>
                <w:szCs w:val="16"/>
                <w:color w:val="auto"/>
              </w:rPr>
              <w:t>18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Section 3.06   Redemption of Securities for Sinking Fund</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gridSpan w:val="2"/>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4 COVENANTS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gridSpan w:val="2"/>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Section 4.01   Payment of Principal, Premium and Interest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gridSpan w:val="2"/>
          </w:tcPr>
          <w:p>
            <w:pPr>
              <w:ind w:left="280"/>
              <w:spacing w:after="0"/>
              <w:rPr>
                <w:sz w:val="20"/>
                <w:szCs w:val="20"/>
                <w:color w:val="auto"/>
              </w:rPr>
            </w:pPr>
            <w:r>
              <w:rPr>
                <w:rFonts w:ascii="Arial" w:cs="Arial" w:eastAsia="Arial" w:hAnsi="Arial"/>
                <w:sz w:val="16"/>
                <w:szCs w:val="16"/>
                <w:color w:val="auto"/>
              </w:rPr>
              <w:t>Section 4.02   Maintenance of Office or Agency</w:t>
            </w:r>
          </w:p>
        </w:tc>
        <w:tc>
          <w:tcPr>
            <w:tcW w:w="500" w:type="dxa"/>
            <w:vAlign w:val="bottom"/>
          </w:tcPr>
          <w:p>
            <w:pPr>
              <w:jc w:val="right"/>
              <w:spacing w:after="0"/>
              <w:rPr>
                <w:sz w:val="20"/>
                <w:szCs w:val="20"/>
                <w:color w:val="auto"/>
              </w:rPr>
            </w:pPr>
            <w:r>
              <w:rPr>
                <w:rFonts w:ascii="Arial" w:cs="Arial" w:eastAsia="Arial" w:hAnsi="Arial"/>
                <w:sz w:val="16"/>
                <w:szCs w:val="16"/>
                <w:color w:val="auto"/>
              </w:rPr>
              <w:t>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8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8"/>
              </w:rPr>
              <w:t>Section 4.03</w:t>
            </w:r>
          </w:p>
        </w:tc>
        <w:tc>
          <w:tcPr>
            <w:tcW w:w="7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Paying Agents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280" w:type="dxa"/>
            <w:vAlign w:val="bottom"/>
            <w:gridSpan w:val="2"/>
          </w:tcPr>
          <w:p>
            <w:pPr>
              <w:ind w:left="280"/>
              <w:spacing w:after="0"/>
              <w:rPr>
                <w:sz w:val="20"/>
                <w:szCs w:val="20"/>
                <w:color w:val="auto"/>
              </w:rPr>
            </w:pPr>
            <w:r>
              <w:rPr>
                <w:rFonts w:ascii="Arial" w:cs="Arial" w:eastAsia="Arial" w:hAnsi="Arial"/>
                <w:sz w:val="16"/>
                <w:szCs w:val="16"/>
                <w:color w:val="auto"/>
              </w:rPr>
              <w:t>Section 4.04   Appointment to Fill Vacancy in Office of Trustee</w:t>
            </w:r>
          </w:p>
        </w:tc>
        <w:tc>
          <w:tcPr>
            <w:tcW w:w="500" w:type="dxa"/>
            <w:vAlign w:val="bottom"/>
          </w:tcPr>
          <w:p>
            <w:pPr>
              <w:jc w:val="right"/>
              <w:spacing w:after="0"/>
              <w:rPr>
                <w:sz w:val="20"/>
                <w:szCs w:val="20"/>
                <w:color w:val="auto"/>
              </w:rPr>
            </w:pPr>
            <w:r>
              <w:rPr>
                <w:rFonts w:ascii="Arial" w:cs="Arial" w:eastAsia="Arial" w:hAnsi="Arial"/>
                <w:sz w:val="16"/>
                <w:szCs w:val="16"/>
                <w:color w:val="auto"/>
              </w:rPr>
              <w:t>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0139"/>
          </w:cols>
          <w:pgMar w:left="320" w:top="324"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1"/>
        </w:trPr>
        <w:tc>
          <w:tcPr>
            <w:tcW w:w="8280" w:type="dxa"/>
            <w:vAlign w:val="bottom"/>
          </w:tcPr>
          <w:p>
            <w:pPr>
              <w:ind w:left="4780"/>
              <w:spacing w:after="0"/>
              <w:rPr>
                <w:sz w:val="20"/>
                <w:szCs w:val="20"/>
                <w:color w:val="auto"/>
              </w:rPr>
            </w:pPr>
            <w:r>
              <w:rPr>
                <w:rFonts w:ascii="Arial" w:cs="Arial" w:eastAsia="Arial" w:hAnsi="Arial"/>
                <w:sz w:val="16"/>
                <w:szCs w:val="16"/>
                <w:b w:val="1"/>
                <w:bCs w:val="1"/>
                <w:color w:val="auto"/>
              </w:rPr>
              <w:t>TABLE OF CONTENTS</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280" w:type="dxa"/>
            <w:vAlign w:val="bottom"/>
          </w:tcPr>
          <w:p>
            <w:pPr>
              <w:ind w:left="5100"/>
              <w:spacing w:after="0"/>
              <w:rPr>
                <w:sz w:val="20"/>
                <w:szCs w:val="20"/>
                <w:color w:val="auto"/>
              </w:rPr>
            </w:pPr>
            <w:r>
              <w:rPr>
                <w:rFonts w:ascii="Arial" w:cs="Arial" w:eastAsia="Arial" w:hAnsi="Arial"/>
                <w:sz w:val="16"/>
                <w:szCs w:val="16"/>
                <w:b w:val="1"/>
                <w:bCs w:val="1"/>
                <w:color w:val="auto"/>
              </w:rPr>
              <w:t>(CONTINUED)</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5"/>
        </w:trPr>
        <w:tc>
          <w:tcPr>
            <w:tcW w:w="8280" w:type="dxa"/>
            <w:vAlign w:val="bottom"/>
          </w:tcPr>
          <w:p>
            <w:pPr>
              <w:spacing w:after="0"/>
              <w:rPr>
                <w:sz w:val="24"/>
                <w:szCs w:val="24"/>
                <w:color w:val="auto"/>
              </w:rPr>
            </w:pPr>
          </w:p>
        </w:tc>
        <w:tc>
          <w:tcPr>
            <w:tcW w:w="5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81"/>
        </w:trPr>
        <w:tc>
          <w:tcPr>
            <w:tcW w:w="8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280" w:type="dxa"/>
            <w:vAlign w:val="bottom"/>
            <w:shd w:val="clear" w:color="auto" w:fill="CCEEFF"/>
          </w:tcPr>
          <w:p>
            <w:pPr>
              <w:spacing w:after="0"/>
              <w:rPr>
                <w:sz w:val="20"/>
                <w:szCs w:val="20"/>
                <w:color w:val="auto"/>
              </w:rPr>
            </w:pPr>
            <w:r>
              <w:rPr>
                <w:rFonts w:ascii="Arial" w:cs="Arial" w:eastAsia="Arial" w:hAnsi="Arial"/>
                <w:sz w:val="16"/>
                <w:szCs w:val="16"/>
                <w:color w:val="auto"/>
              </w:rPr>
              <w:t>ARTICLE 5 SECURITYHOLDERS’ LISTS AND REPORTS BY THE COMPANY AND THE TRUSTEE</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5.01   Company to Furnish Trustee Names and Addresses of Securityholders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tcPr>
          <w:p>
            <w:pPr>
              <w:ind w:left="280"/>
              <w:spacing w:after="0"/>
              <w:rPr>
                <w:sz w:val="20"/>
                <w:szCs w:val="20"/>
                <w:color w:val="auto"/>
              </w:rPr>
            </w:pPr>
            <w:r>
              <w:rPr>
                <w:rFonts w:ascii="Arial" w:cs="Arial" w:eastAsia="Arial" w:hAnsi="Arial"/>
                <w:sz w:val="16"/>
                <w:szCs w:val="16"/>
                <w:color w:val="auto"/>
              </w:rPr>
              <w:t>Section 5.02   Preservation Of Information; Communications With Securityholders</w:t>
            </w:r>
          </w:p>
        </w:tc>
        <w:tc>
          <w:tcPr>
            <w:tcW w:w="500" w:type="dxa"/>
            <w:vAlign w:val="bottom"/>
          </w:tcPr>
          <w:p>
            <w:pPr>
              <w:jc w:val="right"/>
              <w:spacing w:after="0"/>
              <w:rPr>
                <w:sz w:val="20"/>
                <w:szCs w:val="20"/>
                <w:color w:val="auto"/>
              </w:rPr>
            </w:pPr>
            <w:r>
              <w:rPr>
                <w:rFonts w:ascii="Arial" w:cs="Arial" w:eastAsia="Arial" w:hAnsi="Arial"/>
                <w:sz w:val="16"/>
                <w:szCs w:val="16"/>
                <w:color w:val="auto"/>
              </w:rPr>
              <w:t>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5.03   Reports by the Company</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tcPr>
          <w:p>
            <w:pPr>
              <w:ind w:left="280"/>
              <w:spacing w:after="0"/>
              <w:rPr>
                <w:sz w:val="20"/>
                <w:szCs w:val="20"/>
                <w:color w:val="auto"/>
              </w:rPr>
            </w:pPr>
            <w:r>
              <w:rPr>
                <w:rFonts w:ascii="Arial" w:cs="Arial" w:eastAsia="Arial" w:hAnsi="Arial"/>
                <w:sz w:val="16"/>
                <w:szCs w:val="16"/>
                <w:color w:val="auto"/>
              </w:rPr>
              <w:t>Section 5.04   Reports by the Trustee</w:t>
            </w:r>
          </w:p>
        </w:tc>
        <w:tc>
          <w:tcPr>
            <w:tcW w:w="500" w:type="dxa"/>
            <w:vAlign w:val="bottom"/>
          </w:tcPr>
          <w:p>
            <w:pPr>
              <w:jc w:val="right"/>
              <w:spacing w:after="0"/>
              <w:rPr>
                <w:sz w:val="20"/>
                <w:szCs w:val="20"/>
                <w:color w:val="auto"/>
              </w:rPr>
            </w:pPr>
            <w:r>
              <w:rPr>
                <w:rFonts w:ascii="Arial" w:cs="Arial" w:eastAsia="Arial" w:hAnsi="Arial"/>
                <w:sz w:val="16"/>
                <w:szCs w:val="16"/>
                <w:color w:val="auto"/>
              </w:rPr>
              <w:t>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tcPr>
          <w:p>
            <w:pPr>
              <w:spacing w:after="0"/>
              <w:rPr>
                <w:sz w:val="20"/>
                <w:szCs w:val="20"/>
                <w:color w:val="auto"/>
              </w:rPr>
            </w:pPr>
            <w:r>
              <w:rPr>
                <w:rFonts w:ascii="Arial" w:cs="Arial" w:eastAsia="Arial" w:hAnsi="Arial"/>
                <w:sz w:val="16"/>
                <w:szCs w:val="16"/>
                <w:color w:val="auto"/>
              </w:rPr>
              <w:t>ARTICLE 6 REMEDIES OF THE TRUSTEE AND SECURITYHOLDERS ON EVENT OF DEFAULT</w:t>
            </w:r>
          </w:p>
        </w:tc>
        <w:tc>
          <w:tcPr>
            <w:tcW w:w="500" w:type="dxa"/>
            <w:vAlign w:val="bottom"/>
          </w:tcPr>
          <w:p>
            <w:pPr>
              <w:jc w:val="right"/>
              <w:spacing w:after="0"/>
              <w:rPr>
                <w:sz w:val="20"/>
                <w:szCs w:val="20"/>
                <w:color w:val="auto"/>
              </w:rPr>
            </w:pPr>
            <w:r>
              <w:rPr>
                <w:rFonts w:ascii="Arial" w:cs="Arial" w:eastAsia="Arial" w:hAnsi="Arial"/>
                <w:sz w:val="16"/>
                <w:szCs w:val="16"/>
                <w:color w:val="auto"/>
              </w:rPr>
              <w:t>22</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tcPr>
          <w:p>
            <w:pPr>
              <w:ind w:left="280"/>
              <w:spacing w:after="0"/>
              <w:rPr>
                <w:sz w:val="20"/>
                <w:szCs w:val="20"/>
                <w:color w:val="auto"/>
              </w:rPr>
            </w:pPr>
            <w:r>
              <w:rPr>
                <w:rFonts w:ascii="Arial" w:cs="Arial" w:eastAsia="Arial" w:hAnsi="Arial"/>
                <w:sz w:val="16"/>
                <w:szCs w:val="16"/>
                <w:color w:val="auto"/>
              </w:rPr>
              <w:t>Section 6.01   Events of Default</w:t>
            </w:r>
          </w:p>
        </w:tc>
        <w:tc>
          <w:tcPr>
            <w:tcW w:w="500" w:type="dxa"/>
            <w:vAlign w:val="bottom"/>
          </w:tcPr>
          <w:p>
            <w:pPr>
              <w:jc w:val="right"/>
              <w:spacing w:after="0"/>
              <w:rPr>
                <w:sz w:val="20"/>
                <w:szCs w:val="20"/>
                <w:color w:val="auto"/>
              </w:rPr>
            </w:pPr>
            <w:r>
              <w:rPr>
                <w:rFonts w:ascii="Arial" w:cs="Arial" w:eastAsia="Arial" w:hAnsi="Arial"/>
                <w:sz w:val="16"/>
                <w:szCs w:val="16"/>
                <w:color w:val="auto"/>
              </w:rPr>
              <w:t>22</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6.02   Collection of Indebtedness and Suits for Enforcement by Trustee</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tcPr>
          <w:p>
            <w:pPr>
              <w:ind w:left="280"/>
              <w:spacing w:after="0"/>
              <w:rPr>
                <w:sz w:val="20"/>
                <w:szCs w:val="20"/>
                <w:color w:val="auto"/>
              </w:rPr>
            </w:pPr>
            <w:r>
              <w:rPr>
                <w:rFonts w:ascii="Arial" w:cs="Arial" w:eastAsia="Arial" w:hAnsi="Arial"/>
                <w:sz w:val="16"/>
                <w:szCs w:val="16"/>
                <w:color w:val="auto"/>
              </w:rPr>
              <w:t>Section 6.03   Application of Moneys Collected</w:t>
            </w:r>
          </w:p>
        </w:tc>
        <w:tc>
          <w:tcPr>
            <w:tcW w:w="500" w:type="dxa"/>
            <w:vAlign w:val="bottom"/>
          </w:tcPr>
          <w:p>
            <w:pPr>
              <w:jc w:val="right"/>
              <w:spacing w:after="0"/>
              <w:rPr>
                <w:sz w:val="20"/>
                <w:szCs w:val="20"/>
                <w:color w:val="auto"/>
              </w:rPr>
            </w:pPr>
            <w:r>
              <w:rPr>
                <w:rFonts w:ascii="Arial" w:cs="Arial" w:eastAsia="Arial" w:hAnsi="Arial"/>
                <w:sz w:val="16"/>
                <w:szCs w:val="16"/>
                <w:color w:val="auto"/>
              </w:rPr>
              <w:t>25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6.04   Limitation on Suits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tcPr>
          <w:p>
            <w:pPr>
              <w:ind w:left="280"/>
              <w:spacing w:after="0"/>
              <w:rPr>
                <w:sz w:val="20"/>
                <w:szCs w:val="20"/>
                <w:color w:val="auto"/>
              </w:rPr>
            </w:pPr>
            <w:r>
              <w:rPr>
                <w:rFonts w:ascii="Arial" w:cs="Arial" w:eastAsia="Arial" w:hAnsi="Arial"/>
                <w:sz w:val="16"/>
                <w:szCs w:val="16"/>
                <w:color w:val="auto"/>
              </w:rPr>
              <w:t>Section 6.05   Rights and Remedies Cumulative; Delay or Omission Not Waiver</w:t>
            </w:r>
          </w:p>
        </w:tc>
        <w:tc>
          <w:tcPr>
            <w:tcW w:w="500" w:type="dxa"/>
            <w:vAlign w:val="bottom"/>
          </w:tcPr>
          <w:p>
            <w:pPr>
              <w:jc w:val="right"/>
              <w:spacing w:after="0"/>
              <w:rPr>
                <w:sz w:val="20"/>
                <w:szCs w:val="20"/>
                <w:color w:val="auto"/>
              </w:rPr>
            </w:pPr>
            <w:r>
              <w:rPr>
                <w:rFonts w:ascii="Arial" w:cs="Arial" w:eastAsia="Arial" w:hAnsi="Arial"/>
                <w:sz w:val="16"/>
                <w:szCs w:val="16"/>
                <w:color w:val="auto"/>
              </w:rPr>
              <w:t>26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6.06   Control by Securityholders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tcPr>
          <w:p>
            <w:pPr>
              <w:ind w:left="280"/>
              <w:spacing w:after="0"/>
              <w:rPr>
                <w:sz w:val="20"/>
                <w:szCs w:val="20"/>
                <w:color w:val="auto"/>
              </w:rPr>
            </w:pPr>
            <w:r>
              <w:rPr>
                <w:rFonts w:ascii="Arial" w:cs="Arial" w:eastAsia="Arial" w:hAnsi="Arial"/>
                <w:sz w:val="16"/>
                <w:szCs w:val="16"/>
                <w:color w:val="auto"/>
              </w:rPr>
              <w:t>Section 6.07   Undertaking to Pay Costs</w:t>
            </w:r>
          </w:p>
        </w:tc>
        <w:tc>
          <w:tcPr>
            <w:tcW w:w="500" w:type="dxa"/>
            <w:vAlign w:val="bottom"/>
          </w:tcPr>
          <w:p>
            <w:pPr>
              <w:jc w:val="right"/>
              <w:spacing w:after="0"/>
              <w:rPr>
                <w:sz w:val="20"/>
                <w:szCs w:val="20"/>
                <w:color w:val="auto"/>
              </w:rPr>
            </w:pPr>
            <w:r>
              <w:rPr>
                <w:rFonts w:ascii="Arial" w:cs="Arial" w:eastAsia="Arial" w:hAnsi="Arial"/>
                <w:sz w:val="16"/>
                <w:szCs w:val="16"/>
                <w:color w:val="auto"/>
              </w:rPr>
              <w:t>27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tcPr>
          <w:p>
            <w:pPr>
              <w:spacing w:after="0"/>
              <w:rPr>
                <w:sz w:val="20"/>
                <w:szCs w:val="20"/>
                <w:color w:val="auto"/>
              </w:rPr>
            </w:pPr>
            <w:r>
              <w:rPr>
                <w:rFonts w:ascii="Arial" w:cs="Arial" w:eastAsia="Arial" w:hAnsi="Arial"/>
                <w:sz w:val="16"/>
                <w:szCs w:val="16"/>
                <w:color w:val="auto"/>
              </w:rPr>
              <w:t>ARTICLE 7 CONCERNING THE TRUSTEE</w:t>
            </w:r>
          </w:p>
        </w:tc>
        <w:tc>
          <w:tcPr>
            <w:tcW w:w="500" w:type="dxa"/>
            <w:vAlign w:val="bottom"/>
          </w:tcPr>
          <w:p>
            <w:pPr>
              <w:jc w:val="right"/>
              <w:spacing w:after="0"/>
              <w:rPr>
                <w:sz w:val="20"/>
                <w:szCs w:val="20"/>
                <w:color w:val="auto"/>
              </w:rPr>
            </w:pPr>
            <w:r>
              <w:rPr>
                <w:rFonts w:ascii="Arial" w:cs="Arial" w:eastAsia="Arial" w:hAnsi="Arial"/>
                <w:sz w:val="16"/>
                <w:szCs w:val="16"/>
                <w:color w:val="auto"/>
              </w:rPr>
              <w:t>28</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tcPr>
          <w:p>
            <w:pPr>
              <w:ind w:left="280"/>
              <w:spacing w:after="0"/>
              <w:rPr>
                <w:sz w:val="20"/>
                <w:szCs w:val="20"/>
                <w:color w:val="auto"/>
              </w:rPr>
            </w:pPr>
            <w:r>
              <w:rPr>
                <w:rFonts w:ascii="Arial" w:cs="Arial" w:eastAsia="Arial" w:hAnsi="Arial"/>
                <w:sz w:val="16"/>
                <w:szCs w:val="16"/>
                <w:color w:val="auto"/>
              </w:rPr>
              <w:t>Section 7.01   Certain Duties and Responsibilities of Trustee</w:t>
            </w:r>
          </w:p>
        </w:tc>
        <w:tc>
          <w:tcPr>
            <w:tcW w:w="500" w:type="dxa"/>
            <w:vAlign w:val="bottom"/>
          </w:tcPr>
          <w:p>
            <w:pPr>
              <w:jc w:val="right"/>
              <w:spacing w:after="0"/>
              <w:rPr>
                <w:sz w:val="20"/>
                <w:szCs w:val="20"/>
                <w:color w:val="auto"/>
              </w:rPr>
            </w:pPr>
            <w:r>
              <w:rPr>
                <w:rFonts w:ascii="Arial" w:cs="Arial" w:eastAsia="Arial" w:hAnsi="Arial"/>
                <w:sz w:val="16"/>
                <w:szCs w:val="16"/>
                <w:color w:val="auto"/>
              </w:rPr>
              <w:t>28</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7.02   Certain Rights of Trustee</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tcPr>
          <w:p>
            <w:pPr>
              <w:ind w:left="280"/>
              <w:spacing w:after="0"/>
              <w:rPr>
                <w:sz w:val="20"/>
                <w:szCs w:val="20"/>
                <w:color w:val="auto"/>
              </w:rPr>
            </w:pPr>
            <w:r>
              <w:rPr>
                <w:rFonts w:ascii="Arial" w:cs="Arial" w:eastAsia="Arial" w:hAnsi="Arial"/>
                <w:sz w:val="16"/>
                <w:szCs w:val="16"/>
                <w:color w:val="auto"/>
              </w:rPr>
              <w:t>Section 7.03   Trustee Not Responsible for Recitals or Issuance or Securities</w:t>
            </w:r>
          </w:p>
        </w:tc>
        <w:tc>
          <w:tcPr>
            <w:tcW w:w="500" w:type="dxa"/>
            <w:vAlign w:val="bottom"/>
          </w:tcPr>
          <w:p>
            <w:pPr>
              <w:jc w:val="right"/>
              <w:spacing w:after="0"/>
              <w:rPr>
                <w:sz w:val="20"/>
                <w:szCs w:val="20"/>
                <w:color w:val="auto"/>
              </w:rPr>
            </w:pPr>
            <w:r>
              <w:rPr>
                <w:rFonts w:ascii="Arial" w:cs="Arial" w:eastAsia="Arial" w:hAnsi="Arial"/>
                <w:sz w:val="16"/>
                <w:szCs w:val="16"/>
                <w:color w:val="auto"/>
              </w:rPr>
              <w:t>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7.04   May Hold Securities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tcPr>
          <w:p>
            <w:pPr>
              <w:ind w:left="280"/>
              <w:spacing w:after="0"/>
              <w:rPr>
                <w:sz w:val="20"/>
                <w:szCs w:val="20"/>
                <w:color w:val="auto"/>
              </w:rPr>
            </w:pPr>
            <w:r>
              <w:rPr>
                <w:rFonts w:ascii="Arial" w:cs="Arial" w:eastAsia="Arial" w:hAnsi="Arial"/>
                <w:sz w:val="16"/>
                <w:szCs w:val="16"/>
                <w:color w:val="auto"/>
              </w:rPr>
              <w:t>Section 7.05   Moneys Held in Trust</w:t>
            </w:r>
          </w:p>
        </w:tc>
        <w:tc>
          <w:tcPr>
            <w:tcW w:w="500" w:type="dxa"/>
            <w:vAlign w:val="bottom"/>
          </w:tcPr>
          <w:p>
            <w:pPr>
              <w:jc w:val="right"/>
              <w:spacing w:after="0"/>
              <w:rPr>
                <w:sz w:val="20"/>
                <w:szCs w:val="20"/>
                <w:color w:val="auto"/>
              </w:rPr>
            </w:pPr>
            <w:r>
              <w:rPr>
                <w:rFonts w:ascii="Arial" w:cs="Arial" w:eastAsia="Arial" w:hAnsi="Arial"/>
                <w:sz w:val="16"/>
                <w:szCs w:val="16"/>
                <w:color w:val="auto"/>
              </w:rPr>
              <w:t>32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7.06   Compensation and Reimbursement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tcPr>
          <w:p>
            <w:pPr>
              <w:ind w:left="280"/>
              <w:spacing w:after="0"/>
              <w:rPr>
                <w:sz w:val="20"/>
                <w:szCs w:val="20"/>
                <w:color w:val="auto"/>
              </w:rPr>
            </w:pPr>
            <w:r>
              <w:rPr>
                <w:rFonts w:ascii="Arial" w:cs="Arial" w:eastAsia="Arial" w:hAnsi="Arial"/>
                <w:sz w:val="16"/>
                <w:szCs w:val="16"/>
                <w:color w:val="auto"/>
              </w:rPr>
              <w:t>Section 7.07   Reliance on Officer’s Certificate</w:t>
            </w:r>
          </w:p>
        </w:tc>
        <w:tc>
          <w:tcPr>
            <w:tcW w:w="500" w:type="dxa"/>
            <w:vAlign w:val="bottom"/>
          </w:tcPr>
          <w:p>
            <w:pPr>
              <w:jc w:val="right"/>
              <w:spacing w:after="0"/>
              <w:rPr>
                <w:sz w:val="20"/>
                <w:szCs w:val="20"/>
                <w:color w:val="auto"/>
              </w:rPr>
            </w:pPr>
            <w:r>
              <w:rPr>
                <w:rFonts w:ascii="Arial" w:cs="Arial" w:eastAsia="Arial" w:hAnsi="Arial"/>
                <w:sz w:val="16"/>
                <w:szCs w:val="16"/>
                <w:color w:val="auto"/>
              </w:rPr>
              <w:t>33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7.08   Disqualification; Conflicting Interests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tcPr>
          <w:p>
            <w:pPr>
              <w:ind w:left="280"/>
              <w:spacing w:after="0"/>
              <w:rPr>
                <w:sz w:val="20"/>
                <w:szCs w:val="20"/>
                <w:color w:val="auto"/>
              </w:rPr>
            </w:pPr>
            <w:r>
              <w:rPr>
                <w:rFonts w:ascii="Arial" w:cs="Arial" w:eastAsia="Arial" w:hAnsi="Arial"/>
                <w:sz w:val="16"/>
                <w:szCs w:val="16"/>
                <w:color w:val="auto"/>
              </w:rPr>
              <w:t>Section 7.09   Corporate Trustee Required; Eligibility</w:t>
            </w:r>
          </w:p>
        </w:tc>
        <w:tc>
          <w:tcPr>
            <w:tcW w:w="500" w:type="dxa"/>
            <w:vAlign w:val="bottom"/>
          </w:tcPr>
          <w:p>
            <w:pPr>
              <w:jc w:val="right"/>
              <w:spacing w:after="0"/>
              <w:rPr>
                <w:sz w:val="20"/>
                <w:szCs w:val="20"/>
                <w:color w:val="auto"/>
              </w:rPr>
            </w:pPr>
            <w:r>
              <w:rPr>
                <w:rFonts w:ascii="Arial" w:cs="Arial" w:eastAsia="Arial" w:hAnsi="Arial"/>
                <w:sz w:val="16"/>
                <w:szCs w:val="16"/>
                <w:color w:val="auto"/>
              </w:rPr>
              <w:t>33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7.10   Resignation and Removal; Appointment of Successor</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tcPr>
          <w:p>
            <w:pPr>
              <w:ind w:left="280"/>
              <w:spacing w:after="0"/>
              <w:rPr>
                <w:sz w:val="20"/>
                <w:szCs w:val="20"/>
                <w:color w:val="auto"/>
              </w:rPr>
            </w:pPr>
            <w:r>
              <w:rPr>
                <w:rFonts w:ascii="Arial" w:cs="Arial" w:eastAsia="Arial" w:hAnsi="Arial"/>
                <w:sz w:val="16"/>
                <w:szCs w:val="16"/>
                <w:color w:val="auto"/>
              </w:rPr>
              <w:t>Section 7.11   Acceptance of Appointment By Successor</w:t>
            </w:r>
          </w:p>
        </w:tc>
        <w:tc>
          <w:tcPr>
            <w:tcW w:w="500" w:type="dxa"/>
            <w:vAlign w:val="bottom"/>
          </w:tcPr>
          <w:p>
            <w:pPr>
              <w:jc w:val="right"/>
              <w:spacing w:after="0"/>
              <w:rPr>
                <w:sz w:val="20"/>
                <w:szCs w:val="20"/>
                <w:color w:val="auto"/>
              </w:rPr>
            </w:pPr>
            <w:r>
              <w:rPr>
                <w:rFonts w:ascii="Arial" w:cs="Arial" w:eastAsia="Arial" w:hAnsi="Arial"/>
                <w:sz w:val="16"/>
                <w:szCs w:val="16"/>
                <w:color w:val="auto"/>
              </w:rPr>
              <w:t>35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7.12   Merger, Conversion, Consolidation or Succession to Business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tcPr>
          <w:p>
            <w:pPr>
              <w:ind w:left="280"/>
              <w:spacing w:after="0"/>
              <w:rPr>
                <w:sz w:val="20"/>
                <w:szCs w:val="20"/>
                <w:color w:val="auto"/>
              </w:rPr>
            </w:pPr>
            <w:r>
              <w:rPr>
                <w:rFonts w:ascii="Arial" w:cs="Arial" w:eastAsia="Arial" w:hAnsi="Arial"/>
                <w:sz w:val="16"/>
                <w:szCs w:val="16"/>
                <w:color w:val="auto"/>
              </w:rPr>
              <w:t>Section 7.13   Preferential Collection of Claims Against the Company</w:t>
            </w:r>
          </w:p>
        </w:tc>
        <w:tc>
          <w:tcPr>
            <w:tcW w:w="500" w:type="dxa"/>
            <w:vAlign w:val="bottom"/>
          </w:tcPr>
          <w:p>
            <w:pPr>
              <w:jc w:val="right"/>
              <w:spacing w:after="0"/>
              <w:rPr>
                <w:sz w:val="20"/>
                <w:szCs w:val="20"/>
                <w:color w:val="auto"/>
              </w:rPr>
            </w:pPr>
            <w:r>
              <w:rPr>
                <w:rFonts w:ascii="Arial" w:cs="Arial" w:eastAsia="Arial" w:hAnsi="Arial"/>
                <w:sz w:val="16"/>
                <w:szCs w:val="16"/>
                <w:color w:val="auto"/>
              </w:rPr>
              <w:t>36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7.14   Notice of Default.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0139"/>
          </w:cols>
          <w:pgMar w:left="320" w:top="324"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89"/>
        </w:trPr>
        <w:tc>
          <w:tcPr>
            <w:tcW w:w="1220" w:type="dxa"/>
            <w:vAlign w:val="bottom"/>
          </w:tcPr>
          <w:p>
            <w:pPr>
              <w:spacing w:after="0"/>
              <w:rPr>
                <w:sz w:val="16"/>
                <w:szCs w:val="16"/>
                <w:color w:val="auto"/>
              </w:rPr>
            </w:pPr>
          </w:p>
        </w:tc>
        <w:tc>
          <w:tcPr>
            <w:tcW w:w="7060" w:type="dxa"/>
            <w:vAlign w:val="bottom"/>
          </w:tcPr>
          <w:p>
            <w:pPr>
              <w:ind w:left="2620"/>
              <w:spacing w:after="0"/>
              <w:rPr>
                <w:sz w:val="20"/>
                <w:szCs w:val="20"/>
                <w:color w:val="auto"/>
              </w:rPr>
            </w:pPr>
            <w:r>
              <w:rPr>
                <w:rFonts w:ascii="Arial" w:cs="Arial" w:eastAsia="Arial" w:hAnsi="Arial"/>
                <w:sz w:val="16"/>
                <w:szCs w:val="16"/>
                <w:b w:val="1"/>
                <w:bCs w:val="1"/>
                <w:color w:val="auto"/>
              </w:rPr>
              <w:t>TABLE OF CONTENTS</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20" w:type="dxa"/>
            <w:vAlign w:val="bottom"/>
          </w:tcPr>
          <w:p>
            <w:pPr>
              <w:spacing w:after="0"/>
              <w:rPr>
                <w:sz w:val="17"/>
                <w:szCs w:val="17"/>
                <w:color w:val="auto"/>
              </w:rPr>
            </w:pPr>
          </w:p>
        </w:tc>
        <w:tc>
          <w:tcPr>
            <w:tcW w:w="7060" w:type="dxa"/>
            <w:vAlign w:val="bottom"/>
          </w:tcPr>
          <w:p>
            <w:pPr>
              <w:ind w:left="2860"/>
              <w:spacing w:after="0"/>
              <w:rPr>
                <w:sz w:val="20"/>
                <w:szCs w:val="20"/>
                <w:color w:val="auto"/>
              </w:rPr>
            </w:pPr>
            <w:r>
              <w:rPr>
                <w:rFonts w:ascii="Arial" w:cs="Arial" w:eastAsia="Arial" w:hAnsi="Arial"/>
                <w:sz w:val="16"/>
                <w:szCs w:val="16"/>
                <w:b w:val="1"/>
                <w:bCs w:val="1"/>
                <w:color w:val="auto"/>
              </w:rPr>
              <w:t>(CONTINUED)</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5"/>
        </w:trPr>
        <w:tc>
          <w:tcPr>
            <w:tcW w:w="12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5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81"/>
        </w:trPr>
        <w:tc>
          <w:tcPr>
            <w:tcW w:w="122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8 CONCERNING THE SECURITYHOLDERS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8.01</w:t>
            </w:r>
          </w:p>
        </w:tc>
        <w:tc>
          <w:tcPr>
            <w:tcW w:w="7060" w:type="dxa"/>
            <w:vAlign w:val="bottom"/>
            <w:shd w:val="clear" w:color="auto" w:fill="CCEEFF"/>
          </w:tcPr>
          <w:p>
            <w:pPr>
              <w:ind w:left="80"/>
              <w:spacing w:after="0"/>
              <w:rPr>
                <w:sz w:val="20"/>
                <w:szCs w:val="20"/>
                <w:color w:val="auto"/>
              </w:rPr>
            </w:pPr>
            <w:r>
              <w:rPr>
                <w:rFonts w:ascii="Arial" w:cs="Arial" w:eastAsia="Arial" w:hAnsi="Arial"/>
                <w:sz w:val="16"/>
                <w:szCs w:val="16"/>
                <w:color w:val="auto"/>
              </w:rPr>
              <w:t>Evidence of Action by Securityholders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280"/>
              <w:spacing w:after="0"/>
              <w:rPr>
                <w:sz w:val="20"/>
                <w:szCs w:val="20"/>
                <w:color w:val="auto"/>
              </w:rPr>
            </w:pPr>
            <w:r>
              <w:rPr>
                <w:rFonts w:ascii="Arial" w:cs="Arial" w:eastAsia="Arial" w:hAnsi="Arial"/>
                <w:sz w:val="16"/>
                <w:szCs w:val="16"/>
                <w:color w:val="auto"/>
              </w:rPr>
              <w:t>Section 8.02</w:t>
            </w:r>
          </w:p>
        </w:tc>
        <w:tc>
          <w:tcPr>
            <w:tcW w:w="7060" w:type="dxa"/>
            <w:vAlign w:val="bottom"/>
          </w:tcPr>
          <w:p>
            <w:pPr>
              <w:ind w:left="80"/>
              <w:spacing w:after="0"/>
              <w:rPr>
                <w:sz w:val="20"/>
                <w:szCs w:val="20"/>
                <w:color w:val="auto"/>
              </w:rPr>
            </w:pPr>
            <w:r>
              <w:rPr>
                <w:rFonts w:ascii="Arial" w:cs="Arial" w:eastAsia="Arial" w:hAnsi="Arial"/>
                <w:sz w:val="16"/>
                <w:szCs w:val="16"/>
                <w:color w:val="auto"/>
              </w:rPr>
              <w:t>Proof of Execution by Securityholders</w:t>
            </w:r>
          </w:p>
        </w:tc>
        <w:tc>
          <w:tcPr>
            <w:tcW w:w="500" w:type="dxa"/>
            <w:vAlign w:val="bottom"/>
          </w:tcPr>
          <w:p>
            <w:pPr>
              <w:jc w:val="right"/>
              <w:spacing w:after="0"/>
              <w:rPr>
                <w:sz w:val="20"/>
                <w:szCs w:val="20"/>
                <w:color w:val="auto"/>
              </w:rPr>
            </w:pPr>
            <w:r>
              <w:rPr>
                <w:rFonts w:ascii="Arial" w:cs="Arial" w:eastAsia="Arial" w:hAnsi="Arial"/>
                <w:sz w:val="16"/>
                <w:szCs w:val="16"/>
                <w:color w:val="auto"/>
              </w:rPr>
              <w:t>37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8.03</w:t>
            </w:r>
          </w:p>
        </w:tc>
        <w:tc>
          <w:tcPr>
            <w:tcW w:w="7060" w:type="dxa"/>
            <w:vAlign w:val="bottom"/>
            <w:shd w:val="clear" w:color="auto" w:fill="CCEEFF"/>
          </w:tcPr>
          <w:p>
            <w:pPr>
              <w:ind w:left="80"/>
              <w:spacing w:after="0"/>
              <w:rPr>
                <w:sz w:val="20"/>
                <w:szCs w:val="20"/>
                <w:color w:val="auto"/>
              </w:rPr>
            </w:pPr>
            <w:r>
              <w:rPr>
                <w:rFonts w:ascii="Arial" w:cs="Arial" w:eastAsia="Arial" w:hAnsi="Arial"/>
                <w:sz w:val="16"/>
                <w:szCs w:val="16"/>
                <w:color w:val="auto"/>
              </w:rPr>
              <w:t>Who May be Deemed Owners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280"/>
              <w:spacing w:after="0"/>
              <w:rPr>
                <w:sz w:val="20"/>
                <w:szCs w:val="20"/>
                <w:color w:val="auto"/>
              </w:rPr>
            </w:pPr>
            <w:r>
              <w:rPr>
                <w:rFonts w:ascii="Arial" w:cs="Arial" w:eastAsia="Arial" w:hAnsi="Arial"/>
                <w:sz w:val="16"/>
                <w:szCs w:val="16"/>
                <w:color w:val="auto"/>
              </w:rPr>
              <w:t>Section 8.04</w:t>
            </w:r>
          </w:p>
        </w:tc>
        <w:tc>
          <w:tcPr>
            <w:tcW w:w="7060" w:type="dxa"/>
            <w:vAlign w:val="bottom"/>
          </w:tcPr>
          <w:p>
            <w:pPr>
              <w:ind w:left="80"/>
              <w:spacing w:after="0"/>
              <w:rPr>
                <w:sz w:val="20"/>
                <w:szCs w:val="20"/>
                <w:color w:val="auto"/>
              </w:rPr>
            </w:pPr>
            <w:r>
              <w:rPr>
                <w:rFonts w:ascii="Arial" w:cs="Arial" w:eastAsia="Arial" w:hAnsi="Arial"/>
                <w:sz w:val="16"/>
                <w:szCs w:val="16"/>
                <w:color w:val="auto"/>
              </w:rPr>
              <w:t>Certain Securities Owned by Company Disregarded</w:t>
            </w:r>
          </w:p>
        </w:tc>
        <w:tc>
          <w:tcPr>
            <w:tcW w:w="500" w:type="dxa"/>
            <w:vAlign w:val="bottom"/>
          </w:tcPr>
          <w:p>
            <w:pPr>
              <w:jc w:val="right"/>
              <w:spacing w:after="0"/>
              <w:rPr>
                <w:sz w:val="20"/>
                <w:szCs w:val="20"/>
                <w:color w:val="auto"/>
              </w:rPr>
            </w:pPr>
            <w:r>
              <w:rPr>
                <w:rFonts w:ascii="Arial" w:cs="Arial" w:eastAsia="Arial" w:hAnsi="Arial"/>
                <w:sz w:val="16"/>
                <w:szCs w:val="16"/>
                <w:color w:val="auto"/>
              </w:rPr>
              <w:t>38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8.05</w:t>
            </w:r>
          </w:p>
        </w:tc>
        <w:tc>
          <w:tcPr>
            <w:tcW w:w="7060" w:type="dxa"/>
            <w:vAlign w:val="bottom"/>
            <w:shd w:val="clear" w:color="auto" w:fill="CCEEFF"/>
          </w:tcPr>
          <w:p>
            <w:pPr>
              <w:ind w:left="80"/>
              <w:spacing w:after="0"/>
              <w:rPr>
                <w:sz w:val="20"/>
                <w:szCs w:val="20"/>
                <w:color w:val="auto"/>
              </w:rPr>
            </w:pPr>
            <w:r>
              <w:rPr>
                <w:rFonts w:ascii="Arial" w:cs="Arial" w:eastAsia="Arial" w:hAnsi="Arial"/>
                <w:sz w:val="16"/>
                <w:szCs w:val="16"/>
                <w:color w:val="auto"/>
              </w:rPr>
              <w:t>Actions Binding on Future Securityholders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gridSpan w:val="2"/>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9 SUPPLEMENTAL INDENTURES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9.01</w:t>
            </w:r>
          </w:p>
        </w:tc>
        <w:tc>
          <w:tcPr>
            <w:tcW w:w="7060" w:type="dxa"/>
            <w:vAlign w:val="bottom"/>
            <w:shd w:val="clear" w:color="auto" w:fill="CCEEFF"/>
          </w:tcPr>
          <w:p>
            <w:pPr>
              <w:ind w:left="80"/>
              <w:spacing w:after="0"/>
              <w:rPr>
                <w:sz w:val="20"/>
                <w:szCs w:val="20"/>
                <w:color w:val="auto"/>
              </w:rPr>
            </w:pPr>
            <w:r>
              <w:rPr>
                <w:rFonts w:ascii="Arial" w:cs="Arial" w:eastAsia="Arial" w:hAnsi="Arial"/>
                <w:sz w:val="16"/>
                <w:szCs w:val="16"/>
                <w:color w:val="auto"/>
              </w:rPr>
              <w:t>Supplemental Indentures Without the Consent of Securityholders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280"/>
              <w:spacing w:after="0"/>
              <w:rPr>
                <w:sz w:val="20"/>
                <w:szCs w:val="20"/>
                <w:color w:val="auto"/>
              </w:rPr>
            </w:pPr>
            <w:r>
              <w:rPr>
                <w:rFonts w:ascii="Arial" w:cs="Arial" w:eastAsia="Arial" w:hAnsi="Arial"/>
                <w:sz w:val="16"/>
                <w:szCs w:val="16"/>
                <w:color w:val="auto"/>
              </w:rPr>
              <w:t>Section 9.02</w:t>
            </w:r>
          </w:p>
        </w:tc>
        <w:tc>
          <w:tcPr>
            <w:tcW w:w="7060" w:type="dxa"/>
            <w:vAlign w:val="bottom"/>
          </w:tcPr>
          <w:p>
            <w:pPr>
              <w:ind w:left="80"/>
              <w:spacing w:after="0"/>
              <w:rPr>
                <w:sz w:val="20"/>
                <w:szCs w:val="20"/>
                <w:color w:val="auto"/>
              </w:rPr>
            </w:pPr>
            <w:r>
              <w:rPr>
                <w:rFonts w:ascii="Arial" w:cs="Arial" w:eastAsia="Arial" w:hAnsi="Arial"/>
                <w:sz w:val="16"/>
                <w:szCs w:val="16"/>
                <w:color w:val="auto"/>
              </w:rPr>
              <w:t>Supplemental Indentures With Consent of Securityholders</w:t>
            </w:r>
          </w:p>
        </w:tc>
        <w:tc>
          <w:tcPr>
            <w:tcW w:w="500" w:type="dxa"/>
            <w:vAlign w:val="bottom"/>
          </w:tcPr>
          <w:p>
            <w:pPr>
              <w:jc w:val="right"/>
              <w:spacing w:after="0"/>
              <w:rPr>
                <w:sz w:val="20"/>
                <w:szCs w:val="20"/>
                <w:color w:val="auto"/>
              </w:rPr>
            </w:pPr>
            <w:r>
              <w:rPr>
                <w:rFonts w:ascii="Arial" w:cs="Arial" w:eastAsia="Arial" w:hAnsi="Arial"/>
                <w:sz w:val="16"/>
                <w:szCs w:val="16"/>
                <w:color w:val="auto"/>
              </w:rPr>
              <w:t>40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9.03</w:t>
            </w:r>
          </w:p>
        </w:tc>
        <w:tc>
          <w:tcPr>
            <w:tcW w:w="7060" w:type="dxa"/>
            <w:vAlign w:val="bottom"/>
            <w:shd w:val="clear" w:color="auto" w:fill="CCEEFF"/>
          </w:tcPr>
          <w:p>
            <w:pPr>
              <w:ind w:left="80"/>
              <w:spacing w:after="0"/>
              <w:rPr>
                <w:sz w:val="20"/>
                <w:szCs w:val="20"/>
                <w:color w:val="auto"/>
              </w:rPr>
            </w:pPr>
            <w:r>
              <w:rPr>
                <w:rFonts w:ascii="Arial" w:cs="Arial" w:eastAsia="Arial" w:hAnsi="Arial"/>
                <w:sz w:val="16"/>
                <w:szCs w:val="16"/>
                <w:color w:val="auto"/>
              </w:rPr>
              <w:t>Effect of Supplemental Indentures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280"/>
              <w:spacing w:after="0"/>
              <w:rPr>
                <w:sz w:val="20"/>
                <w:szCs w:val="20"/>
                <w:color w:val="auto"/>
              </w:rPr>
            </w:pPr>
            <w:r>
              <w:rPr>
                <w:rFonts w:ascii="Arial" w:cs="Arial" w:eastAsia="Arial" w:hAnsi="Arial"/>
                <w:sz w:val="16"/>
                <w:szCs w:val="16"/>
                <w:color w:val="auto"/>
              </w:rPr>
              <w:t>Section 9.04</w:t>
            </w:r>
          </w:p>
        </w:tc>
        <w:tc>
          <w:tcPr>
            <w:tcW w:w="7060" w:type="dxa"/>
            <w:vAlign w:val="bottom"/>
          </w:tcPr>
          <w:p>
            <w:pPr>
              <w:ind w:left="80"/>
              <w:spacing w:after="0"/>
              <w:rPr>
                <w:sz w:val="20"/>
                <w:szCs w:val="20"/>
                <w:color w:val="auto"/>
              </w:rPr>
            </w:pPr>
            <w:r>
              <w:rPr>
                <w:rFonts w:ascii="Arial" w:cs="Arial" w:eastAsia="Arial" w:hAnsi="Arial"/>
                <w:sz w:val="16"/>
                <w:szCs w:val="16"/>
                <w:color w:val="auto"/>
              </w:rPr>
              <w:t>Securities Affected by Supplemental Indentures</w:t>
            </w:r>
          </w:p>
        </w:tc>
        <w:tc>
          <w:tcPr>
            <w:tcW w:w="500" w:type="dxa"/>
            <w:vAlign w:val="bottom"/>
          </w:tcPr>
          <w:p>
            <w:pPr>
              <w:jc w:val="right"/>
              <w:spacing w:after="0"/>
              <w:rPr>
                <w:sz w:val="20"/>
                <w:szCs w:val="20"/>
                <w:color w:val="auto"/>
              </w:rPr>
            </w:pPr>
            <w:r>
              <w:rPr>
                <w:rFonts w:ascii="Arial" w:cs="Arial" w:eastAsia="Arial" w:hAnsi="Arial"/>
                <w:sz w:val="16"/>
                <w:szCs w:val="16"/>
                <w:color w:val="auto"/>
              </w:rPr>
              <w:t>41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Section 9.05</w:t>
            </w:r>
          </w:p>
        </w:tc>
        <w:tc>
          <w:tcPr>
            <w:tcW w:w="7060" w:type="dxa"/>
            <w:vAlign w:val="bottom"/>
            <w:shd w:val="clear" w:color="auto" w:fill="CCEEFF"/>
          </w:tcPr>
          <w:p>
            <w:pPr>
              <w:ind w:left="80"/>
              <w:spacing w:after="0"/>
              <w:rPr>
                <w:sz w:val="20"/>
                <w:szCs w:val="20"/>
                <w:color w:val="auto"/>
              </w:rPr>
            </w:pPr>
            <w:r>
              <w:rPr>
                <w:rFonts w:ascii="Arial" w:cs="Arial" w:eastAsia="Arial" w:hAnsi="Arial"/>
                <w:sz w:val="16"/>
                <w:szCs w:val="16"/>
                <w:color w:val="auto"/>
              </w:rPr>
              <w:t>Execution of Supplemental Indentures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gridSpan w:val="2"/>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10 SUCCESSOR ENTITY</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3"/>
              </w:rPr>
              <w:t>Section 10.01</w:t>
            </w:r>
          </w:p>
        </w:tc>
        <w:tc>
          <w:tcPr>
            <w:tcW w:w="706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Company May Consolidate, Etc.</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280"/>
              <w:spacing w:after="0"/>
              <w:rPr>
                <w:sz w:val="20"/>
                <w:szCs w:val="20"/>
                <w:color w:val="auto"/>
              </w:rPr>
            </w:pPr>
            <w:r>
              <w:rPr>
                <w:rFonts w:ascii="Arial" w:cs="Arial" w:eastAsia="Arial" w:hAnsi="Arial"/>
                <w:sz w:val="16"/>
                <w:szCs w:val="16"/>
                <w:color w:val="auto"/>
                <w:w w:val="93"/>
              </w:rPr>
              <w:t>Section 10.02</w:t>
            </w:r>
          </w:p>
        </w:tc>
        <w:tc>
          <w:tcPr>
            <w:tcW w:w="7060" w:type="dxa"/>
            <w:vAlign w:val="bottom"/>
          </w:tcPr>
          <w:p>
            <w:pPr>
              <w:ind w:left="80"/>
              <w:spacing w:after="0"/>
              <w:rPr>
                <w:sz w:val="20"/>
                <w:szCs w:val="20"/>
                <w:color w:val="auto"/>
              </w:rPr>
            </w:pPr>
            <w:r>
              <w:rPr>
                <w:rFonts w:ascii="Arial" w:cs="Arial" w:eastAsia="Arial" w:hAnsi="Arial"/>
                <w:sz w:val="16"/>
                <w:szCs w:val="16"/>
                <w:color w:val="auto"/>
              </w:rPr>
              <w:t>Successor Entity Substituted</w:t>
            </w:r>
          </w:p>
        </w:tc>
        <w:tc>
          <w:tcPr>
            <w:tcW w:w="500" w:type="dxa"/>
            <w:vAlign w:val="bottom"/>
          </w:tcPr>
          <w:p>
            <w:pPr>
              <w:jc w:val="right"/>
              <w:spacing w:after="0"/>
              <w:rPr>
                <w:sz w:val="20"/>
                <w:szCs w:val="20"/>
                <w:color w:val="auto"/>
              </w:rPr>
            </w:pPr>
            <w:r>
              <w:rPr>
                <w:rFonts w:ascii="Arial" w:cs="Arial" w:eastAsia="Arial" w:hAnsi="Arial"/>
                <w:sz w:val="16"/>
                <w:szCs w:val="16"/>
                <w:color w:val="auto"/>
              </w:rPr>
              <w:t>42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gridSpan w:val="2"/>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gridSpan w:val="2"/>
          </w:tcPr>
          <w:p>
            <w:pPr>
              <w:spacing w:after="0"/>
              <w:rPr>
                <w:sz w:val="20"/>
                <w:szCs w:val="20"/>
                <w:color w:val="auto"/>
              </w:rPr>
            </w:pPr>
            <w:r>
              <w:rPr>
                <w:rFonts w:ascii="Arial" w:cs="Arial" w:eastAsia="Arial" w:hAnsi="Arial"/>
                <w:sz w:val="16"/>
                <w:szCs w:val="16"/>
                <w:color w:val="auto"/>
              </w:rPr>
              <w:t>ARTICLE 11 SATISFACTION AND DISCHARGE</w:t>
            </w:r>
          </w:p>
        </w:tc>
        <w:tc>
          <w:tcPr>
            <w:tcW w:w="500" w:type="dxa"/>
            <w:vAlign w:val="bottom"/>
          </w:tcPr>
          <w:p>
            <w:pPr>
              <w:jc w:val="right"/>
              <w:spacing w:after="0"/>
              <w:rPr>
                <w:sz w:val="20"/>
                <w:szCs w:val="20"/>
                <w:color w:val="auto"/>
              </w:rPr>
            </w:pPr>
            <w:r>
              <w:rPr>
                <w:rFonts w:ascii="Arial" w:cs="Arial" w:eastAsia="Arial" w:hAnsi="Arial"/>
                <w:sz w:val="16"/>
                <w:szCs w:val="16"/>
                <w:color w:val="auto"/>
              </w:rPr>
              <w:t>42</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spacing w:after="0"/>
              <w:rPr>
                <w:sz w:val="16"/>
                <w:szCs w:val="16"/>
                <w:color w:val="auto"/>
              </w:rPr>
            </w:pPr>
          </w:p>
        </w:tc>
        <w:tc>
          <w:tcPr>
            <w:tcW w:w="70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280"/>
              <w:spacing w:after="0"/>
              <w:rPr>
                <w:sz w:val="20"/>
                <w:szCs w:val="20"/>
                <w:color w:val="auto"/>
              </w:rPr>
            </w:pPr>
            <w:r>
              <w:rPr>
                <w:rFonts w:ascii="Arial" w:cs="Arial" w:eastAsia="Arial" w:hAnsi="Arial"/>
                <w:sz w:val="16"/>
                <w:szCs w:val="16"/>
                <w:color w:val="auto"/>
                <w:w w:val="93"/>
              </w:rPr>
              <w:t>Section 11.01</w:t>
            </w:r>
          </w:p>
        </w:tc>
        <w:tc>
          <w:tcPr>
            <w:tcW w:w="7060" w:type="dxa"/>
            <w:vAlign w:val="bottom"/>
          </w:tcPr>
          <w:p>
            <w:pPr>
              <w:ind w:left="80"/>
              <w:spacing w:after="0"/>
              <w:rPr>
                <w:sz w:val="20"/>
                <w:szCs w:val="20"/>
                <w:color w:val="auto"/>
              </w:rPr>
            </w:pPr>
            <w:r>
              <w:rPr>
                <w:rFonts w:ascii="Arial" w:cs="Arial" w:eastAsia="Arial" w:hAnsi="Arial"/>
                <w:sz w:val="16"/>
                <w:szCs w:val="16"/>
                <w:color w:val="auto"/>
              </w:rPr>
              <w:t>Satisfaction and Discharge of Indenture</w:t>
            </w:r>
          </w:p>
        </w:tc>
        <w:tc>
          <w:tcPr>
            <w:tcW w:w="500" w:type="dxa"/>
            <w:vAlign w:val="bottom"/>
          </w:tcPr>
          <w:p>
            <w:pPr>
              <w:jc w:val="right"/>
              <w:spacing w:after="0"/>
              <w:rPr>
                <w:sz w:val="20"/>
                <w:szCs w:val="20"/>
                <w:color w:val="auto"/>
              </w:rPr>
            </w:pPr>
            <w:r>
              <w:rPr>
                <w:rFonts w:ascii="Arial" w:cs="Arial" w:eastAsia="Arial" w:hAnsi="Arial"/>
                <w:sz w:val="16"/>
                <w:szCs w:val="16"/>
                <w:color w:val="auto"/>
              </w:rPr>
              <w:t>42</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3"/>
              </w:rPr>
              <w:t>Section 11.02</w:t>
            </w:r>
          </w:p>
        </w:tc>
        <w:tc>
          <w:tcPr>
            <w:tcW w:w="706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Discharge of Obligations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280"/>
              <w:spacing w:after="0"/>
              <w:rPr>
                <w:sz w:val="20"/>
                <w:szCs w:val="20"/>
                <w:color w:val="auto"/>
              </w:rPr>
            </w:pPr>
            <w:r>
              <w:rPr>
                <w:rFonts w:ascii="Arial" w:cs="Arial" w:eastAsia="Arial" w:hAnsi="Arial"/>
                <w:sz w:val="16"/>
                <w:szCs w:val="16"/>
                <w:color w:val="auto"/>
                <w:w w:val="93"/>
              </w:rPr>
              <w:t>Section 11.03</w:t>
            </w:r>
          </w:p>
        </w:tc>
        <w:tc>
          <w:tcPr>
            <w:tcW w:w="7060" w:type="dxa"/>
            <w:vAlign w:val="bottom"/>
          </w:tcPr>
          <w:p>
            <w:pPr>
              <w:ind w:left="80"/>
              <w:spacing w:after="0"/>
              <w:rPr>
                <w:sz w:val="20"/>
                <w:szCs w:val="20"/>
                <w:color w:val="auto"/>
              </w:rPr>
            </w:pPr>
            <w:r>
              <w:rPr>
                <w:rFonts w:ascii="Arial" w:cs="Arial" w:eastAsia="Arial" w:hAnsi="Arial"/>
                <w:sz w:val="16"/>
                <w:szCs w:val="16"/>
                <w:color w:val="auto"/>
              </w:rPr>
              <w:t>Deposited Moneys to be Held in Trust</w:t>
            </w:r>
          </w:p>
        </w:tc>
        <w:tc>
          <w:tcPr>
            <w:tcW w:w="500" w:type="dxa"/>
            <w:vAlign w:val="bottom"/>
          </w:tcPr>
          <w:p>
            <w:pPr>
              <w:jc w:val="right"/>
              <w:spacing w:after="0"/>
              <w:rPr>
                <w:sz w:val="20"/>
                <w:szCs w:val="20"/>
                <w:color w:val="auto"/>
              </w:rPr>
            </w:pPr>
            <w:r>
              <w:rPr>
                <w:rFonts w:ascii="Arial" w:cs="Arial" w:eastAsia="Arial" w:hAnsi="Arial"/>
                <w:sz w:val="16"/>
                <w:szCs w:val="16"/>
                <w:color w:val="auto"/>
              </w:rPr>
              <w:t>43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3"/>
              </w:rPr>
              <w:t>Section 11.04</w:t>
            </w:r>
          </w:p>
        </w:tc>
        <w:tc>
          <w:tcPr>
            <w:tcW w:w="7060" w:type="dxa"/>
            <w:vAlign w:val="bottom"/>
            <w:shd w:val="clear" w:color="auto" w:fill="CCEEFF"/>
          </w:tcPr>
          <w:p>
            <w:pPr>
              <w:ind w:left="80"/>
              <w:spacing w:after="0"/>
              <w:rPr>
                <w:sz w:val="20"/>
                <w:szCs w:val="20"/>
                <w:color w:val="auto"/>
              </w:rPr>
            </w:pPr>
            <w:r>
              <w:rPr>
                <w:rFonts w:ascii="Arial" w:cs="Arial" w:eastAsia="Arial" w:hAnsi="Arial"/>
                <w:sz w:val="16"/>
                <w:szCs w:val="16"/>
                <w:color w:val="auto"/>
              </w:rPr>
              <w:t>Payment of Moneys Held by Paying Agents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280"/>
              <w:spacing w:after="0"/>
              <w:rPr>
                <w:sz w:val="20"/>
                <w:szCs w:val="20"/>
                <w:color w:val="auto"/>
              </w:rPr>
            </w:pPr>
            <w:r>
              <w:rPr>
                <w:rFonts w:ascii="Arial" w:cs="Arial" w:eastAsia="Arial" w:hAnsi="Arial"/>
                <w:sz w:val="16"/>
                <w:szCs w:val="16"/>
                <w:color w:val="auto"/>
                <w:w w:val="93"/>
              </w:rPr>
              <w:t>Section 11.05</w:t>
            </w:r>
          </w:p>
        </w:tc>
        <w:tc>
          <w:tcPr>
            <w:tcW w:w="7060" w:type="dxa"/>
            <w:vAlign w:val="bottom"/>
          </w:tcPr>
          <w:p>
            <w:pPr>
              <w:ind w:left="80"/>
              <w:spacing w:after="0"/>
              <w:rPr>
                <w:sz w:val="20"/>
                <w:szCs w:val="20"/>
                <w:color w:val="auto"/>
              </w:rPr>
            </w:pPr>
            <w:r>
              <w:rPr>
                <w:rFonts w:ascii="Arial" w:cs="Arial" w:eastAsia="Arial" w:hAnsi="Arial"/>
                <w:sz w:val="16"/>
                <w:szCs w:val="16"/>
                <w:color w:val="auto"/>
              </w:rPr>
              <w:t>Repayment to Company</w:t>
            </w:r>
          </w:p>
        </w:tc>
        <w:tc>
          <w:tcPr>
            <w:tcW w:w="500" w:type="dxa"/>
            <w:vAlign w:val="bottom"/>
          </w:tcPr>
          <w:p>
            <w:pPr>
              <w:jc w:val="right"/>
              <w:spacing w:after="0"/>
              <w:rPr>
                <w:sz w:val="20"/>
                <w:szCs w:val="20"/>
                <w:color w:val="auto"/>
              </w:rPr>
            </w:pPr>
            <w:r>
              <w:rPr>
                <w:rFonts w:ascii="Arial" w:cs="Arial" w:eastAsia="Arial" w:hAnsi="Arial"/>
                <w:sz w:val="16"/>
                <w:szCs w:val="16"/>
                <w:color w:val="auto"/>
              </w:rPr>
              <w:t>44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gridSpan w:val="2"/>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gridSpan w:val="2"/>
          </w:tcPr>
          <w:p>
            <w:pPr>
              <w:spacing w:after="0"/>
              <w:rPr>
                <w:sz w:val="20"/>
                <w:szCs w:val="20"/>
                <w:color w:val="auto"/>
              </w:rPr>
            </w:pPr>
            <w:r>
              <w:rPr>
                <w:rFonts w:ascii="Arial" w:cs="Arial" w:eastAsia="Arial" w:hAnsi="Arial"/>
                <w:sz w:val="16"/>
                <w:szCs w:val="16"/>
                <w:color w:val="auto"/>
              </w:rPr>
              <w:t>ARTICLE 12 IMMUNITY OF INCORPORATORS, SHAREHOLDERS, OFFICERS AND DIRECTORS</w:t>
            </w:r>
          </w:p>
        </w:tc>
        <w:tc>
          <w:tcPr>
            <w:tcW w:w="500" w:type="dxa"/>
            <w:vAlign w:val="bottom"/>
          </w:tcPr>
          <w:p>
            <w:pPr>
              <w:jc w:val="right"/>
              <w:spacing w:after="0"/>
              <w:rPr>
                <w:sz w:val="20"/>
                <w:szCs w:val="20"/>
                <w:color w:val="auto"/>
              </w:rPr>
            </w:pPr>
            <w:r>
              <w:rPr>
                <w:rFonts w:ascii="Arial" w:cs="Arial" w:eastAsia="Arial" w:hAnsi="Arial"/>
                <w:sz w:val="16"/>
                <w:szCs w:val="16"/>
                <w:color w:val="auto"/>
              </w:rPr>
              <w:t>44</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spacing w:after="0"/>
              <w:rPr>
                <w:sz w:val="16"/>
                <w:szCs w:val="16"/>
                <w:color w:val="auto"/>
              </w:rPr>
            </w:pPr>
          </w:p>
        </w:tc>
        <w:tc>
          <w:tcPr>
            <w:tcW w:w="70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280"/>
              <w:spacing w:after="0"/>
              <w:rPr>
                <w:sz w:val="20"/>
                <w:szCs w:val="20"/>
                <w:color w:val="auto"/>
              </w:rPr>
            </w:pPr>
            <w:r>
              <w:rPr>
                <w:rFonts w:ascii="Arial" w:cs="Arial" w:eastAsia="Arial" w:hAnsi="Arial"/>
                <w:sz w:val="16"/>
                <w:szCs w:val="16"/>
                <w:color w:val="auto"/>
                <w:w w:val="93"/>
              </w:rPr>
              <w:t>Section 12.01</w:t>
            </w:r>
          </w:p>
        </w:tc>
        <w:tc>
          <w:tcPr>
            <w:tcW w:w="7060" w:type="dxa"/>
            <w:vAlign w:val="bottom"/>
          </w:tcPr>
          <w:p>
            <w:pPr>
              <w:ind w:left="80"/>
              <w:spacing w:after="0"/>
              <w:rPr>
                <w:sz w:val="20"/>
                <w:szCs w:val="20"/>
                <w:color w:val="auto"/>
              </w:rPr>
            </w:pPr>
            <w:r>
              <w:rPr>
                <w:rFonts w:ascii="Arial" w:cs="Arial" w:eastAsia="Arial" w:hAnsi="Arial"/>
                <w:sz w:val="16"/>
                <w:szCs w:val="16"/>
                <w:color w:val="auto"/>
              </w:rPr>
              <w:t>No Recourse</w:t>
            </w:r>
          </w:p>
        </w:tc>
        <w:tc>
          <w:tcPr>
            <w:tcW w:w="500" w:type="dxa"/>
            <w:vAlign w:val="bottom"/>
          </w:tcPr>
          <w:p>
            <w:pPr>
              <w:jc w:val="right"/>
              <w:spacing w:after="0"/>
              <w:rPr>
                <w:sz w:val="20"/>
                <w:szCs w:val="20"/>
                <w:color w:val="auto"/>
              </w:rPr>
            </w:pPr>
            <w:r>
              <w:rPr>
                <w:rFonts w:ascii="Arial" w:cs="Arial" w:eastAsia="Arial" w:hAnsi="Arial"/>
                <w:sz w:val="16"/>
                <w:szCs w:val="16"/>
                <w:color w:val="auto"/>
              </w:rPr>
              <w:t>44</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gridSpan w:val="2"/>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gridSpan w:val="2"/>
          </w:tcPr>
          <w:p>
            <w:pPr>
              <w:spacing w:after="0"/>
              <w:rPr>
                <w:sz w:val="20"/>
                <w:szCs w:val="20"/>
                <w:color w:val="auto"/>
              </w:rPr>
            </w:pPr>
            <w:r>
              <w:rPr>
                <w:rFonts w:ascii="Arial" w:cs="Arial" w:eastAsia="Arial" w:hAnsi="Arial"/>
                <w:sz w:val="16"/>
                <w:szCs w:val="16"/>
                <w:color w:val="auto"/>
              </w:rPr>
              <w:t>ARTICLE 13 MISCELLANEOUS PROVISIONS</w:t>
            </w:r>
          </w:p>
        </w:tc>
        <w:tc>
          <w:tcPr>
            <w:tcW w:w="500" w:type="dxa"/>
            <w:vAlign w:val="bottom"/>
          </w:tcPr>
          <w:p>
            <w:pPr>
              <w:jc w:val="right"/>
              <w:spacing w:after="0"/>
              <w:rPr>
                <w:sz w:val="20"/>
                <w:szCs w:val="20"/>
                <w:color w:val="auto"/>
              </w:rPr>
            </w:pPr>
            <w:r>
              <w:rPr>
                <w:rFonts w:ascii="Arial" w:cs="Arial" w:eastAsia="Arial" w:hAnsi="Arial"/>
                <w:sz w:val="16"/>
                <w:szCs w:val="16"/>
                <w:color w:val="auto"/>
              </w:rPr>
              <w:t>45</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spacing w:after="0"/>
              <w:rPr>
                <w:sz w:val="16"/>
                <w:szCs w:val="16"/>
                <w:color w:val="auto"/>
              </w:rPr>
            </w:pPr>
          </w:p>
        </w:tc>
        <w:tc>
          <w:tcPr>
            <w:tcW w:w="70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280"/>
              <w:spacing w:after="0"/>
              <w:rPr>
                <w:sz w:val="20"/>
                <w:szCs w:val="20"/>
                <w:color w:val="auto"/>
              </w:rPr>
            </w:pPr>
            <w:r>
              <w:rPr>
                <w:rFonts w:ascii="Arial" w:cs="Arial" w:eastAsia="Arial" w:hAnsi="Arial"/>
                <w:sz w:val="16"/>
                <w:szCs w:val="16"/>
                <w:color w:val="auto"/>
                <w:w w:val="93"/>
              </w:rPr>
              <w:t>Section 13.01</w:t>
            </w:r>
          </w:p>
        </w:tc>
        <w:tc>
          <w:tcPr>
            <w:tcW w:w="7060" w:type="dxa"/>
            <w:vAlign w:val="bottom"/>
          </w:tcPr>
          <w:p>
            <w:pPr>
              <w:ind w:left="80"/>
              <w:spacing w:after="0"/>
              <w:rPr>
                <w:sz w:val="20"/>
                <w:szCs w:val="20"/>
                <w:color w:val="auto"/>
              </w:rPr>
            </w:pPr>
            <w:r>
              <w:rPr>
                <w:rFonts w:ascii="Arial" w:cs="Arial" w:eastAsia="Arial" w:hAnsi="Arial"/>
                <w:sz w:val="16"/>
                <w:szCs w:val="16"/>
                <w:color w:val="auto"/>
              </w:rPr>
              <w:t>Effect on Successors and Assigns</w:t>
            </w:r>
          </w:p>
        </w:tc>
        <w:tc>
          <w:tcPr>
            <w:tcW w:w="500" w:type="dxa"/>
            <w:vAlign w:val="bottom"/>
          </w:tcPr>
          <w:p>
            <w:pPr>
              <w:jc w:val="right"/>
              <w:spacing w:after="0"/>
              <w:rPr>
                <w:sz w:val="20"/>
                <w:szCs w:val="20"/>
                <w:color w:val="auto"/>
              </w:rPr>
            </w:pPr>
            <w:r>
              <w:rPr>
                <w:rFonts w:ascii="Arial" w:cs="Arial" w:eastAsia="Arial" w:hAnsi="Arial"/>
                <w:sz w:val="16"/>
                <w:szCs w:val="16"/>
                <w:color w:val="auto"/>
              </w:rPr>
              <w:t>45</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3"/>
              </w:rPr>
              <w:t>Section 13.02</w:t>
            </w:r>
          </w:p>
        </w:tc>
        <w:tc>
          <w:tcPr>
            <w:tcW w:w="7060" w:type="dxa"/>
            <w:vAlign w:val="bottom"/>
            <w:shd w:val="clear" w:color="auto" w:fill="CCEEFF"/>
          </w:tcPr>
          <w:p>
            <w:pPr>
              <w:ind w:left="80"/>
              <w:spacing w:after="0"/>
              <w:rPr>
                <w:sz w:val="20"/>
                <w:szCs w:val="20"/>
                <w:color w:val="auto"/>
              </w:rPr>
            </w:pPr>
            <w:r>
              <w:rPr>
                <w:rFonts w:ascii="Arial" w:cs="Arial" w:eastAsia="Arial" w:hAnsi="Arial"/>
                <w:sz w:val="16"/>
                <w:szCs w:val="16"/>
                <w:color w:val="auto"/>
              </w:rPr>
              <w:t>Actions by Successor</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280"/>
              <w:spacing w:after="0"/>
              <w:rPr>
                <w:sz w:val="20"/>
                <w:szCs w:val="20"/>
                <w:color w:val="auto"/>
              </w:rPr>
            </w:pPr>
            <w:r>
              <w:rPr>
                <w:rFonts w:ascii="Arial" w:cs="Arial" w:eastAsia="Arial" w:hAnsi="Arial"/>
                <w:sz w:val="16"/>
                <w:szCs w:val="16"/>
                <w:color w:val="auto"/>
                <w:w w:val="93"/>
              </w:rPr>
              <w:t>Section 13.03</w:t>
            </w:r>
          </w:p>
        </w:tc>
        <w:tc>
          <w:tcPr>
            <w:tcW w:w="7060" w:type="dxa"/>
            <w:vAlign w:val="bottom"/>
          </w:tcPr>
          <w:p>
            <w:pPr>
              <w:ind w:left="80"/>
              <w:spacing w:after="0"/>
              <w:rPr>
                <w:sz w:val="20"/>
                <w:szCs w:val="20"/>
                <w:color w:val="auto"/>
              </w:rPr>
            </w:pPr>
            <w:r>
              <w:rPr>
                <w:rFonts w:ascii="Arial" w:cs="Arial" w:eastAsia="Arial" w:hAnsi="Arial"/>
                <w:sz w:val="16"/>
                <w:szCs w:val="16"/>
                <w:color w:val="auto"/>
              </w:rPr>
              <w:t>Surrender of Company Powers</w:t>
            </w:r>
          </w:p>
        </w:tc>
        <w:tc>
          <w:tcPr>
            <w:tcW w:w="500" w:type="dxa"/>
            <w:vAlign w:val="bottom"/>
          </w:tcPr>
          <w:p>
            <w:pPr>
              <w:jc w:val="right"/>
              <w:spacing w:after="0"/>
              <w:rPr>
                <w:sz w:val="20"/>
                <w:szCs w:val="20"/>
                <w:color w:val="auto"/>
              </w:rPr>
            </w:pPr>
            <w:r>
              <w:rPr>
                <w:rFonts w:ascii="Arial" w:cs="Arial" w:eastAsia="Arial" w:hAnsi="Arial"/>
                <w:sz w:val="16"/>
                <w:szCs w:val="16"/>
                <w:color w:val="auto"/>
              </w:rPr>
              <w:t>45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3"/>
              </w:rPr>
              <w:t>Section 13.04</w:t>
            </w:r>
          </w:p>
        </w:tc>
        <w:tc>
          <w:tcPr>
            <w:tcW w:w="706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Notices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280"/>
              <w:spacing w:after="0"/>
              <w:rPr>
                <w:sz w:val="20"/>
                <w:szCs w:val="20"/>
                <w:color w:val="auto"/>
              </w:rPr>
            </w:pPr>
            <w:r>
              <w:rPr>
                <w:rFonts w:ascii="Arial" w:cs="Arial" w:eastAsia="Arial" w:hAnsi="Arial"/>
                <w:sz w:val="16"/>
                <w:szCs w:val="16"/>
                <w:color w:val="auto"/>
                <w:w w:val="93"/>
              </w:rPr>
              <w:t>Section 13.05</w:t>
            </w:r>
          </w:p>
        </w:tc>
        <w:tc>
          <w:tcPr>
            <w:tcW w:w="7060" w:type="dxa"/>
            <w:vAlign w:val="bottom"/>
          </w:tcPr>
          <w:p>
            <w:pPr>
              <w:ind w:left="80"/>
              <w:spacing w:after="0"/>
              <w:rPr>
                <w:sz w:val="20"/>
                <w:szCs w:val="20"/>
                <w:color w:val="auto"/>
              </w:rPr>
            </w:pPr>
            <w:r>
              <w:rPr>
                <w:rFonts w:ascii="Arial" w:cs="Arial" w:eastAsia="Arial" w:hAnsi="Arial"/>
                <w:sz w:val="16"/>
                <w:szCs w:val="16"/>
                <w:color w:val="auto"/>
              </w:rPr>
              <w:t>Governing Law; Jury Trial Waiver</w:t>
            </w:r>
          </w:p>
        </w:tc>
        <w:tc>
          <w:tcPr>
            <w:tcW w:w="500" w:type="dxa"/>
            <w:vAlign w:val="bottom"/>
          </w:tcPr>
          <w:p>
            <w:pPr>
              <w:jc w:val="right"/>
              <w:spacing w:after="0"/>
              <w:rPr>
                <w:sz w:val="20"/>
                <w:szCs w:val="20"/>
                <w:color w:val="auto"/>
              </w:rPr>
            </w:pPr>
            <w:r>
              <w:rPr>
                <w:rFonts w:ascii="Arial" w:cs="Arial" w:eastAsia="Arial" w:hAnsi="Arial"/>
                <w:sz w:val="16"/>
                <w:szCs w:val="16"/>
                <w:color w:val="auto"/>
              </w:rPr>
              <w:t>45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3"/>
              </w:rPr>
              <w:t>Section 13.06</w:t>
            </w:r>
          </w:p>
        </w:tc>
        <w:tc>
          <w:tcPr>
            <w:tcW w:w="7060" w:type="dxa"/>
            <w:vAlign w:val="bottom"/>
            <w:shd w:val="clear" w:color="auto" w:fill="CCEEFF"/>
          </w:tcPr>
          <w:p>
            <w:pPr>
              <w:ind w:left="80"/>
              <w:spacing w:after="0"/>
              <w:rPr>
                <w:sz w:val="20"/>
                <w:szCs w:val="20"/>
                <w:color w:val="auto"/>
              </w:rPr>
            </w:pPr>
            <w:r>
              <w:rPr>
                <w:rFonts w:ascii="Arial" w:cs="Arial" w:eastAsia="Arial" w:hAnsi="Arial"/>
                <w:sz w:val="16"/>
                <w:szCs w:val="16"/>
                <w:color w:val="auto"/>
              </w:rPr>
              <w:t>Treatment of Securities as Debt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280"/>
              <w:spacing w:after="0"/>
              <w:rPr>
                <w:sz w:val="20"/>
                <w:szCs w:val="20"/>
                <w:color w:val="auto"/>
              </w:rPr>
            </w:pPr>
            <w:r>
              <w:rPr>
                <w:rFonts w:ascii="Arial" w:cs="Arial" w:eastAsia="Arial" w:hAnsi="Arial"/>
                <w:sz w:val="16"/>
                <w:szCs w:val="16"/>
                <w:color w:val="auto"/>
                <w:w w:val="93"/>
              </w:rPr>
              <w:t>Section 13.07</w:t>
            </w:r>
          </w:p>
        </w:tc>
        <w:tc>
          <w:tcPr>
            <w:tcW w:w="7060" w:type="dxa"/>
            <w:vAlign w:val="bottom"/>
          </w:tcPr>
          <w:p>
            <w:pPr>
              <w:ind w:left="80"/>
              <w:spacing w:after="0"/>
              <w:rPr>
                <w:sz w:val="20"/>
                <w:szCs w:val="20"/>
                <w:color w:val="auto"/>
              </w:rPr>
            </w:pPr>
            <w:r>
              <w:rPr>
                <w:rFonts w:ascii="Arial" w:cs="Arial" w:eastAsia="Arial" w:hAnsi="Arial"/>
                <w:sz w:val="16"/>
                <w:szCs w:val="16"/>
                <w:color w:val="auto"/>
              </w:rPr>
              <w:t>Certificates and Opinions as to Conditions Precedent</w:t>
            </w:r>
          </w:p>
        </w:tc>
        <w:tc>
          <w:tcPr>
            <w:tcW w:w="500" w:type="dxa"/>
            <w:vAlign w:val="bottom"/>
          </w:tcPr>
          <w:p>
            <w:pPr>
              <w:jc w:val="right"/>
              <w:spacing w:after="0"/>
              <w:rPr>
                <w:sz w:val="20"/>
                <w:szCs w:val="20"/>
                <w:color w:val="auto"/>
              </w:rPr>
            </w:pPr>
            <w:r>
              <w:rPr>
                <w:rFonts w:ascii="Arial" w:cs="Arial" w:eastAsia="Arial" w:hAnsi="Arial"/>
                <w:sz w:val="16"/>
                <w:szCs w:val="16"/>
                <w:color w:val="auto"/>
              </w:rPr>
              <w:t>46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3"/>
              </w:rPr>
              <w:t>Section 13.08</w:t>
            </w:r>
          </w:p>
        </w:tc>
        <w:tc>
          <w:tcPr>
            <w:tcW w:w="7060" w:type="dxa"/>
            <w:vAlign w:val="bottom"/>
            <w:shd w:val="clear" w:color="auto" w:fill="CCEEFF"/>
          </w:tcPr>
          <w:p>
            <w:pPr>
              <w:ind w:left="80"/>
              <w:spacing w:after="0"/>
              <w:rPr>
                <w:sz w:val="20"/>
                <w:szCs w:val="20"/>
                <w:color w:val="auto"/>
              </w:rPr>
            </w:pPr>
            <w:r>
              <w:rPr>
                <w:rFonts w:ascii="Arial" w:cs="Arial" w:eastAsia="Arial" w:hAnsi="Arial"/>
                <w:sz w:val="16"/>
                <w:szCs w:val="16"/>
                <w:color w:val="auto"/>
              </w:rPr>
              <w:t>Payments on Business Days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280"/>
              <w:spacing w:after="0"/>
              <w:rPr>
                <w:sz w:val="20"/>
                <w:szCs w:val="20"/>
                <w:color w:val="auto"/>
              </w:rPr>
            </w:pPr>
            <w:r>
              <w:rPr>
                <w:rFonts w:ascii="Arial" w:cs="Arial" w:eastAsia="Arial" w:hAnsi="Arial"/>
                <w:sz w:val="16"/>
                <w:szCs w:val="16"/>
                <w:color w:val="auto"/>
                <w:w w:val="93"/>
              </w:rPr>
              <w:t>Section 13.09</w:t>
            </w:r>
          </w:p>
        </w:tc>
        <w:tc>
          <w:tcPr>
            <w:tcW w:w="7060" w:type="dxa"/>
            <w:vAlign w:val="bottom"/>
          </w:tcPr>
          <w:p>
            <w:pPr>
              <w:ind w:left="80"/>
              <w:spacing w:after="0"/>
              <w:rPr>
                <w:sz w:val="20"/>
                <w:szCs w:val="20"/>
                <w:color w:val="auto"/>
              </w:rPr>
            </w:pPr>
            <w:r>
              <w:rPr>
                <w:rFonts w:ascii="Arial" w:cs="Arial" w:eastAsia="Arial" w:hAnsi="Arial"/>
                <w:sz w:val="16"/>
                <w:szCs w:val="16"/>
                <w:color w:val="auto"/>
              </w:rPr>
              <w:t>Conflict with Trust Indenture Act</w:t>
            </w:r>
          </w:p>
        </w:tc>
        <w:tc>
          <w:tcPr>
            <w:tcW w:w="500" w:type="dxa"/>
            <w:vAlign w:val="bottom"/>
          </w:tcPr>
          <w:p>
            <w:pPr>
              <w:jc w:val="right"/>
              <w:spacing w:after="0"/>
              <w:rPr>
                <w:sz w:val="20"/>
                <w:szCs w:val="20"/>
                <w:color w:val="auto"/>
              </w:rPr>
            </w:pPr>
            <w:r>
              <w:rPr>
                <w:rFonts w:ascii="Arial" w:cs="Arial" w:eastAsia="Arial" w:hAnsi="Arial"/>
                <w:sz w:val="16"/>
                <w:szCs w:val="16"/>
                <w:color w:val="auto"/>
              </w:rPr>
              <w:t>47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3"/>
              </w:rPr>
              <w:t>Section 13.10</w:t>
            </w:r>
          </w:p>
        </w:tc>
        <w:tc>
          <w:tcPr>
            <w:tcW w:w="706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Counterparts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280"/>
              <w:spacing w:after="0"/>
              <w:rPr>
                <w:sz w:val="20"/>
                <w:szCs w:val="20"/>
                <w:color w:val="auto"/>
              </w:rPr>
            </w:pPr>
            <w:r>
              <w:rPr>
                <w:rFonts w:ascii="Arial" w:cs="Arial" w:eastAsia="Arial" w:hAnsi="Arial"/>
                <w:sz w:val="16"/>
                <w:szCs w:val="16"/>
                <w:color w:val="auto"/>
                <w:w w:val="93"/>
              </w:rPr>
              <w:t>Section 13.11</w:t>
            </w:r>
          </w:p>
        </w:tc>
        <w:tc>
          <w:tcPr>
            <w:tcW w:w="7060" w:type="dxa"/>
            <w:vAlign w:val="bottom"/>
          </w:tcPr>
          <w:p>
            <w:pPr>
              <w:ind w:left="80"/>
              <w:spacing w:after="0"/>
              <w:rPr>
                <w:sz w:val="20"/>
                <w:szCs w:val="20"/>
                <w:color w:val="auto"/>
              </w:rPr>
            </w:pPr>
            <w:r>
              <w:rPr>
                <w:rFonts w:ascii="Arial" w:cs="Arial" w:eastAsia="Arial" w:hAnsi="Arial"/>
                <w:sz w:val="16"/>
                <w:szCs w:val="16"/>
                <w:color w:val="auto"/>
              </w:rPr>
              <w:t>Separability</w:t>
            </w:r>
          </w:p>
        </w:tc>
        <w:tc>
          <w:tcPr>
            <w:tcW w:w="500" w:type="dxa"/>
            <w:vAlign w:val="bottom"/>
          </w:tcPr>
          <w:p>
            <w:pPr>
              <w:jc w:val="right"/>
              <w:spacing w:after="0"/>
              <w:rPr>
                <w:sz w:val="20"/>
                <w:szCs w:val="20"/>
                <w:color w:val="auto"/>
              </w:rPr>
            </w:pPr>
            <w:r>
              <w:rPr>
                <w:rFonts w:ascii="Arial" w:cs="Arial" w:eastAsia="Arial" w:hAnsi="Arial"/>
                <w:sz w:val="16"/>
                <w:szCs w:val="16"/>
                <w:color w:val="auto"/>
              </w:rPr>
              <w:t>47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3"/>
              </w:rPr>
              <w:t>Section 13.12</w:t>
            </w:r>
          </w:p>
        </w:tc>
        <w:tc>
          <w:tcPr>
            <w:tcW w:w="706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Compliance Certificates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280"/>
              <w:spacing w:after="0"/>
              <w:rPr>
                <w:sz w:val="20"/>
                <w:szCs w:val="20"/>
                <w:color w:val="auto"/>
              </w:rPr>
            </w:pPr>
            <w:r>
              <w:rPr>
                <w:rFonts w:ascii="Arial" w:cs="Arial" w:eastAsia="Arial" w:hAnsi="Arial"/>
                <w:sz w:val="16"/>
                <w:szCs w:val="16"/>
                <w:color w:val="auto"/>
                <w:w w:val="93"/>
              </w:rPr>
              <w:t>Section 13.13</w:t>
            </w:r>
          </w:p>
        </w:tc>
        <w:tc>
          <w:tcPr>
            <w:tcW w:w="7060" w:type="dxa"/>
            <w:vAlign w:val="bottom"/>
          </w:tcPr>
          <w:p>
            <w:pPr>
              <w:ind w:left="80"/>
              <w:spacing w:after="0"/>
              <w:rPr>
                <w:sz w:val="20"/>
                <w:szCs w:val="20"/>
                <w:color w:val="auto"/>
              </w:rPr>
            </w:pPr>
            <w:r>
              <w:rPr>
                <w:rFonts w:ascii="Arial" w:cs="Arial" w:eastAsia="Arial" w:hAnsi="Arial"/>
                <w:sz w:val="16"/>
                <w:szCs w:val="16"/>
                <w:color w:val="auto"/>
              </w:rPr>
              <w:t>Patriot Act</w:t>
            </w:r>
          </w:p>
        </w:tc>
        <w:tc>
          <w:tcPr>
            <w:tcW w:w="500" w:type="dxa"/>
            <w:vAlign w:val="bottom"/>
          </w:tcPr>
          <w:p>
            <w:pPr>
              <w:jc w:val="right"/>
              <w:spacing w:after="0"/>
              <w:rPr>
                <w:sz w:val="20"/>
                <w:szCs w:val="20"/>
                <w:color w:val="auto"/>
              </w:rPr>
            </w:pPr>
            <w:r>
              <w:rPr>
                <w:rFonts w:ascii="Arial" w:cs="Arial" w:eastAsia="Arial" w:hAnsi="Arial"/>
                <w:sz w:val="16"/>
                <w:szCs w:val="16"/>
                <w:color w:val="auto"/>
              </w:rPr>
              <w:t>47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3"/>
              </w:rPr>
              <w:t>Section 13.14</w:t>
            </w:r>
          </w:p>
        </w:tc>
        <w:tc>
          <w:tcPr>
            <w:tcW w:w="7060" w:type="dxa"/>
            <w:vAlign w:val="bottom"/>
            <w:shd w:val="clear" w:color="auto" w:fill="CCEEFF"/>
          </w:tcPr>
          <w:p>
            <w:pPr>
              <w:ind w:left="80"/>
              <w:spacing w:after="0"/>
              <w:rPr>
                <w:sz w:val="20"/>
                <w:szCs w:val="20"/>
                <w:color w:val="auto"/>
              </w:rPr>
            </w:pPr>
            <w:r>
              <w:rPr>
                <w:rFonts w:ascii="Arial" w:cs="Arial" w:eastAsia="Arial" w:hAnsi="Arial"/>
                <w:sz w:val="16"/>
                <w:szCs w:val="16"/>
                <w:color w:val="auto"/>
              </w:rPr>
              <w:t>Force Majeure</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220" w:type="dxa"/>
            <w:vAlign w:val="bottom"/>
          </w:tcPr>
          <w:p>
            <w:pPr>
              <w:ind w:left="280"/>
              <w:spacing w:after="0"/>
              <w:rPr>
                <w:sz w:val="20"/>
                <w:szCs w:val="20"/>
                <w:color w:val="auto"/>
              </w:rPr>
            </w:pPr>
            <w:r>
              <w:rPr>
                <w:rFonts w:ascii="Arial" w:cs="Arial" w:eastAsia="Arial" w:hAnsi="Arial"/>
                <w:sz w:val="16"/>
                <w:szCs w:val="16"/>
                <w:color w:val="auto"/>
                <w:w w:val="93"/>
              </w:rPr>
              <w:t>Section 13.12</w:t>
            </w:r>
          </w:p>
        </w:tc>
        <w:tc>
          <w:tcPr>
            <w:tcW w:w="7060" w:type="dxa"/>
            <w:vAlign w:val="bottom"/>
          </w:tcPr>
          <w:p>
            <w:pPr>
              <w:ind w:left="80"/>
              <w:spacing w:after="0"/>
              <w:rPr>
                <w:sz w:val="20"/>
                <w:szCs w:val="20"/>
                <w:color w:val="auto"/>
              </w:rPr>
            </w:pPr>
            <w:r>
              <w:rPr>
                <w:rFonts w:ascii="Arial" w:cs="Arial" w:eastAsia="Arial" w:hAnsi="Arial"/>
                <w:sz w:val="16"/>
                <w:szCs w:val="16"/>
                <w:color w:val="auto"/>
              </w:rPr>
              <w:t>Table of Contents; Headings</w:t>
            </w:r>
          </w:p>
        </w:tc>
        <w:tc>
          <w:tcPr>
            <w:tcW w:w="500" w:type="dxa"/>
            <w:vAlign w:val="bottom"/>
          </w:tcPr>
          <w:p>
            <w:pPr>
              <w:jc w:val="right"/>
              <w:spacing w:after="0"/>
              <w:rPr>
                <w:sz w:val="20"/>
                <w:szCs w:val="20"/>
                <w:color w:val="auto"/>
              </w:rPr>
            </w:pPr>
            <w:r>
              <w:rPr>
                <w:rFonts w:ascii="Arial" w:cs="Arial" w:eastAsia="Arial" w:hAnsi="Arial"/>
                <w:sz w:val="16"/>
                <w:szCs w:val="16"/>
                <w:color w:val="auto"/>
              </w:rPr>
              <w:t>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0139"/>
          </w:cols>
          <w:pgMar w:left="320" w:top="324" w:right="1440" w:bottom="1440" w:gutter="0" w:footer="0" w:header="0"/>
        </w:sectPr>
      </w:pPr>
    </w:p>
    <w:bookmarkStart w:id="37" w:name="page38"/>
    <w:bookmarkEnd w:id="37"/>
    <w:p>
      <w:pPr>
        <w:jc w:val="center"/>
        <w:spacing w:after="0"/>
        <w:rPr>
          <w:sz w:val="20"/>
          <w:szCs w:val="20"/>
          <w:color w:val="auto"/>
        </w:rPr>
      </w:pPr>
      <w:r>
        <w:rPr>
          <w:rFonts w:ascii="Arial" w:cs="Arial" w:eastAsia="Arial" w:hAnsi="Arial"/>
          <w:sz w:val="16"/>
          <w:szCs w:val="16"/>
          <w:b w:val="1"/>
          <w:bCs w:val="1"/>
          <w:color w:val="auto"/>
        </w:rPr>
        <w:t>INDENTURE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5"/>
          <w:szCs w:val="15"/>
          <w:b w:val="1"/>
          <w:bCs w:val="1"/>
          <w:color w:val="auto"/>
        </w:rPr>
        <w:t>INDENTURE</w:t>
      </w:r>
      <w:r>
        <w:rPr>
          <w:rFonts w:ascii="Arial" w:cs="Arial" w:eastAsia="Arial" w:hAnsi="Arial"/>
          <w:sz w:val="15"/>
          <w:szCs w:val="15"/>
          <w:color w:val="auto"/>
        </w:rPr>
        <w:t>, dated as of [●], 20__, among</w:t>
      </w:r>
      <w:r>
        <w:rPr>
          <w:rFonts w:ascii="Arial" w:cs="Arial" w:eastAsia="Arial" w:hAnsi="Arial"/>
          <w:sz w:val="15"/>
          <w:szCs w:val="15"/>
          <w:b w:val="1"/>
          <w:bCs w:val="1"/>
          <w:color w:val="auto"/>
        </w:rPr>
        <w:t xml:space="preserve"> Destination XL Group, Inc.</w:t>
      </w:r>
      <w:r>
        <w:rPr>
          <w:rFonts w:ascii="Arial" w:cs="Arial" w:eastAsia="Arial" w:hAnsi="Arial"/>
          <w:sz w:val="15"/>
          <w:szCs w:val="15"/>
          <w:color w:val="auto"/>
        </w:rPr>
        <w:t>, a Delaware corporation (the “Company”), and [</w:t>
      </w:r>
      <w:r>
        <w:rPr>
          <w:rFonts w:ascii="Arial" w:cs="Arial" w:eastAsia="Arial" w:hAnsi="Arial"/>
          <w:sz w:val="15"/>
          <w:szCs w:val="15"/>
          <w:b w:val="1"/>
          <w:bCs w:val="1"/>
          <w:color w:val="auto"/>
        </w:rPr>
        <w:t>TRUSTEE</w:t>
      </w:r>
      <w:r>
        <w:rPr>
          <w:rFonts w:ascii="Arial" w:cs="Arial" w:eastAsia="Arial" w:hAnsi="Arial"/>
          <w:sz w:val="15"/>
          <w:szCs w:val="15"/>
          <w:color w:val="auto"/>
        </w:rPr>
        <w:t>], as trustee (the “Trustee”):</w:t>
      </w:r>
    </w:p>
    <w:p>
      <w:pPr>
        <w:spacing w:after="0" w:line="1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for its lawful corporate purposes, the Company has duly authorized the execution and delivery of this Indenture to provide for the issuance of debt</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78" w:lineRule="exact"/>
        <w:rPr>
          <w:sz w:val="20"/>
          <w:szCs w:val="20"/>
          <w:color w:val="auto"/>
        </w:rPr>
      </w:pPr>
    </w:p>
    <w:p>
      <w:pPr>
        <w:ind w:right="40" w:firstLine="647"/>
        <w:spacing w:after="0" w:line="27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to provide the terms and conditions upon which the Securities are to be authenticated, issued and delivered, the Company has duly authorized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execution of this Indenture; and</w:t>
      </w:r>
    </w:p>
    <w:p>
      <w:pPr>
        <w:spacing w:after="0" w:line="7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all things necessary to make this Indenture a valid agreement of the Company, in accordance with its terms, have been done.</w:t>
      </w:r>
    </w:p>
    <w:p>
      <w:pPr>
        <w:spacing w:after="0" w:line="170"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the purchase of the Securities by the holders thereof, it is mutually covenanted and agreed as follows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equal and ratable benefit of the holders of Securities: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DEFINITIONS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1.01 Definitions of Terms</w:t>
      </w:r>
      <w:r>
        <w:rPr>
          <w:rFonts w:ascii="Arial" w:cs="Arial" w:eastAsia="Arial" w:hAnsi="Arial"/>
          <w:sz w:val="16"/>
          <w:szCs w:val="16"/>
          <w:color w:val="auto"/>
        </w:rPr>
        <w:t>.</w:t>
      </w:r>
    </w:p>
    <w:p>
      <w:pPr>
        <w:spacing w:after="0" w:line="174"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3"/>
          <w:szCs w:val="13"/>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Authenticating Agent</w:t>
      </w:r>
      <w:r>
        <w:rPr>
          <w:rFonts w:ascii="Arial" w:cs="Arial" w:eastAsia="Arial" w:hAnsi="Arial"/>
          <w:sz w:val="13"/>
          <w:szCs w:val="13"/>
          <w:color w:val="auto"/>
        </w:rPr>
        <w:t>” means the Trustee or an authenticating agent with respect to all or any of the series of Securities appointed by the Trustee pursuant to Section</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2.10.</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Bankruptcy Law</w:t>
      </w:r>
      <w:r>
        <w:rPr>
          <w:rFonts w:ascii="Arial" w:cs="Arial" w:eastAsia="Arial" w:hAnsi="Arial"/>
          <w:sz w:val="16"/>
          <w:szCs w:val="16"/>
          <w:color w:val="auto"/>
        </w:rPr>
        <w:t>” means Title 11, U.S. Code, or any similar federal or state law for the relief of debtors.</w:t>
      </w:r>
    </w:p>
    <w:p>
      <w:pPr>
        <w:spacing w:after="0" w:line="170" w:lineRule="exact"/>
        <w:rPr>
          <w:sz w:val="20"/>
          <w:szCs w:val="20"/>
          <w:color w:val="auto"/>
        </w:rPr>
      </w:pPr>
    </w:p>
    <w:p>
      <w:pPr>
        <w:jc w:val="center"/>
        <w:ind w:right="180"/>
        <w:spacing w:after="0" w:line="42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Board of Directors</w:t>
      </w:r>
      <w:r>
        <w:rPr>
          <w:rFonts w:ascii="Arial" w:cs="Arial" w:eastAsia="Arial" w:hAnsi="Arial"/>
          <w:sz w:val="16"/>
          <w:szCs w:val="16"/>
          <w:color w:val="auto"/>
        </w:rPr>
        <w:t>” means the Board of Directors (or the functional equivalent thereof) of the Company or any duly authorized committee of such Board.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347980</wp:posOffset>
            </wp:positionV>
            <wp:extent cx="716470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-86360</wp:posOffset>
            </wp:positionV>
            <wp:extent cx="561149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38" w:name="page39"/>
    <w:bookmarkEnd w:id="38"/>
    <w:p>
      <w:pPr>
        <w:jc w:val="both"/>
        <w:ind w:right="20" w:firstLine="648"/>
        <w:spacing w:after="0" w:line="26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Board Resolution</w:t>
      </w:r>
      <w:r>
        <w:rPr>
          <w:rFonts w:ascii="Arial" w:cs="Arial" w:eastAsia="Arial" w:hAnsi="Arial"/>
          <w:sz w:val="16"/>
          <w:szCs w:val="16"/>
          <w:color w:val="auto"/>
        </w:rPr>
        <w:t>” means a copy of a resolution certified by the Secretary or an Assistant Secretary of the Company to have been duly adopted by the Board of Directors (or duly authorized committee thereof) and to be in full force and effect on the date of such certification.</w:t>
      </w:r>
    </w:p>
    <w:p>
      <w:pPr>
        <w:spacing w:after="0" w:line="75"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Business Day</w:t>
      </w:r>
      <w:r>
        <w:rPr>
          <w:rFonts w:ascii="Arial" w:cs="Arial" w:eastAsia="Arial" w:hAnsi="Arial"/>
          <w:sz w:val="15"/>
          <w:szCs w:val="15"/>
          <w:color w:val="auto"/>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87" w:lineRule="exact"/>
        <w:rPr>
          <w:sz w:val="20"/>
          <w:szCs w:val="20"/>
          <w:color w:val="auto"/>
        </w:rPr>
      </w:pPr>
    </w:p>
    <w:p>
      <w:pPr>
        <w:jc w:val="both"/>
        <w:ind w:right="20" w:firstLine="648"/>
        <w:spacing w:after="0" w:line="385"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Commission</w:t>
      </w:r>
      <w:r>
        <w:rPr>
          <w:rFonts w:ascii="Arial" w:cs="Arial" w:eastAsia="Arial" w:hAnsi="Arial"/>
          <w:sz w:val="13"/>
          <w:szCs w:val="13"/>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36" w:lineRule="exact"/>
        <w:rPr>
          <w:sz w:val="20"/>
          <w:szCs w:val="20"/>
          <w:color w:val="auto"/>
        </w:rPr>
      </w:pPr>
    </w:p>
    <w:p>
      <w:pPr>
        <w:ind w:right="40" w:firstLine="647"/>
        <w:spacing w:after="0" w:line="27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xml:space="preserve">” means </w:t>
      </w:r>
      <w:r>
        <w:rPr>
          <w:rFonts w:ascii="Arial" w:cs="Arial" w:eastAsia="Arial" w:hAnsi="Arial"/>
          <w:sz w:val="16"/>
          <w:szCs w:val="16"/>
          <w:b w:val="1"/>
          <w:bCs w:val="1"/>
          <w:color w:val="auto"/>
        </w:rPr>
        <w:t>Destination XL Group, Inc.</w:t>
      </w:r>
      <w:r>
        <w:rPr>
          <w:rFonts w:ascii="Arial" w:cs="Arial" w:eastAsia="Arial" w:hAnsi="Arial"/>
          <w:sz w:val="16"/>
          <w:szCs w:val="16"/>
          <w:color w:val="auto"/>
        </w:rPr>
        <w:t xml:space="preserve">, a corporation duly organized and existing under the laws of the State of </w:t>
      </w:r>
      <w:r>
        <w:rPr>
          <w:rFonts w:ascii="Arial" w:cs="Arial" w:eastAsia="Arial" w:hAnsi="Arial"/>
          <w:sz w:val="16"/>
          <w:szCs w:val="16"/>
          <w:b w:val="1"/>
          <w:bCs w:val="1"/>
          <w:color w:val="auto"/>
        </w:rPr>
        <w:t>Delaware</w:t>
      </w:r>
      <w:r>
        <w:rPr>
          <w:rFonts w:ascii="Arial" w:cs="Arial" w:eastAsia="Arial" w:hAnsi="Arial"/>
          <w:sz w:val="16"/>
          <w:szCs w:val="16"/>
          <w:color w:val="auto"/>
        </w:rPr>
        <w:t>, and, subject to the provisions of Article Ten, shall also include its successors and assigns.</w:t>
      </w:r>
    </w:p>
    <w:p>
      <w:pPr>
        <w:spacing w:after="0" w:line="82" w:lineRule="exact"/>
        <w:rPr>
          <w:sz w:val="20"/>
          <w:szCs w:val="20"/>
          <w:color w:val="auto"/>
        </w:rPr>
      </w:pPr>
    </w:p>
    <w:p>
      <w:pPr>
        <w:ind w:right="40" w:firstLine="647"/>
        <w:spacing w:after="0" w:line="26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Trust Office</w:t>
      </w:r>
      <w:r>
        <w:rPr>
          <w:rFonts w:ascii="Arial" w:cs="Arial" w:eastAsia="Arial" w:hAnsi="Arial"/>
          <w:sz w:val="16"/>
          <w:szCs w:val="16"/>
          <w:color w:val="auto"/>
        </w:rPr>
        <w:t>” means the office of the Trustee at which, at any particular time, its corporate trust business shall be principally administered, which office at the date hereof is located at ____________________________________.</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Custodian</w:t>
      </w:r>
      <w:r>
        <w:rPr>
          <w:rFonts w:ascii="Arial" w:cs="Arial" w:eastAsia="Arial" w:hAnsi="Arial"/>
          <w:sz w:val="16"/>
          <w:szCs w:val="16"/>
          <w:color w:val="auto"/>
        </w:rPr>
        <w:t>” means any receiver, trustee, assignee, liquidator or similar official under any Bankruptcy Law.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Defaulted Interest</w:t>
      </w:r>
      <w:r>
        <w:rPr>
          <w:rFonts w:ascii="Arial" w:cs="Arial" w:eastAsia="Arial" w:hAnsi="Arial"/>
          <w:sz w:val="16"/>
          <w:szCs w:val="16"/>
          <w:color w:val="auto"/>
        </w:rPr>
        <w:t>” has the meaning set forth in Section 2.03.</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Depositary</w:t>
      </w:r>
      <w:r>
        <w:rPr>
          <w:rFonts w:ascii="Arial" w:cs="Arial" w:eastAsia="Arial" w:hAnsi="Arial"/>
          <w:sz w:val="16"/>
          <w:szCs w:val="16"/>
          <w:color w:val="auto"/>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spacing w:after="0" w:line="9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Event of Default</w:t>
      </w:r>
      <w:r>
        <w:rPr>
          <w:rFonts w:ascii="Arial" w:cs="Arial" w:eastAsia="Arial" w:hAnsi="Arial"/>
          <w:sz w:val="16"/>
          <w:szCs w:val="16"/>
          <w:color w:val="auto"/>
        </w:rPr>
        <w:t>” means, with respect to Securities of a particular series, any event specified in Section 6.01, continued for the period of time, if any, therein designated.</w:t>
      </w:r>
    </w:p>
    <w:p>
      <w:pPr>
        <w:spacing w:after="0" w:line="87" w:lineRule="exact"/>
        <w:rPr>
          <w:sz w:val="20"/>
          <w:szCs w:val="20"/>
          <w:color w:val="auto"/>
        </w:rPr>
      </w:pPr>
    </w:p>
    <w:p>
      <w:pPr>
        <w:ind w:left="6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Exchange Act</w:t>
      </w:r>
      <w:r>
        <w:rPr>
          <w:rFonts w:ascii="Arial" w:cs="Arial" w:eastAsia="Arial" w:hAnsi="Arial"/>
          <w:sz w:val="13"/>
          <w:szCs w:val="13"/>
          <w:color w:val="auto"/>
        </w:rPr>
        <w:t>” means the United States Securities and Exchange Act of 1934, as amended, and the rules and regulations promulgated by the Commission thereunder.</w:t>
      </w:r>
    </w:p>
    <w:p>
      <w:pPr>
        <w:spacing w:after="0" w:line="158" w:lineRule="exact"/>
        <w:rPr>
          <w:sz w:val="20"/>
          <w:szCs w:val="20"/>
          <w:color w:val="auto"/>
        </w:rPr>
      </w:pPr>
    </w:p>
    <w:p>
      <w:pPr>
        <w:jc w:val="both"/>
        <w:ind w:firstLine="648"/>
        <w:spacing w:after="0" w:line="330" w:lineRule="auto"/>
        <w:rPr>
          <w:sz w:val="20"/>
          <w:szCs w:val="20"/>
          <w:color w:val="auto"/>
        </w:rPr>
      </w:pPr>
      <w:r>
        <w:rPr>
          <w:rFonts w:ascii="Arial" w:cs="Arial" w:eastAsia="Arial" w:hAnsi="Arial"/>
          <w:sz w:val="13"/>
          <w:szCs w:val="13"/>
          <w:color w:val="auto"/>
        </w:rPr>
        <w:t>The term “</w:t>
      </w:r>
      <w:r>
        <w:rPr>
          <w:rFonts w:ascii="Arial" w:cs="Arial" w:eastAsia="Arial" w:hAnsi="Arial"/>
          <w:sz w:val="13"/>
          <w:szCs w:val="13"/>
          <w:b w:val="1"/>
          <w:bCs w:val="1"/>
          <w:i w:val="1"/>
          <w:iCs w:val="1"/>
          <w:color w:val="auto"/>
        </w:rPr>
        <w:t>given</w:t>
      </w:r>
      <w:r>
        <w:rPr>
          <w:rFonts w:ascii="Arial" w:cs="Arial" w:eastAsia="Arial" w:hAnsi="Arial"/>
          <w:sz w:val="13"/>
          <w:szCs w:val="13"/>
          <w:color w:val="auto"/>
        </w:rPr>
        <w:t>”, “</w:t>
      </w:r>
      <w:r>
        <w:rPr>
          <w:rFonts w:ascii="Arial" w:cs="Arial" w:eastAsia="Arial" w:hAnsi="Arial"/>
          <w:sz w:val="13"/>
          <w:szCs w:val="13"/>
          <w:b w:val="1"/>
          <w:bCs w:val="1"/>
          <w:i w:val="1"/>
          <w:iCs w:val="1"/>
          <w:color w:val="auto"/>
        </w:rPr>
        <w:t>mailed</w:t>
      </w:r>
      <w:r>
        <w:rPr>
          <w:rFonts w:ascii="Arial" w:cs="Arial" w:eastAsia="Arial" w:hAnsi="Arial"/>
          <w:sz w:val="13"/>
          <w:szCs w:val="13"/>
          <w:color w:val="auto"/>
        </w:rPr>
        <w:t>”, “</w:t>
      </w:r>
      <w:r>
        <w:rPr>
          <w:rFonts w:ascii="Arial" w:cs="Arial" w:eastAsia="Arial" w:hAnsi="Arial"/>
          <w:sz w:val="13"/>
          <w:szCs w:val="13"/>
          <w:b w:val="1"/>
          <w:bCs w:val="1"/>
          <w:i w:val="1"/>
          <w:iCs w:val="1"/>
          <w:color w:val="auto"/>
        </w:rPr>
        <w:t>notify</w:t>
      </w:r>
      <w:r>
        <w:rPr>
          <w:rFonts w:ascii="Arial" w:cs="Arial" w:eastAsia="Arial" w:hAnsi="Arial"/>
          <w:sz w:val="13"/>
          <w:szCs w:val="13"/>
          <w:color w:val="auto"/>
        </w:rPr>
        <w:t>” or “</w:t>
      </w:r>
      <w:r>
        <w:rPr>
          <w:rFonts w:ascii="Arial" w:cs="Arial" w:eastAsia="Arial" w:hAnsi="Arial"/>
          <w:sz w:val="13"/>
          <w:szCs w:val="13"/>
          <w:b w:val="1"/>
          <w:bCs w:val="1"/>
          <w:i w:val="1"/>
          <w:iCs w:val="1"/>
          <w:color w:val="auto"/>
        </w:rPr>
        <w:t>sent</w:t>
      </w:r>
      <w:r>
        <w:rPr>
          <w:rFonts w:ascii="Arial" w:cs="Arial" w:eastAsia="Arial" w:hAnsi="Arial"/>
          <w:sz w:val="13"/>
          <w:szCs w:val="13"/>
          <w:color w:val="auto"/>
        </w:rPr>
        <w:t>” 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Security) or (y) mailed to such Securityholder by first class mail, postage prepaid, at its address as it appears on the Security Register (in the case of a definitive Security). Notice so “given” shall be deemed to include any notice to be “mailed” or “delivered,” as applicable, under this Indenture.</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39" w:name="page40"/>
    <w:bookmarkEnd w:id="39"/>
    <w:p>
      <w:pPr>
        <w:jc w:val="both"/>
        <w:ind w:right="20" w:firstLine="648"/>
        <w:spacing w:after="0" w:line="385"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Global Security</w:t>
      </w:r>
      <w:r>
        <w:rPr>
          <w:rFonts w:ascii="Arial" w:cs="Arial" w:eastAsia="Arial" w:hAnsi="Arial"/>
          <w:sz w:val="13"/>
          <w:szCs w:val="13"/>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40"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Governmental Obligations</w:t>
      </w:r>
      <w:r>
        <w:rPr>
          <w:rFonts w:ascii="Arial" w:cs="Arial" w:eastAsia="Arial" w:hAnsi="Arial"/>
          <w:sz w:val="15"/>
          <w:szCs w:val="15"/>
          <w:color w:val="auto"/>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8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herein</w:t>
      </w:r>
      <w:r>
        <w:rPr>
          <w:rFonts w:ascii="Arial" w:cs="Arial" w:eastAsia="Arial" w:hAnsi="Arial"/>
          <w:sz w:val="16"/>
          <w:szCs w:val="16"/>
          <w:color w:val="auto"/>
        </w:rPr>
        <w:t>”, “</w:t>
      </w:r>
      <w:r>
        <w:rPr>
          <w:rFonts w:ascii="Arial" w:cs="Arial" w:eastAsia="Arial" w:hAnsi="Arial"/>
          <w:sz w:val="16"/>
          <w:szCs w:val="16"/>
          <w:b w:val="1"/>
          <w:bCs w:val="1"/>
          <w:i w:val="1"/>
          <w:iCs w:val="1"/>
          <w:color w:val="auto"/>
        </w:rPr>
        <w:t>hereof</w:t>
      </w:r>
      <w:r>
        <w:rPr>
          <w:rFonts w:ascii="Arial" w:cs="Arial" w:eastAsia="Arial" w:hAnsi="Arial"/>
          <w:sz w:val="16"/>
          <w:szCs w:val="16"/>
          <w:b w:val="1"/>
          <w:bCs w:val="1"/>
          <w:color w:val="auto"/>
        </w:rPr>
        <w:t>”</w:t>
      </w:r>
      <w:r>
        <w:rPr>
          <w:rFonts w:ascii="Arial" w:cs="Arial" w:eastAsia="Arial" w:hAnsi="Arial"/>
          <w:sz w:val="16"/>
          <w:szCs w:val="16"/>
          <w:color w:val="auto"/>
        </w:rPr>
        <w:t xml:space="preserve"> and “</w:t>
      </w:r>
      <w:r>
        <w:rPr>
          <w:rFonts w:ascii="Arial" w:cs="Arial" w:eastAsia="Arial" w:hAnsi="Arial"/>
          <w:sz w:val="16"/>
          <w:szCs w:val="16"/>
          <w:b w:val="1"/>
          <w:bCs w:val="1"/>
          <w:i w:val="1"/>
          <w:iCs w:val="1"/>
          <w:color w:val="auto"/>
        </w:rPr>
        <w:t>hereunder</w:t>
      </w:r>
      <w:r>
        <w:rPr>
          <w:rFonts w:ascii="Arial" w:cs="Arial" w:eastAsia="Arial" w:hAnsi="Arial"/>
          <w:sz w:val="16"/>
          <w:szCs w:val="16"/>
          <w:color w:val="auto"/>
        </w:rPr>
        <w:t>”, and other words of similar import, refer to this Indenture as a whole and not to any particular Article, Section or other subdivision.</w:t>
      </w:r>
    </w:p>
    <w:p>
      <w:pPr>
        <w:spacing w:after="0" w:line="82"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Indenture</w:t>
      </w:r>
      <w:r>
        <w:rPr>
          <w:rFonts w:ascii="Arial" w:cs="Arial" w:eastAsia="Arial" w:hAnsi="Arial"/>
          <w:sz w:val="15"/>
          <w:szCs w:val="15"/>
          <w:color w:val="auto"/>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spacing w:after="0" w:line="87"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Interest Payment Date</w:t>
      </w:r>
      <w:r>
        <w:rPr>
          <w:rFonts w:ascii="Arial" w:cs="Arial" w:eastAsia="Arial" w:hAnsi="Arial"/>
          <w:sz w:val="16"/>
          <w:szCs w:val="16"/>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1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Officer</w:t>
      </w:r>
      <w:r>
        <w:rPr>
          <w:rFonts w:ascii="Arial" w:cs="Arial" w:eastAsia="Arial" w:hAnsi="Arial"/>
          <w:sz w:val="16"/>
          <w:szCs w:val="16"/>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1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Officer’s Certificate</w:t>
      </w:r>
      <w:r>
        <w:rPr>
          <w:rFonts w:ascii="Arial" w:cs="Arial" w:eastAsia="Arial" w:hAnsi="Arial"/>
          <w:sz w:val="16"/>
          <w:szCs w:val="16"/>
          <w:color w:val="auto"/>
        </w:rPr>
        <w:t>” means a certificate signed by any Officer. Each such certificate shall include the statements provided for in Section 13.07, if and to the extent required by the provisions thereof.</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40" w:name="page41"/>
    <w:bookmarkEnd w:id="40"/>
    <w:p>
      <w:pPr>
        <w:jc w:val="both"/>
        <w:ind w:firstLine="648"/>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Opinion of Counsel</w:t>
      </w:r>
      <w:r>
        <w:rPr>
          <w:rFonts w:ascii="Arial" w:cs="Arial" w:eastAsia="Arial" w:hAnsi="Arial"/>
          <w:sz w:val="16"/>
          <w:szCs w:val="16"/>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118"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Outstanding</w:t>
      </w:r>
      <w:r>
        <w:rPr>
          <w:rFonts w:ascii="Arial" w:cs="Arial" w:eastAsia="Arial" w:hAnsi="Arial"/>
          <w:sz w:val="13"/>
          <w:szCs w:val="13"/>
          <w:color w:val="auto"/>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spacing w:after="0" w:line="5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75"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Predecessor Security</w:t>
      </w:r>
      <w:r>
        <w:rPr>
          <w:rFonts w:ascii="Arial" w:cs="Arial" w:eastAsia="Arial" w:hAnsi="Arial"/>
          <w:sz w:val="16"/>
          <w:szCs w:val="16"/>
          <w:color w:val="auto"/>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1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Responsible Officer</w:t>
      </w:r>
      <w:r>
        <w:rPr>
          <w:rFonts w:ascii="Arial" w:cs="Arial" w:eastAsia="Arial" w:hAnsi="Arial"/>
          <w:sz w:val="16"/>
          <w:szCs w:val="16"/>
          <w:color w:val="auto"/>
        </w:rPr>
        <w:t>”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spacing w:after="0" w:line="87" w:lineRule="exact"/>
        <w:rPr>
          <w:sz w:val="20"/>
          <w:szCs w:val="20"/>
          <w:color w:val="auto"/>
        </w:rPr>
      </w:pPr>
    </w:p>
    <w:p>
      <w:pPr>
        <w:ind w:left="6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Securities</w:t>
      </w:r>
      <w:r>
        <w:rPr>
          <w:rFonts w:ascii="Arial" w:cs="Arial" w:eastAsia="Arial" w:hAnsi="Arial"/>
          <w:sz w:val="13"/>
          <w:szCs w:val="13"/>
          <w:color w:val="auto"/>
        </w:rPr>
        <w:t>” has the meaning stated in the first recital of this Indenture and more particularly means any Securities authenticated and delivered under this Indenture.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Securities Act of 1933, as amended.</w:t>
      </w:r>
    </w:p>
    <w:p>
      <w:pPr>
        <w:spacing w:after="0" w:line="170"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Securityholder</w:t>
      </w:r>
      <w:r>
        <w:rPr>
          <w:rFonts w:ascii="Arial" w:cs="Arial" w:eastAsia="Arial" w:hAnsi="Arial"/>
          <w:sz w:val="16"/>
          <w:szCs w:val="16"/>
          <w:color w:val="auto"/>
        </w:rPr>
        <w:t>”, “</w:t>
      </w:r>
      <w:r>
        <w:rPr>
          <w:rFonts w:ascii="Arial" w:cs="Arial" w:eastAsia="Arial" w:hAnsi="Arial"/>
          <w:sz w:val="16"/>
          <w:szCs w:val="16"/>
          <w:b w:val="1"/>
          <w:bCs w:val="1"/>
          <w:i w:val="1"/>
          <w:iCs w:val="1"/>
          <w:color w:val="auto"/>
        </w:rPr>
        <w:t>holder of Securities</w:t>
      </w:r>
      <w:r>
        <w:rPr>
          <w:rFonts w:ascii="Arial" w:cs="Arial" w:eastAsia="Arial" w:hAnsi="Arial"/>
          <w:sz w:val="16"/>
          <w:szCs w:val="16"/>
          <w:color w:val="auto"/>
        </w:rPr>
        <w:t>”, “</w:t>
      </w:r>
      <w:r>
        <w:rPr>
          <w:rFonts w:ascii="Arial" w:cs="Arial" w:eastAsia="Arial" w:hAnsi="Arial"/>
          <w:sz w:val="16"/>
          <w:szCs w:val="16"/>
          <w:b w:val="1"/>
          <w:bCs w:val="1"/>
          <w:i w:val="1"/>
          <w:iCs w:val="1"/>
          <w:color w:val="auto"/>
        </w:rPr>
        <w:t>registered holder</w:t>
      </w:r>
      <w:r>
        <w:rPr>
          <w:rFonts w:ascii="Arial" w:cs="Arial" w:eastAsia="Arial" w:hAnsi="Arial"/>
          <w:sz w:val="16"/>
          <w:szCs w:val="16"/>
          <w:color w:val="auto"/>
        </w:rPr>
        <w:t>”, or other similar term, means the Person or Persons in whose name or names a particular Security is registered on the Security Register kept for that purpose in accordance with the terms of this Indenture.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41" w:name="page42"/>
    <w:bookmarkEnd w:id="41"/>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Security Register</w:t>
      </w:r>
      <w:r>
        <w:rPr>
          <w:rFonts w:ascii="Arial" w:cs="Arial" w:eastAsia="Arial" w:hAnsi="Arial"/>
          <w:sz w:val="16"/>
          <w:szCs w:val="16"/>
          <w:color w:val="auto"/>
        </w:rPr>
        <w:t>” and “</w:t>
      </w:r>
      <w:r>
        <w:rPr>
          <w:rFonts w:ascii="Arial" w:cs="Arial" w:eastAsia="Arial" w:hAnsi="Arial"/>
          <w:sz w:val="16"/>
          <w:szCs w:val="16"/>
          <w:b w:val="1"/>
          <w:bCs w:val="1"/>
          <w:i w:val="1"/>
          <w:iCs w:val="1"/>
          <w:color w:val="auto"/>
        </w:rPr>
        <w:t>Security Registrar</w:t>
      </w:r>
      <w:r>
        <w:rPr>
          <w:rFonts w:ascii="Arial" w:cs="Arial" w:eastAsia="Arial" w:hAnsi="Arial"/>
          <w:sz w:val="16"/>
          <w:szCs w:val="16"/>
          <w:color w:val="auto"/>
        </w:rPr>
        <w:t>” shall have the meanings as set forth in Section 2.05.</w:t>
      </w:r>
    </w:p>
    <w:p>
      <w:pPr>
        <w:spacing w:after="0" w:line="170"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means _________________________, and, subject to the provisions of Article Seven, shall also include its successors and assigns, and,</w:t>
      </w:r>
    </w:p>
    <w:p>
      <w:pPr>
        <w:spacing w:after="0" w:line="29"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Trust Indenture Act</w:t>
      </w:r>
      <w:r>
        <w:rPr>
          <w:rFonts w:ascii="Arial" w:cs="Arial" w:eastAsia="Arial" w:hAnsi="Arial"/>
          <w:sz w:val="16"/>
          <w:szCs w:val="16"/>
          <w:color w:val="auto"/>
        </w:rPr>
        <w:t>” means the Trust Indenture Act of 1939, as amended.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3"/>
          <w:szCs w:val="13"/>
          <w:b w:val="1"/>
          <w:bCs w:val="1"/>
          <w:i w:val="1"/>
          <w:iCs w:val="1"/>
          <w:color w:val="auto"/>
        </w:rPr>
        <w:t xml:space="preserve">“U.S.A. Patriot Act” </w:t>
      </w:r>
      <w:r>
        <w:rPr>
          <w:rFonts w:ascii="Arial" w:cs="Arial" w:eastAsia="Arial" w:hAnsi="Arial"/>
          <w:sz w:val="13"/>
          <w:szCs w:val="13"/>
          <w:color w:val="auto"/>
        </w:rPr>
        <w:t>means the Uniting and Strengthening America by Providing Appropriate Tools Required to Intercept and Obstruct Terrorism Act of 2001, Pub. L.</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107-56, as amended and signed into law October 26, 2001.</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2</w:t>
      </w:r>
    </w:p>
    <w:p>
      <w:pPr>
        <w:spacing w:after="0" w:line="170" w:lineRule="exact"/>
        <w:rPr>
          <w:sz w:val="20"/>
          <w:szCs w:val="20"/>
          <w:color w:val="auto"/>
        </w:rPr>
      </w:pPr>
    </w:p>
    <w:p>
      <w:pPr>
        <w:ind w:left="1520"/>
        <w:spacing w:after="0"/>
        <w:rPr>
          <w:sz w:val="20"/>
          <w:szCs w:val="20"/>
          <w:color w:val="auto"/>
        </w:rPr>
      </w:pPr>
      <w:r>
        <w:rPr>
          <w:rFonts w:ascii="Arial" w:cs="Arial" w:eastAsia="Arial" w:hAnsi="Arial"/>
          <w:sz w:val="16"/>
          <w:szCs w:val="16"/>
          <w:b w:val="1"/>
          <w:bCs w:val="1"/>
          <w:color w:val="auto"/>
        </w:rPr>
        <w:t>ISSUE, DESCRIPTION, TERMS, EXECUTION, REGISTRATION AND EXCHANGE OF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2.01 Designation and Terms of Securities</w:t>
      </w:r>
      <w:r>
        <w:rPr>
          <w:rFonts w:ascii="Arial" w:cs="Arial" w:eastAsia="Arial" w:hAnsi="Arial"/>
          <w:sz w:val="16"/>
          <w:szCs w:val="16"/>
          <w:color w:val="auto"/>
        </w:rPr>
        <w:t>.</w:t>
      </w:r>
    </w:p>
    <w:p>
      <w:pPr>
        <w:spacing w:after="0" w:line="174" w:lineRule="exact"/>
        <w:rPr>
          <w:sz w:val="20"/>
          <w:szCs w:val="20"/>
          <w:color w:val="auto"/>
        </w:rPr>
      </w:pPr>
    </w:p>
    <w:p>
      <w:pPr>
        <w:jc w:val="both"/>
        <w:ind w:firstLine="1301"/>
        <w:spacing w:after="0" w:line="253" w:lineRule="auto"/>
        <w:tabs>
          <w:tab w:leader="none" w:pos="2702" w:val="left"/>
        </w:tabs>
        <w:numPr>
          <w:ilvl w:val="0"/>
          <w:numId w:val="31"/>
        </w:numPr>
        <w:rPr>
          <w:rFonts w:ascii="Arial" w:cs="Arial" w:eastAsia="Arial" w:hAnsi="Arial"/>
          <w:sz w:val="16"/>
          <w:szCs w:val="16"/>
          <w:b w:val="1"/>
          <w:bCs w:val="1"/>
          <w:color w:val="auto"/>
        </w:rPr>
      </w:pPr>
      <w:r>
        <w:rPr>
          <w:rFonts w:ascii="Arial" w:cs="Arial" w:eastAsia="Arial" w:hAnsi="Arial"/>
          <w:sz w:val="16"/>
          <w:szCs w:val="16"/>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86" w:lineRule="exact"/>
        <w:rPr>
          <w:rFonts w:ascii="Arial" w:cs="Arial" w:eastAsia="Arial" w:hAnsi="Arial"/>
          <w:sz w:val="16"/>
          <w:szCs w:val="16"/>
          <w:b w:val="1"/>
          <w:bCs w:val="1"/>
          <w:color w:val="auto"/>
        </w:rPr>
      </w:pPr>
    </w:p>
    <w:p>
      <w:pPr>
        <w:ind w:left="2200" w:hanging="256"/>
        <w:spacing w:after="0"/>
        <w:tabs>
          <w:tab w:leader="none" w:pos="2200" w:val="left"/>
        </w:tabs>
        <w:numPr>
          <w:ilvl w:val="1"/>
          <w:numId w:val="31"/>
        </w:numPr>
        <w:rPr>
          <w:rFonts w:ascii="Arial" w:cs="Arial" w:eastAsia="Arial" w:hAnsi="Arial"/>
          <w:sz w:val="16"/>
          <w:szCs w:val="16"/>
          <w:b w:val="1"/>
          <w:bCs w:val="1"/>
          <w:color w:val="auto"/>
        </w:rPr>
      </w:pPr>
      <w:r>
        <w:rPr>
          <w:rFonts w:ascii="Arial" w:cs="Arial" w:eastAsia="Arial" w:hAnsi="Arial"/>
          <w:sz w:val="16"/>
          <w:szCs w:val="16"/>
          <w:color w:val="auto"/>
        </w:rPr>
        <w:t>the title of the Securities of the series (which shall distinguish the Securities of that series from all other Securities);</w:t>
      </w:r>
    </w:p>
    <w:p>
      <w:pPr>
        <w:spacing w:after="0" w:line="166" w:lineRule="exact"/>
        <w:rPr>
          <w:sz w:val="20"/>
          <w:szCs w:val="20"/>
          <w:color w:val="auto"/>
        </w:rPr>
      </w:pPr>
    </w:p>
    <w:p>
      <w:pPr>
        <w:ind w:right="20" w:firstLine="1956"/>
        <w:spacing w:after="0" w:line="273" w:lineRule="auto"/>
        <w:rPr>
          <w:sz w:val="20"/>
          <w:szCs w:val="20"/>
          <w:color w:val="auto"/>
        </w:rPr>
      </w:pPr>
      <w:r>
        <w:rPr>
          <w:rFonts w:ascii="Arial" w:cs="Arial" w:eastAsia="Arial" w:hAnsi="Arial"/>
          <w:sz w:val="16"/>
          <w:szCs w:val="16"/>
          <w:b w:val="1"/>
          <w:bCs w:val="1"/>
          <w:color w:val="auto"/>
        </w:rPr>
        <w:t xml:space="preserve">(2) </w:t>
      </w:r>
      <w:r>
        <w:rPr>
          <w:rFonts w:ascii="Arial" w:cs="Arial" w:eastAsia="Arial" w:hAnsi="Arial"/>
          <w:sz w:val="16"/>
          <w:szCs w:val="16"/>
          <w:color w:val="auto"/>
        </w:rPr>
        <w:t>any limit upon the aggregate principal amount of the Securities of that series that may be authenticated and delivered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Indenture (except for Securities authenticated and delivered upon registration of transfer of, or in exchange for, or in lieu of, other Securities of that series);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42" w:name="page43"/>
    <w:bookmarkEnd w:id="42"/>
    <w:p>
      <w:pPr>
        <w:ind w:left="2200" w:hanging="256"/>
        <w:spacing w:after="0"/>
        <w:tabs>
          <w:tab w:leader="none" w:pos="2200" w:val="left"/>
        </w:tabs>
        <w:numPr>
          <w:ilvl w:val="0"/>
          <w:numId w:val="32"/>
        </w:numPr>
        <w:rPr>
          <w:rFonts w:ascii="Arial" w:cs="Arial" w:eastAsia="Arial" w:hAnsi="Arial"/>
          <w:sz w:val="16"/>
          <w:szCs w:val="16"/>
          <w:b w:val="1"/>
          <w:bCs w:val="1"/>
          <w:color w:val="auto"/>
        </w:rPr>
      </w:pPr>
      <w:r>
        <w:rPr>
          <w:rFonts w:ascii="Arial" w:cs="Arial" w:eastAsia="Arial" w:hAnsi="Arial"/>
          <w:sz w:val="16"/>
          <w:szCs w:val="16"/>
          <w:color w:val="auto"/>
        </w:rPr>
        <w:t>the maturity date or dates on which the principal of the Securities of the series is payable;</w:t>
      </w:r>
    </w:p>
    <w:p>
      <w:pPr>
        <w:spacing w:after="0" w:line="170" w:lineRule="exact"/>
        <w:rPr>
          <w:rFonts w:ascii="Arial" w:cs="Arial" w:eastAsia="Arial" w:hAnsi="Arial"/>
          <w:sz w:val="16"/>
          <w:szCs w:val="16"/>
          <w:b w:val="1"/>
          <w:bCs w:val="1"/>
          <w:color w:val="auto"/>
        </w:rPr>
      </w:pPr>
    </w:p>
    <w:p>
      <w:pPr>
        <w:ind w:left="2200" w:hanging="256"/>
        <w:spacing w:after="0"/>
        <w:tabs>
          <w:tab w:leader="none" w:pos="2200" w:val="left"/>
        </w:tabs>
        <w:numPr>
          <w:ilvl w:val="0"/>
          <w:numId w:val="32"/>
        </w:numPr>
        <w:rPr>
          <w:rFonts w:ascii="Arial" w:cs="Arial" w:eastAsia="Arial" w:hAnsi="Arial"/>
          <w:sz w:val="16"/>
          <w:szCs w:val="16"/>
          <w:b w:val="1"/>
          <w:bCs w:val="1"/>
          <w:color w:val="auto"/>
        </w:rPr>
      </w:pPr>
      <w:r>
        <w:rPr>
          <w:rFonts w:ascii="Arial" w:cs="Arial" w:eastAsia="Arial" w:hAnsi="Arial"/>
          <w:sz w:val="16"/>
          <w:szCs w:val="16"/>
          <w:color w:val="auto"/>
        </w:rPr>
        <w:t>the form of the Securities of the series including the form of the certificate of authentication for such series;</w:t>
      </w:r>
    </w:p>
    <w:p>
      <w:pPr>
        <w:spacing w:after="0" w:line="170" w:lineRule="exact"/>
        <w:rPr>
          <w:rFonts w:ascii="Arial" w:cs="Arial" w:eastAsia="Arial" w:hAnsi="Arial"/>
          <w:sz w:val="16"/>
          <w:szCs w:val="16"/>
          <w:b w:val="1"/>
          <w:bCs w:val="1"/>
          <w:color w:val="auto"/>
        </w:rPr>
      </w:pPr>
    </w:p>
    <w:p>
      <w:pPr>
        <w:ind w:left="2200" w:hanging="256"/>
        <w:spacing w:after="0"/>
        <w:tabs>
          <w:tab w:leader="none" w:pos="2200" w:val="left"/>
        </w:tabs>
        <w:numPr>
          <w:ilvl w:val="0"/>
          <w:numId w:val="32"/>
        </w:numPr>
        <w:rPr>
          <w:rFonts w:ascii="Arial" w:cs="Arial" w:eastAsia="Arial" w:hAnsi="Arial"/>
          <w:sz w:val="16"/>
          <w:szCs w:val="16"/>
          <w:b w:val="1"/>
          <w:bCs w:val="1"/>
          <w:color w:val="auto"/>
        </w:rPr>
      </w:pPr>
      <w:r>
        <w:rPr>
          <w:rFonts w:ascii="Arial" w:cs="Arial" w:eastAsia="Arial" w:hAnsi="Arial"/>
          <w:sz w:val="16"/>
          <w:szCs w:val="16"/>
          <w:color w:val="auto"/>
        </w:rPr>
        <w:t>the applicability of any guarantees;</w:t>
      </w:r>
    </w:p>
    <w:p>
      <w:pPr>
        <w:spacing w:after="0" w:line="170" w:lineRule="exact"/>
        <w:rPr>
          <w:rFonts w:ascii="Arial" w:cs="Arial" w:eastAsia="Arial" w:hAnsi="Arial"/>
          <w:sz w:val="16"/>
          <w:szCs w:val="16"/>
          <w:b w:val="1"/>
          <w:bCs w:val="1"/>
          <w:color w:val="auto"/>
        </w:rPr>
      </w:pPr>
    </w:p>
    <w:p>
      <w:pPr>
        <w:ind w:left="2200" w:hanging="256"/>
        <w:spacing w:after="0"/>
        <w:tabs>
          <w:tab w:leader="none" w:pos="2200" w:val="left"/>
        </w:tabs>
        <w:numPr>
          <w:ilvl w:val="0"/>
          <w:numId w:val="32"/>
        </w:numPr>
        <w:rPr>
          <w:rFonts w:ascii="Arial" w:cs="Arial" w:eastAsia="Arial" w:hAnsi="Arial"/>
          <w:sz w:val="16"/>
          <w:szCs w:val="16"/>
          <w:b w:val="1"/>
          <w:bCs w:val="1"/>
          <w:color w:val="auto"/>
        </w:rPr>
      </w:pPr>
      <w:r>
        <w:rPr>
          <w:rFonts w:ascii="Arial" w:cs="Arial" w:eastAsia="Arial" w:hAnsi="Arial"/>
          <w:sz w:val="16"/>
          <w:szCs w:val="16"/>
          <w:color w:val="auto"/>
        </w:rPr>
        <w:t>whether or not the Securities will be secured or unsecured, and the terms of any secured debt;</w:t>
      </w:r>
    </w:p>
    <w:p>
      <w:pPr>
        <w:spacing w:after="0" w:line="170" w:lineRule="exact"/>
        <w:rPr>
          <w:rFonts w:ascii="Arial" w:cs="Arial" w:eastAsia="Arial" w:hAnsi="Arial"/>
          <w:sz w:val="16"/>
          <w:szCs w:val="16"/>
          <w:b w:val="1"/>
          <w:bCs w:val="1"/>
          <w:color w:val="auto"/>
        </w:rPr>
      </w:pPr>
    </w:p>
    <w:p>
      <w:pPr>
        <w:ind w:left="2200" w:hanging="256"/>
        <w:spacing w:after="0"/>
        <w:tabs>
          <w:tab w:leader="none" w:pos="2200" w:val="left"/>
        </w:tabs>
        <w:numPr>
          <w:ilvl w:val="0"/>
          <w:numId w:val="32"/>
        </w:numPr>
        <w:rPr>
          <w:rFonts w:ascii="Arial" w:cs="Arial" w:eastAsia="Arial" w:hAnsi="Arial"/>
          <w:sz w:val="16"/>
          <w:szCs w:val="16"/>
          <w:b w:val="1"/>
          <w:bCs w:val="1"/>
          <w:color w:val="auto"/>
        </w:rPr>
      </w:pPr>
      <w:r>
        <w:rPr>
          <w:rFonts w:ascii="Arial" w:cs="Arial" w:eastAsia="Arial" w:hAnsi="Arial"/>
          <w:sz w:val="16"/>
          <w:szCs w:val="16"/>
          <w:color w:val="auto"/>
        </w:rPr>
        <w:t>whether the Securities rank as senior debt, senior subordinated debt, subordinated debt or any combination thereof, and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terms of any subordination;</w:t>
      </w:r>
    </w:p>
    <w:p>
      <w:pPr>
        <w:spacing w:after="0" w:line="155" w:lineRule="exact"/>
        <w:rPr>
          <w:sz w:val="20"/>
          <w:szCs w:val="20"/>
          <w:color w:val="auto"/>
        </w:rPr>
      </w:pPr>
    </w:p>
    <w:p>
      <w:pPr>
        <w:jc w:val="both"/>
        <w:ind w:right="20" w:firstLine="1956"/>
        <w:spacing w:after="0" w:line="285" w:lineRule="auto"/>
        <w:rPr>
          <w:sz w:val="20"/>
          <w:szCs w:val="20"/>
          <w:color w:val="auto"/>
        </w:rPr>
      </w:pPr>
      <w:r>
        <w:rPr>
          <w:rFonts w:ascii="Arial" w:cs="Arial" w:eastAsia="Arial" w:hAnsi="Arial"/>
          <w:sz w:val="15"/>
          <w:szCs w:val="15"/>
          <w:b w:val="1"/>
          <w:bCs w:val="1"/>
          <w:color w:val="auto"/>
        </w:rPr>
        <w:t xml:space="preserve">(8) </w:t>
      </w:r>
      <w:r>
        <w:rPr>
          <w:rFonts w:ascii="Arial" w:cs="Arial" w:eastAsia="Arial" w:hAnsi="Arial"/>
          <w:sz w:val="15"/>
          <w:szCs w:val="15"/>
          <w:color w:val="auto"/>
        </w:rPr>
        <w:t>if the price (expressed as a percentage of the aggregate principal amount thereof) at which such Securities will be</w:t>
      </w:r>
      <w:r>
        <w:rPr>
          <w:rFonts w:ascii="Arial" w:cs="Arial" w:eastAsia="Arial" w:hAnsi="Arial"/>
          <w:sz w:val="15"/>
          <w:szCs w:val="15"/>
          <w:b w:val="1"/>
          <w:bCs w:val="1"/>
          <w:color w:val="auto"/>
        </w:rPr>
        <w:t xml:space="preserve"> </w:t>
      </w:r>
      <w:r>
        <w:rPr>
          <w:rFonts w:ascii="Arial" w:cs="Arial" w:eastAsia="Arial" w:hAnsi="Arial"/>
          <w:sz w:val="15"/>
          <w:szCs w:val="15"/>
          <w:color w:val="auto"/>
        </w:rPr>
        <w:t>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240" w:type="dxa"/>
            <w:vAlign w:val="bottom"/>
          </w:tcPr>
          <w:p>
            <w:pPr>
              <w:ind w:left="1960"/>
              <w:spacing w:after="0"/>
              <w:rPr>
                <w:sz w:val="20"/>
                <w:szCs w:val="20"/>
                <w:color w:val="auto"/>
              </w:rPr>
            </w:pPr>
            <w:r>
              <w:rPr>
                <w:rFonts w:ascii="Arial" w:cs="Arial" w:eastAsia="Arial" w:hAnsi="Arial"/>
                <w:sz w:val="16"/>
                <w:szCs w:val="16"/>
                <w:b w:val="1"/>
                <w:bCs w:val="1"/>
                <w:color w:val="auto"/>
              </w:rPr>
              <w:t>(9)</w:t>
            </w:r>
          </w:p>
        </w:tc>
        <w:tc>
          <w:tcPr>
            <w:tcW w:w="9000" w:type="dxa"/>
            <w:vAlign w:val="bottom"/>
          </w:tcPr>
          <w:p>
            <w:pPr>
              <w:ind w:left="1620"/>
              <w:spacing w:after="0"/>
              <w:rPr>
                <w:sz w:val="20"/>
                <w:szCs w:val="20"/>
                <w:color w:val="auto"/>
              </w:rPr>
            </w:pPr>
            <w:r>
              <w:rPr>
                <w:rFonts w:ascii="Arial" w:cs="Arial" w:eastAsia="Arial" w:hAnsi="Arial"/>
                <w:sz w:val="16"/>
                <w:szCs w:val="16"/>
                <w:color w:val="auto"/>
                <w:w w:val="89"/>
              </w:rPr>
              <w:t>the interest rate or rates, which may be fixed or variable, or the method for determining the rate and the date interest</w:t>
            </w:r>
          </w:p>
        </w:tc>
      </w:tr>
      <w:tr>
        <w:trPr>
          <w:trHeight w:val="200"/>
        </w:trPr>
        <w:tc>
          <w:tcPr>
            <w:tcW w:w="11240" w:type="dxa"/>
            <w:vAlign w:val="bottom"/>
            <w:gridSpan w:val="2"/>
          </w:tcPr>
          <w:p>
            <w:pPr>
              <w:spacing w:after="0"/>
              <w:rPr>
                <w:sz w:val="20"/>
                <w:szCs w:val="20"/>
                <w:color w:val="auto"/>
              </w:rPr>
            </w:pPr>
            <w:r>
              <w:rPr>
                <w:rFonts w:ascii="Arial" w:cs="Arial" w:eastAsia="Arial" w:hAnsi="Arial"/>
                <w:sz w:val="16"/>
                <w:szCs w:val="16"/>
                <w:color w:val="auto"/>
              </w:rPr>
              <w:t>will begin to accrue, the dates interest will be payable and the regular record dates for interest payment dates or the method for determining such dates;</w:t>
            </w:r>
          </w:p>
        </w:tc>
      </w:tr>
      <w:tr>
        <w:trPr>
          <w:trHeight w:val="295"/>
        </w:trPr>
        <w:tc>
          <w:tcPr>
            <w:tcW w:w="2240" w:type="dxa"/>
            <w:vAlign w:val="bottom"/>
          </w:tcPr>
          <w:p>
            <w:pPr>
              <w:ind w:left="1940"/>
              <w:spacing w:after="0"/>
              <w:rPr>
                <w:sz w:val="20"/>
                <w:szCs w:val="20"/>
                <w:color w:val="auto"/>
              </w:rPr>
            </w:pPr>
            <w:r>
              <w:rPr>
                <w:rFonts w:ascii="Arial" w:cs="Arial" w:eastAsia="Arial" w:hAnsi="Arial"/>
                <w:sz w:val="16"/>
                <w:szCs w:val="16"/>
                <w:b w:val="1"/>
                <w:bCs w:val="1"/>
                <w:color w:val="auto"/>
                <w:w w:val="98"/>
              </w:rPr>
              <w:t>(10)</w:t>
            </w:r>
          </w:p>
        </w:tc>
        <w:tc>
          <w:tcPr>
            <w:tcW w:w="9000" w:type="dxa"/>
            <w:vAlign w:val="bottom"/>
          </w:tcPr>
          <w:p>
            <w:pPr>
              <w:ind w:left="40"/>
              <w:spacing w:after="0"/>
              <w:rPr>
                <w:sz w:val="20"/>
                <w:szCs w:val="20"/>
                <w:color w:val="auto"/>
              </w:rPr>
            </w:pPr>
            <w:r>
              <w:rPr>
                <w:rFonts w:ascii="Arial" w:cs="Arial" w:eastAsia="Arial" w:hAnsi="Arial"/>
                <w:sz w:val="16"/>
                <w:szCs w:val="16"/>
                <w:color w:val="auto"/>
              </w:rPr>
              <w:t>the Company’s right, if any, to defer the payment of interest and the maximum length of any such deferral period;</w:t>
            </w:r>
          </w:p>
        </w:tc>
      </w:tr>
      <w:tr>
        <w:trPr>
          <w:trHeight w:val="354"/>
        </w:trPr>
        <w:tc>
          <w:tcPr>
            <w:tcW w:w="2240" w:type="dxa"/>
            <w:vAlign w:val="bottom"/>
          </w:tcPr>
          <w:p>
            <w:pPr>
              <w:ind w:left="1960"/>
              <w:spacing w:after="0"/>
              <w:rPr>
                <w:sz w:val="20"/>
                <w:szCs w:val="20"/>
                <w:color w:val="auto"/>
              </w:rPr>
            </w:pPr>
            <w:r>
              <w:rPr>
                <w:rFonts w:ascii="Arial" w:cs="Arial" w:eastAsia="Arial" w:hAnsi="Arial"/>
                <w:sz w:val="16"/>
                <w:szCs w:val="16"/>
                <w:b w:val="1"/>
                <w:bCs w:val="1"/>
                <w:color w:val="auto"/>
                <w:w w:val="91"/>
              </w:rPr>
              <w:t>(11)</w:t>
            </w:r>
          </w:p>
        </w:tc>
        <w:tc>
          <w:tcPr>
            <w:tcW w:w="9000" w:type="dxa"/>
            <w:vAlign w:val="bottom"/>
          </w:tcPr>
          <w:p>
            <w:pPr>
              <w:ind w:left="1760"/>
              <w:spacing w:after="0"/>
              <w:rPr>
                <w:sz w:val="20"/>
                <w:szCs w:val="20"/>
                <w:color w:val="auto"/>
              </w:rPr>
            </w:pPr>
            <w:r>
              <w:rPr>
                <w:rFonts w:ascii="Arial" w:cs="Arial" w:eastAsia="Arial" w:hAnsi="Arial"/>
                <w:sz w:val="16"/>
                <w:szCs w:val="16"/>
                <w:color w:val="auto"/>
                <w:w w:val="90"/>
              </w:rPr>
              <w:t>if applicable, the date or dates after which, or the period or periods during which, and the price or prices at which,</w:t>
            </w:r>
          </w:p>
        </w:tc>
      </w:tr>
    </w:tbl>
    <w:p>
      <w:pPr>
        <w:spacing w:after="0"/>
        <w:rPr>
          <w:sz w:val="20"/>
          <w:szCs w:val="20"/>
          <w:color w:val="auto"/>
        </w:rPr>
      </w:pPr>
      <w:r>
        <w:rPr>
          <w:rFonts w:ascii="Arial" w:cs="Arial" w:eastAsia="Arial" w:hAnsi="Arial"/>
          <w:sz w:val="13"/>
          <w:szCs w:val="13"/>
          <w:color w:val="auto"/>
        </w:rPr>
        <w:t>the Company may at its option, redeem the series of Securities pursuant to any optional or provisional redemption provisions and the terms of those redemption provisions;</w:t>
      </w:r>
    </w:p>
    <w:p>
      <w:pPr>
        <w:spacing w:after="0" w:line="166" w:lineRule="exact"/>
        <w:rPr>
          <w:sz w:val="20"/>
          <w:szCs w:val="20"/>
          <w:color w:val="auto"/>
        </w:rPr>
      </w:pPr>
    </w:p>
    <w:p>
      <w:pPr>
        <w:jc w:val="both"/>
        <w:ind w:firstLine="1956"/>
        <w:spacing w:after="0" w:line="259" w:lineRule="auto"/>
        <w:rPr>
          <w:sz w:val="20"/>
          <w:szCs w:val="20"/>
          <w:color w:val="auto"/>
        </w:rPr>
      </w:pPr>
      <w:r>
        <w:rPr>
          <w:rFonts w:ascii="Arial" w:cs="Arial" w:eastAsia="Arial" w:hAnsi="Arial"/>
          <w:sz w:val="16"/>
          <w:szCs w:val="16"/>
          <w:b w:val="1"/>
          <w:bCs w:val="1"/>
          <w:color w:val="auto"/>
        </w:rPr>
        <w:t xml:space="preserve">(12) </w:t>
      </w:r>
      <w:r>
        <w:rPr>
          <w:rFonts w:ascii="Arial" w:cs="Arial" w:eastAsia="Arial" w:hAnsi="Arial"/>
          <w:sz w:val="16"/>
          <w:szCs w:val="16"/>
          <w:color w:val="auto"/>
        </w:rPr>
        <w:t>the date or dates, if any, on which, and the price or prices at which the Company is obligated, pursuant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mandatory sinking fund or analogous fund provisions or otherwise, to redeem, or at the Securityholder’s option to purchase, the series of Securities and the currency or currency unit in which the Securities are payable;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00" w:type="dxa"/>
            <w:vAlign w:val="bottom"/>
          </w:tcPr>
          <w:p>
            <w:pPr>
              <w:jc w:val="right"/>
              <w:ind w:right="1701"/>
              <w:spacing w:after="0"/>
              <w:rPr>
                <w:sz w:val="20"/>
                <w:szCs w:val="20"/>
                <w:color w:val="auto"/>
              </w:rPr>
            </w:pPr>
            <w:r>
              <w:rPr>
                <w:rFonts w:ascii="Arial" w:cs="Arial" w:eastAsia="Arial" w:hAnsi="Arial"/>
                <w:sz w:val="16"/>
                <w:szCs w:val="16"/>
                <w:b w:val="1"/>
                <w:bCs w:val="1"/>
                <w:color w:val="auto"/>
              </w:rPr>
              <w:t>(13)</w:t>
            </w:r>
          </w:p>
        </w:tc>
        <w:tc>
          <w:tcPr>
            <w:tcW w:w="7260" w:type="dxa"/>
            <w:vAlign w:val="bottom"/>
          </w:tcPr>
          <w:p>
            <w:pPr>
              <w:spacing w:after="0"/>
              <w:rPr>
                <w:sz w:val="20"/>
                <w:szCs w:val="20"/>
                <w:color w:val="auto"/>
              </w:rPr>
            </w:pPr>
            <w:r>
              <w:rPr>
                <w:rFonts w:ascii="Arial" w:cs="Arial" w:eastAsia="Arial" w:hAnsi="Arial"/>
                <w:sz w:val="16"/>
                <w:szCs w:val="16"/>
                <w:color w:val="auto"/>
                <w:w w:val="95"/>
              </w:rPr>
              <w:t>the denominations in which the Securities of the series shall be issuable, if other than denominations of one</w:t>
            </w:r>
          </w:p>
        </w:tc>
      </w:tr>
      <w:tr>
        <w:trPr>
          <w:trHeight w:val="200"/>
        </w:trPr>
        <w:tc>
          <w:tcPr>
            <w:tcW w:w="4000" w:type="dxa"/>
            <w:vAlign w:val="bottom"/>
          </w:tcPr>
          <w:p>
            <w:pPr>
              <w:jc w:val="right"/>
              <w:spacing w:after="0"/>
              <w:rPr>
                <w:sz w:val="20"/>
                <w:szCs w:val="20"/>
                <w:color w:val="auto"/>
              </w:rPr>
            </w:pPr>
            <w:r>
              <w:rPr>
                <w:rFonts w:ascii="Arial" w:cs="Arial" w:eastAsia="Arial" w:hAnsi="Arial"/>
                <w:sz w:val="16"/>
                <w:szCs w:val="16"/>
                <w:color w:val="auto"/>
                <w:w w:val="89"/>
              </w:rPr>
              <w:t>thousand U.S. dollars ($1,000) or any integral multiple thereof;</w:t>
            </w:r>
          </w:p>
        </w:tc>
        <w:tc>
          <w:tcPr>
            <w:tcW w:w="7260" w:type="dxa"/>
            <w:vAlign w:val="bottom"/>
          </w:tcPr>
          <w:p>
            <w:pPr>
              <w:spacing w:after="0"/>
              <w:rPr>
                <w:sz w:val="17"/>
                <w:szCs w:val="17"/>
                <w:color w:val="auto"/>
              </w:rPr>
            </w:pPr>
          </w:p>
        </w:tc>
      </w:tr>
      <w:tr>
        <w:trPr>
          <w:trHeight w:val="307"/>
        </w:trPr>
        <w:tc>
          <w:tcPr>
            <w:tcW w:w="4000" w:type="dxa"/>
            <w:vAlign w:val="bottom"/>
          </w:tcPr>
          <w:p>
            <w:pPr>
              <w:jc w:val="right"/>
              <w:ind w:right="1701"/>
              <w:spacing w:after="0"/>
              <w:rPr>
                <w:sz w:val="20"/>
                <w:szCs w:val="20"/>
                <w:color w:val="auto"/>
              </w:rPr>
            </w:pPr>
            <w:r>
              <w:rPr>
                <w:rFonts w:ascii="Arial" w:cs="Arial" w:eastAsia="Arial" w:hAnsi="Arial"/>
                <w:sz w:val="16"/>
                <w:szCs w:val="16"/>
                <w:b w:val="1"/>
                <w:bCs w:val="1"/>
                <w:color w:val="auto"/>
              </w:rPr>
              <w:t>(14)</w:t>
            </w:r>
          </w:p>
        </w:tc>
        <w:tc>
          <w:tcPr>
            <w:tcW w:w="7260" w:type="dxa"/>
            <w:vAlign w:val="bottom"/>
          </w:tcPr>
          <w:p>
            <w:pPr>
              <w:spacing w:after="0"/>
              <w:rPr>
                <w:sz w:val="20"/>
                <w:szCs w:val="20"/>
                <w:color w:val="auto"/>
              </w:rPr>
            </w:pPr>
            <w:r>
              <w:rPr>
                <w:rFonts w:ascii="Arial" w:cs="Arial" w:eastAsia="Arial" w:hAnsi="Arial"/>
                <w:sz w:val="16"/>
                <w:szCs w:val="16"/>
                <w:color w:val="auto"/>
                <w:w w:val="94"/>
              </w:rPr>
              <w:t>any and all terms, if applicable, relating to any auction or remarketing of the Securities of that series and any</w:t>
            </w:r>
          </w:p>
        </w:tc>
      </w:tr>
    </w:tbl>
    <w:p>
      <w:pPr>
        <w:jc w:val="both"/>
        <w:ind w:right="20"/>
        <w:spacing w:after="0" w:line="253" w:lineRule="auto"/>
        <w:rPr>
          <w:sz w:val="20"/>
          <w:szCs w:val="20"/>
          <w:color w:val="auto"/>
        </w:rPr>
      </w:pPr>
      <w:r>
        <w:rPr>
          <w:rFonts w:ascii="Arial" w:cs="Arial" w:eastAsia="Arial" w:hAnsi="Arial"/>
          <w:sz w:val="16"/>
          <w:szCs w:val="16"/>
          <w:color w:val="auto"/>
        </w:rPr>
        <w:t>security for the obligations of the Company with respect to such Securities and any other terms which may be advisable in connection with the marketing of Securities of that series;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43" w:name="page44"/>
    <w:bookmarkEnd w:id="43"/>
    <w:p>
      <w:pPr>
        <w:jc w:val="both"/>
        <w:ind w:right="20" w:firstLine="1956"/>
        <w:spacing w:after="0" w:line="259" w:lineRule="auto"/>
        <w:rPr>
          <w:sz w:val="20"/>
          <w:szCs w:val="20"/>
          <w:color w:val="auto"/>
        </w:rPr>
      </w:pPr>
      <w:r>
        <w:rPr>
          <w:rFonts w:ascii="Arial" w:cs="Arial" w:eastAsia="Arial" w:hAnsi="Arial"/>
          <w:sz w:val="16"/>
          <w:szCs w:val="16"/>
          <w:b w:val="1"/>
          <w:bCs w:val="1"/>
          <w:color w:val="auto"/>
        </w:rPr>
        <w:t xml:space="preserve">(15) </w:t>
      </w:r>
      <w:r>
        <w:rPr>
          <w:rFonts w:ascii="Arial" w:cs="Arial" w:eastAsia="Arial" w:hAnsi="Arial"/>
          <w:sz w:val="16"/>
          <w:szCs w:val="16"/>
          <w:color w:val="auto"/>
        </w:rPr>
        <w:t>whether the Securities of the series shall be issued in whole or in part in the form of a Global Security or</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the terms and conditions, if any, upon which such Global Security or Securities may be exchanged in whole or in part for other individual Securities; and the Depositary for such Global Security or Securities;</w:t>
      </w:r>
    </w:p>
    <w:p>
      <w:pPr>
        <w:spacing w:after="0" w:line="113" w:lineRule="exact"/>
        <w:rPr>
          <w:sz w:val="20"/>
          <w:szCs w:val="20"/>
          <w:color w:val="auto"/>
        </w:rPr>
      </w:pPr>
    </w:p>
    <w:p>
      <w:pPr>
        <w:jc w:val="both"/>
        <w:ind w:firstLine="1956"/>
        <w:spacing w:after="0" w:line="277" w:lineRule="auto"/>
        <w:rPr>
          <w:sz w:val="20"/>
          <w:szCs w:val="20"/>
          <w:color w:val="auto"/>
        </w:rPr>
      </w:pPr>
      <w:r>
        <w:rPr>
          <w:rFonts w:ascii="Arial" w:cs="Arial" w:eastAsia="Arial" w:hAnsi="Arial"/>
          <w:sz w:val="15"/>
          <w:szCs w:val="15"/>
          <w:b w:val="1"/>
          <w:bCs w:val="1"/>
          <w:color w:val="auto"/>
        </w:rPr>
        <w:t xml:space="preserve">(16) </w:t>
      </w:r>
      <w:r>
        <w:rPr>
          <w:rFonts w:ascii="Arial" w:cs="Arial" w:eastAsia="Arial" w:hAnsi="Arial"/>
          <w:sz w:val="15"/>
          <w:szCs w:val="15"/>
          <w:color w:val="auto"/>
        </w:rPr>
        <w:t>if applicable, the provisions relating to conversion or exchange of any Securities of the series and the terms and</w:t>
      </w:r>
      <w:r>
        <w:rPr>
          <w:rFonts w:ascii="Arial" w:cs="Arial" w:eastAsia="Arial" w:hAnsi="Arial"/>
          <w:sz w:val="15"/>
          <w:szCs w:val="15"/>
          <w:b w:val="1"/>
          <w:bCs w:val="1"/>
          <w:color w:val="auto"/>
        </w:rPr>
        <w:t xml:space="preserve"> </w:t>
      </w:r>
      <w:r>
        <w:rPr>
          <w:rFonts w:ascii="Arial" w:cs="Arial" w:eastAsia="Arial" w:hAnsi="Arial"/>
          <w:sz w:val="15"/>
          <w:szCs w:val="15"/>
          <w:color w:val="auto"/>
        </w:rPr>
        <w:t>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80" w:type="dxa"/>
            <w:vAlign w:val="bottom"/>
          </w:tcPr>
          <w:p>
            <w:pPr>
              <w:jc w:val="right"/>
              <w:ind w:right="1281"/>
              <w:spacing w:after="0"/>
              <w:rPr>
                <w:sz w:val="20"/>
                <w:szCs w:val="20"/>
                <w:color w:val="auto"/>
              </w:rPr>
            </w:pPr>
            <w:r>
              <w:rPr>
                <w:rFonts w:ascii="Arial" w:cs="Arial" w:eastAsia="Arial" w:hAnsi="Arial"/>
                <w:sz w:val="16"/>
                <w:szCs w:val="16"/>
                <w:b w:val="1"/>
                <w:bCs w:val="1"/>
                <w:color w:val="auto"/>
              </w:rPr>
              <w:t>(17)</w:t>
            </w:r>
          </w:p>
        </w:tc>
        <w:tc>
          <w:tcPr>
            <w:tcW w:w="7620" w:type="dxa"/>
            <w:vAlign w:val="bottom"/>
          </w:tcPr>
          <w:p>
            <w:pPr>
              <w:ind w:left="420"/>
              <w:spacing w:after="0"/>
              <w:rPr>
                <w:sz w:val="20"/>
                <w:szCs w:val="20"/>
                <w:color w:val="auto"/>
              </w:rPr>
            </w:pPr>
            <w:r>
              <w:rPr>
                <w:rFonts w:ascii="Arial" w:cs="Arial" w:eastAsia="Arial" w:hAnsi="Arial"/>
                <w:sz w:val="16"/>
                <w:szCs w:val="16"/>
                <w:color w:val="auto"/>
                <w:w w:val="90"/>
              </w:rPr>
              <w:t>if other than the full principal amount thereof, the portion of the principal amount of Securities of the series which</w:t>
            </w:r>
          </w:p>
        </w:tc>
      </w:tr>
      <w:tr>
        <w:trPr>
          <w:trHeight w:val="200"/>
        </w:trPr>
        <w:tc>
          <w:tcPr>
            <w:tcW w:w="11200" w:type="dxa"/>
            <w:vAlign w:val="bottom"/>
            <w:gridSpan w:val="2"/>
          </w:tcPr>
          <w:p>
            <w:pPr>
              <w:spacing w:after="0"/>
              <w:rPr>
                <w:sz w:val="20"/>
                <w:szCs w:val="20"/>
                <w:color w:val="auto"/>
              </w:rPr>
            </w:pPr>
            <w:r>
              <w:rPr>
                <w:rFonts w:ascii="Arial" w:cs="Arial" w:eastAsia="Arial" w:hAnsi="Arial"/>
                <w:sz w:val="16"/>
                <w:szCs w:val="16"/>
                <w:color w:val="auto"/>
              </w:rPr>
              <w:t>shall be payable upon declaration of acceleration of the maturity thereof pursuant to Section 6.01;</w:t>
            </w:r>
          </w:p>
        </w:tc>
      </w:tr>
      <w:tr>
        <w:trPr>
          <w:trHeight w:val="296"/>
        </w:trPr>
        <w:tc>
          <w:tcPr>
            <w:tcW w:w="3580" w:type="dxa"/>
            <w:vAlign w:val="bottom"/>
          </w:tcPr>
          <w:p>
            <w:pPr>
              <w:jc w:val="right"/>
              <w:ind w:right="1281"/>
              <w:spacing w:after="0"/>
              <w:rPr>
                <w:sz w:val="20"/>
                <w:szCs w:val="20"/>
                <w:color w:val="auto"/>
              </w:rPr>
            </w:pPr>
            <w:r>
              <w:rPr>
                <w:rFonts w:ascii="Arial" w:cs="Arial" w:eastAsia="Arial" w:hAnsi="Arial"/>
                <w:sz w:val="16"/>
                <w:szCs w:val="16"/>
                <w:b w:val="1"/>
                <w:bCs w:val="1"/>
                <w:color w:val="auto"/>
              </w:rPr>
              <w:t>(18)</w:t>
            </w:r>
          </w:p>
        </w:tc>
        <w:tc>
          <w:tcPr>
            <w:tcW w:w="7620" w:type="dxa"/>
            <w:vAlign w:val="bottom"/>
          </w:tcPr>
          <w:p>
            <w:pPr>
              <w:ind w:left="440"/>
              <w:spacing w:after="0"/>
              <w:rPr>
                <w:sz w:val="20"/>
                <w:szCs w:val="20"/>
                <w:color w:val="auto"/>
              </w:rPr>
            </w:pPr>
            <w:r>
              <w:rPr>
                <w:rFonts w:ascii="Arial" w:cs="Arial" w:eastAsia="Arial" w:hAnsi="Arial"/>
                <w:sz w:val="16"/>
                <w:szCs w:val="16"/>
                <w:color w:val="auto"/>
                <w:w w:val="92"/>
              </w:rPr>
              <w:t>additions to or changes in the covenants applicable to the series of Securities being issued, including, among</w:t>
            </w:r>
          </w:p>
        </w:tc>
      </w:tr>
      <w:tr>
        <w:trPr>
          <w:trHeight w:val="200"/>
        </w:trPr>
        <w:tc>
          <w:tcPr>
            <w:tcW w:w="3580" w:type="dxa"/>
            <w:vAlign w:val="bottom"/>
          </w:tcPr>
          <w:p>
            <w:pPr>
              <w:spacing w:after="0"/>
              <w:rPr>
                <w:sz w:val="20"/>
                <w:szCs w:val="20"/>
                <w:color w:val="auto"/>
              </w:rPr>
            </w:pPr>
            <w:r>
              <w:rPr>
                <w:rFonts w:ascii="Arial" w:cs="Arial" w:eastAsia="Arial" w:hAnsi="Arial"/>
                <w:sz w:val="16"/>
                <w:szCs w:val="16"/>
                <w:color w:val="auto"/>
                <w:w w:val="99"/>
              </w:rPr>
              <w:t>others, the consolidation, merger or sale covenant;</w:t>
            </w:r>
          </w:p>
        </w:tc>
        <w:tc>
          <w:tcPr>
            <w:tcW w:w="7620" w:type="dxa"/>
            <w:vAlign w:val="bottom"/>
          </w:tcPr>
          <w:p>
            <w:pPr>
              <w:spacing w:after="0"/>
              <w:rPr>
                <w:sz w:val="17"/>
                <w:szCs w:val="17"/>
                <w:color w:val="auto"/>
              </w:rPr>
            </w:pPr>
          </w:p>
        </w:tc>
      </w:tr>
      <w:tr>
        <w:trPr>
          <w:trHeight w:val="307"/>
        </w:trPr>
        <w:tc>
          <w:tcPr>
            <w:tcW w:w="3580" w:type="dxa"/>
            <w:vAlign w:val="bottom"/>
          </w:tcPr>
          <w:p>
            <w:pPr>
              <w:jc w:val="right"/>
              <w:ind w:right="1301"/>
              <w:spacing w:after="0"/>
              <w:rPr>
                <w:sz w:val="20"/>
                <w:szCs w:val="20"/>
                <w:color w:val="auto"/>
              </w:rPr>
            </w:pPr>
            <w:r>
              <w:rPr>
                <w:rFonts w:ascii="Arial" w:cs="Arial" w:eastAsia="Arial" w:hAnsi="Arial"/>
                <w:sz w:val="16"/>
                <w:szCs w:val="16"/>
                <w:b w:val="1"/>
                <w:bCs w:val="1"/>
                <w:color w:val="auto"/>
              </w:rPr>
              <w:t>(19)</w:t>
            </w:r>
          </w:p>
        </w:tc>
        <w:tc>
          <w:tcPr>
            <w:tcW w:w="7620" w:type="dxa"/>
            <w:vAlign w:val="bottom"/>
          </w:tcPr>
          <w:p>
            <w:pPr>
              <w:ind w:left="420"/>
              <w:spacing w:after="0"/>
              <w:rPr>
                <w:sz w:val="20"/>
                <w:szCs w:val="20"/>
                <w:color w:val="auto"/>
              </w:rPr>
            </w:pPr>
            <w:r>
              <w:rPr>
                <w:rFonts w:ascii="Arial" w:cs="Arial" w:eastAsia="Arial" w:hAnsi="Arial"/>
                <w:sz w:val="16"/>
                <w:szCs w:val="16"/>
                <w:color w:val="auto"/>
                <w:w w:val="91"/>
              </w:rPr>
              <w:t>additions to or changes in the Events of Default with respect to the Securities and any change in the right of the</w:t>
            </w:r>
          </w:p>
        </w:tc>
      </w:tr>
    </w:tbl>
    <w:p>
      <w:pPr>
        <w:spacing w:after="0"/>
        <w:rPr>
          <w:sz w:val="20"/>
          <w:szCs w:val="20"/>
          <w:color w:val="auto"/>
        </w:rPr>
      </w:pPr>
      <w:r>
        <w:rPr>
          <w:rFonts w:ascii="Arial" w:cs="Arial" w:eastAsia="Arial" w:hAnsi="Arial"/>
          <w:sz w:val="16"/>
          <w:szCs w:val="16"/>
          <w:color w:val="auto"/>
        </w:rPr>
        <w:t>Trustee or the Securityholders to declare the principal, premium, if any, and interest, if any, with respect to such Securities to be due and payable;</w:t>
      </w:r>
    </w:p>
    <w:p>
      <w:pPr>
        <w:spacing w:after="0" w:line="100" w:lineRule="exact"/>
        <w:rPr>
          <w:sz w:val="20"/>
          <w:szCs w:val="20"/>
          <w:color w:val="auto"/>
        </w:rPr>
      </w:pPr>
    </w:p>
    <w:p>
      <w:pPr>
        <w:ind w:left="2280" w:hanging="336"/>
        <w:spacing w:after="0"/>
        <w:tabs>
          <w:tab w:leader="none" w:pos="2280" w:val="left"/>
        </w:tabs>
        <w:numPr>
          <w:ilvl w:val="0"/>
          <w:numId w:val="33"/>
        </w:numPr>
        <w:rPr>
          <w:rFonts w:ascii="Arial" w:cs="Arial" w:eastAsia="Arial" w:hAnsi="Arial"/>
          <w:sz w:val="16"/>
          <w:szCs w:val="16"/>
          <w:b w:val="1"/>
          <w:bCs w:val="1"/>
          <w:color w:val="auto"/>
        </w:rPr>
      </w:pPr>
      <w:r>
        <w:rPr>
          <w:rFonts w:ascii="Arial" w:cs="Arial" w:eastAsia="Arial" w:hAnsi="Arial"/>
          <w:sz w:val="16"/>
          <w:szCs w:val="16"/>
          <w:color w:val="auto"/>
        </w:rPr>
        <w:t>additions to or changes in or deletions of the provisions relating to covenant defeasance and legal defeasance;</w:t>
      </w:r>
    </w:p>
    <w:p>
      <w:pPr>
        <w:spacing w:after="0" w:line="170" w:lineRule="exact"/>
        <w:rPr>
          <w:rFonts w:ascii="Arial" w:cs="Arial" w:eastAsia="Arial" w:hAnsi="Arial"/>
          <w:sz w:val="16"/>
          <w:szCs w:val="16"/>
          <w:b w:val="1"/>
          <w:bCs w:val="1"/>
          <w:color w:val="auto"/>
        </w:rPr>
      </w:pPr>
    </w:p>
    <w:p>
      <w:pPr>
        <w:ind w:left="2280" w:hanging="336"/>
        <w:spacing w:after="0"/>
        <w:tabs>
          <w:tab w:leader="none" w:pos="2280" w:val="left"/>
        </w:tabs>
        <w:numPr>
          <w:ilvl w:val="0"/>
          <w:numId w:val="33"/>
        </w:numPr>
        <w:rPr>
          <w:rFonts w:ascii="Arial" w:cs="Arial" w:eastAsia="Arial" w:hAnsi="Arial"/>
          <w:sz w:val="16"/>
          <w:szCs w:val="16"/>
          <w:b w:val="1"/>
          <w:bCs w:val="1"/>
          <w:color w:val="auto"/>
        </w:rPr>
      </w:pPr>
      <w:r>
        <w:rPr>
          <w:rFonts w:ascii="Arial" w:cs="Arial" w:eastAsia="Arial" w:hAnsi="Arial"/>
          <w:sz w:val="16"/>
          <w:szCs w:val="16"/>
          <w:color w:val="auto"/>
        </w:rPr>
        <w:t>additions to or changes in the provisions relating to satisfaction and discharge of this Indenture;</w:t>
      </w:r>
    </w:p>
    <w:p>
      <w:pPr>
        <w:spacing w:after="0" w:line="166" w:lineRule="exact"/>
        <w:rPr>
          <w:sz w:val="20"/>
          <w:szCs w:val="20"/>
          <w:color w:val="auto"/>
        </w:rPr>
      </w:pPr>
    </w:p>
    <w:p>
      <w:pPr>
        <w:ind w:right="220" w:firstLine="1956"/>
        <w:spacing w:after="0" w:line="273" w:lineRule="auto"/>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color w:val="auto"/>
        </w:rPr>
        <w:t>additions to or changes in the provisions relating to the modification of this Indenture both with and without the</w:t>
      </w:r>
      <w:r>
        <w:rPr>
          <w:rFonts w:ascii="Arial" w:cs="Arial" w:eastAsia="Arial" w:hAnsi="Arial"/>
          <w:sz w:val="16"/>
          <w:szCs w:val="16"/>
          <w:b w:val="1"/>
          <w:bCs w:val="1"/>
          <w:color w:val="auto"/>
        </w:rPr>
        <w:t xml:space="preserve"> </w:t>
      </w:r>
      <w:r>
        <w:rPr>
          <w:rFonts w:ascii="Arial" w:cs="Arial" w:eastAsia="Arial" w:hAnsi="Arial"/>
          <w:sz w:val="16"/>
          <w:szCs w:val="16"/>
          <w:color w:val="auto"/>
        </w:rPr>
        <w:t>consent of Securityholders of Securities issued under this Indenture;</w:t>
      </w:r>
    </w:p>
    <w:p>
      <w:pPr>
        <w:spacing w:after="0" w:line="82" w:lineRule="exact"/>
        <w:rPr>
          <w:sz w:val="20"/>
          <w:szCs w:val="20"/>
          <w:color w:val="auto"/>
        </w:rPr>
      </w:pPr>
    </w:p>
    <w:p>
      <w:pPr>
        <w:ind w:left="2320" w:hanging="376"/>
        <w:spacing w:after="0"/>
        <w:tabs>
          <w:tab w:leader="none" w:pos="2320" w:val="left"/>
        </w:tabs>
        <w:numPr>
          <w:ilvl w:val="0"/>
          <w:numId w:val="34"/>
        </w:numPr>
        <w:rPr>
          <w:rFonts w:ascii="Arial" w:cs="Arial" w:eastAsia="Arial" w:hAnsi="Arial"/>
          <w:sz w:val="16"/>
          <w:szCs w:val="16"/>
          <w:b w:val="1"/>
          <w:bCs w:val="1"/>
          <w:color w:val="auto"/>
        </w:rPr>
      </w:pPr>
      <w:r>
        <w:rPr>
          <w:rFonts w:ascii="Arial" w:cs="Arial" w:eastAsia="Arial" w:hAnsi="Arial"/>
          <w:sz w:val="16"/>
          <w:szCs w:val="16"/>
          <w:color w:val="auto"/>
        </w:rPr>
        <w:t>the currency of payment of Securities if other than U.S. dollars and the manner of determining the equivalent amount in</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U.S. dollars;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20" w:type="dxa"/>
            <w:vAlign w:val="bottom"/>
          </w:tcPr>
          <w:p>
            <w:pPr>
              <w:jc w:val="right"/>
              <w:ind w:right="841"/>
              <w:spacing w:after="0"/>
              <w:rPr>
                <w:sz w:val="20"/>
                <w:szCs w:val="20"/>
                <w:color w:val="auto"/>
              </w:rPr>
            </w:pPr>
            <w:r>
              <w:rPr>
                <w:rFonts w:ascii="Arial" w:cs="Arial" w:eastAsia="Arial" w:hAnsi="Arial"/>
                <w:sz w:val="16"/>
                <w:szCs w:val="16"/>
                <w:b w:val="1"/>
                <w:bCs w:val="1"/>
                <w:color w:val="auto"/>
              </w:rPr>
              <w:t>(24)</w:t>
            </w:r>
          </w:p>
        </w:tc>
        <w:tc>
          <w:tcPr>
            <w:tcW w:w="7960" w:type="dxa"/>
            <w:vAlign w:val="bottom"/>
          </w:tcPr>
          <w:p>
            <w:pPr>
              <w:ind w:left="900"/>
              <w:spacing w:after="0"/>
              <w:rPr>
                <w:sz w:val="20"/>
                <w:szCs w:val="20"/>
                <w:color w:val="auto"/>
              </w:rPr>
            </w:pPr>
            <w:r>
              <w:rPr>
                <w:rFonts w:ascii="Arial" w:cs="Arial" w:eastAsia="Arial" w:hAnsi="Arial"/>
                <w:sz w:val="16"/>
                <w:szCs w:val="16"/>
                <w:color w:val="auto"/>
                <w:w w:val="89"/>
              </w:rPr>
              <w:t>whether interest will be payable in cash or additional Securities at the Company’s or the Securityholders’ option</w:t>
            </w:r>
          </w:p>
        </w:tc>
      </w:tr>
      <w:tr>
        <w:trPr>
          <w:trHeight w:val="200"/>
        </w:trPr>
        <w:tc>
          <w:tcPr>
            <w:tcW w:w="11080" w:type="dxa"/>
            <w:vAlign w:val="bottom"/>
            <w:gridSpan w:val="2"/>
          </w:tcPr>
          <w:p>
            <w:pPr>
              <w:spacing w:after="0"/>
              <w:rPr>
                <w:sz w:val="20"/>
                <w:szCs w:val="20"/>
                <w:color w:val="auto"/>
              </w:rPr>
            </w:pPr>
            <w:r>
              <w:rPr>
                <w:rFonts w:ascii="Arial" w:cs="Arial" w:eastAsia="Arial" w:hAnsi="Arial"/>
                <w:sz w:val="16"/>
                <w:szCs w:val="16"/>
                <w:color w:val="auto"/>
              </w:rPr>
              <w:t>and the terms and conditions upon which the election may be made;</w:t>
            </w:r>
          </w:p>
        </w:tc>
      </w:tr>
      <w:tr>
        <w:trPr>
          <w:trHeight w:val="307"/>
        </w:trPr>
        <w:tc>
          <w:tcPr>
            <w:tcW w:w="3120" w:type="dxa"/>
            <w:vAlign w:val="bottom"/>
          </w:tcPr>
          <w:p>
            <w:pPr>
              <w:jc w:val="right"/>
              <w:ind w:right="821"/>
              <w:spacing w:after="0"/>
              <w:rPr>
                <w:sz w:val="20"/>
                <w:szCs w:val="20"/>
                <w:color w:val="auto"/>
              </w:rPr>
            </w:pPr>
            <w:r>
              <w:rPr>
                <w:rFonts w:ascii="Arial" w:cs="Arial" w:eastAsia="Arial" w:hAnsi="Arial"/>
                <w:sz w:val="16"/>
                <w:szCs w:val="16"/>
                <w:b w:val="1"/>
                <w:bCs w:val="1"/>
                <w:color w:val="auto"/>
              </w:rPr>
              <w:t>(25)</w:t>
            </w:r>
          </w:p>
        </w:tc>
        <w:tc>
          <w:tcPr>
            <w:tcW w:w="7960" w:type="dxa"/>
            <w:vAlign w:val="bottom"/>
          </w:tcPr>
          <w:p>
            <w:pPr>
              <w:ind w:left="880"/>
              <w:spacing w:after="0"/>
              <w:rPr>
                <w:sz w:val="20"/>
                <w:szCs w:val="20"/>
                <w:color w:val="auto"/>
              </w:rPr>
            </w:pPr>
            <w:r>
              <w:rPr>
                <w:rFonts w:ascii="Arial" w:cs="Arial" w:eastAsia="Arial" w:hAnsi="Arial"/>
                <w:sz w:val="16"/>
                <w:szCs w:val="16"/>
                <w:color w:val="auto"/>
                <w:w w:val="91"/>
              </w:rPr>
              <w:t>the terms and conditions, if any, upon which the Company shall pay amounts in addition to the stated interest,</w:t>
            </w:r>
          </w:p>
        </w:tc>
      </w:tr>
    </w:tbl>
    <w:p>
      <w:pPr>
        <w:ind w:left="5580" w:right="1740" w:hanging="5589"/>
        <w:spacing w:after="0" w:line="376" w:lineRule="auto"/>
        <w:rPr>
          <w:sz w:val="20"/>
          <w:szCs w:val="20"/>
          <w:color w:val="auto"/>
        </w:rPr>
      </w:pPr>
      <w:r>
        <w:rPr>
          <w:rFonts w:ascii="Arial" w:cs="Arial" w:eastAsia="Arial" w:hAnsi="Arial"/>
          <w:sz w:val="16"/>
          <w:szCs w:val="16"/>
          <w:color w:val="auto"/>
        </w:rPr>
        <w:t>premium, if any and principal amounts of the Securities of the series to any Securityholder that is not a “United States person” for federal tax purposes;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370205</wp:posOffset>
            </wp:positionV>
            <wp:extent cx="716470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-64770</wp:posOffset>
            </wp:positionV>
            <wp:extent cx="561149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44" w:name="page45"/>
    <w:bookmarkEnd w:id="44"/>
    <w:p>
      <w:pPr>
        <w:ind w:left="2280" w:hanging="336"/>
        <w:spacing w:after="0"/>
        <w:tabs>
          <w:tab w:leader="none" w:pos="2280" w:val="left"/>
        </w:tabs>
        <w:numPr>
          <w:ilvl w:val="0"/>
          <w:numId w:val="35"/>
        </w:numPr>
        <w:rPr>
          <w:rFonts w:ascii="Arial" w:cs="Arial" w:eastAsia="Arial" w:hAnsi="Arial"/>
          <w:sz w:val="16"/>
          <w:szCs w:val="16"/>
          <w:b w:val="1"/>
          <w:bCs w:val="1"/>
          <w:color w:val="auto"/>
        </w:rPr>
      </w:pPr>
      <w:r>
        <w:rPr>
          <w:rFonts w:ascii="Arial" w:cs="Arial" w:eastAsia="Arial" w:hAnsi="Arial"/>
          <w:sz w:val="16"/>
          <w:szCs w:val="16"/>
          <w:color w:val="auto"/>
        </w:rPr>
        <w:t>any restrictions on transfer, sale or assignment of the Securities of the series; and</w:t>
      </w:r>
    </w:p>
    <w:p>
      <w:pPr>
        <w:spacing w:after="0" w:line="166" w:lineRule="exact"/>
        <w:rPr>
          <w:sz w:val="20"/>
          <w:szCs w:val="20"/>
          <w:color w:val="auto"/>
        </w:rPr>
      </w:pPr>
    </w:p>
    <w:p>
      <w:pPr>
        <w:ind w:right="60" w:firstLine="1956"/>
        <w:spacing w:after="0" w:line="273" w:lineRule="auto"/>
        <w:rPr>
          <w:sz w:val="20"/>
          <w:szCs w:val="20"/>
          <w:color w:val="auto"/>
        </w:rPr>
      </w:pPr>
      <w:r>
        <w:rPr>
          <w:rFonts w:ascii="Arial" w:cs="Arial" w:eastAsia="Arial" w:hAnsi="Arial"/>
          <w:sz w:val="16"/>
          <w:szCs w:val="16"/>
          <w:b w:val="1"/>
          <w:bCs w:val="1"/>
          <w:color w:val="auto"/>
        </w:rPr>
        <w:t xml:space="preserve">(27) </w:t>
      </w:r>
      <w:r>
        <w:rPr>
          <w:rFonts w:ascii="Arial" w:cs="Arial" w:eastAsia="Arial" w:hAnsi="Arial"/>
          <w:sz w:val="16"/>
          <w:szCs w:val="16"/>
          <w:color w:val="auto"/>
        </w:rPr>
        <w:t>any other specific terms, preferences, rights or limitations of, or restrictions on, the Securities, any other additions</w:t>
      </w:r>
      <w:r>
        <w:rPr>
          <w:rFonts w:ascii="Arial" w:cs="Arial" w:eastAsia="Arial" w:hAnsi="Arial"/>
          <w:sz w:val="16"/>
          <w:szCs w:val="16"/>
          <w:b w:val="1"/>
          <w:bCs w:val="1"/>
          <w:color w:val="auto"/>
        </w:rPr>
        <w:t xml:space="preserve"> </w:t>
      </w:r>
      <w:r>
        <w:rPr>
          <w:rFonts w:ascii="Arial" w:cs="Arial" w:eastAsia="Arial" w:hAnsi="Arial"/>
          <w:sz w:val="16"/>
          <w:szCs w:val="16"/>
          <w:color w:val="auto"/>
        </w:rPr>
        <w:t>or changes in the provisions of this Indenture, and any terms that may be required by us or advisable under applicable laws or regulations.</w:t>
      </w:r>
    </w:p>
    <w:p>
      <w:pPr>
        <w:spacing w:after="0" w:line="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All Securities of any one series shall be substantially identical except as may otherwise be provided in or pursuant to any such Board Resolution or in any indentures supplemental hereto.</w:t>
      </w:r>
    </w:p>
    <w:p>
      <w:pPr>
        <w:spacing w:after="0" w:line="87"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6"/>
          <w:szCs w:val="16"/>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1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2.02 Form of Securities and Trustee’s Certificate</w:t>
      </w:r>
      <w:r>
        <w:rPr>
          <w:rFonts w:ascii="Arial" w:cs="Arial" w:eastAsia="Arial" w:hAnsi="Arial"/>
          <w:sz w:val="16"/>
          <w:szCs w:val="16"/>
          <w:color w:val="auto"/>
        </w:rPr>
        <w:t>.</w:t>
      </w:r>
    </w:p>
    <w:p>
      <w:pPr>
        <w:spacing w:after="0" w:line="174"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5"/>
          <w:szCs w:val="15"/>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2.03 Denominations: Provisions for Payment</w:t>
      </w:r>
      <w:r>
        <w:rPr>
          <w:rFonts w:ascii="Arial" w:cs="Arial" w:eastAsia="Arial" w:hAnsi="Arial"/>
          <w:sz w:val="16"/>
          <w:szCs w:val="16"/>
          <w:color w:val="auto"/>
        </w:rPr>
        <w:t>.</w:t>
      </w:r>
    </w:p>
    <w:p>
      <w:pPr>
        <w:spacing w:after="0" w:line="17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45" w:name="page46"/>
    <w:bookmarkEnd w:id="45"/>
    <w:p>
      <w:pPr>
        <w:jc w:val="both"/>
        <w:ind w:firstLine="648"/>
        <w:spacing w:after="0" w:line="251" w:lineRule="auto"/>
        <w:rPr>
          <w:sz w:val="20"/>
          <w:szCs w:val="20"/>
          <w:color w:val="auto"/>
        </w:rPr>
      </w:pPr>
      <w:r>
        <w:rPr>
          <w:rFonts w:ascii="Arial" w:cs="Arial" w:eastAsia="Arial" w:hAnsi="Arial"/>
          <w:sz w:val="16"/>
          <w:szCs w:val="16"/>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0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78" w:lineRule="exact"/>
        <w:rPr>
          <w:sz w:val="20"/>
          <w:szCs w:val="20"/>
          <w:color w:val="auto"/>
        </w:rPr>
      </w:pPr>
    </w:p>
    <w:p>
      <w:pPr>
        <w:jc w:val="both"/>
        <w:ind w:firstLine="1956"/>
        <w:spacing w:after="0" w:line="312" w:lineRule="auto"/>
        <w:rPr>
          <w:sz w:val="20"/>
          <w:szCs w:val="20"/>
          <w:color w:val="auto"/>
        </w:rPr>
      </w:pPr>
      <w:r>
        <w:rPr>
          <w:rFonts w:ascii="Arial" w:cs="Arial" w:eastAsia="Arial" w:hAnsi="Arial"/>
          <w:sz w:val="13"/>
          <w:szCs w:val="13"/>
          <w:b w:val="1"/>
          <w:bCs w:val="1"/>
          <w:color w:val="auto"/>
        </w:rPr>
        <w:t xml:space="preserve">(1) </w:t>
      </w:r>
      <w:r>
        <w:rPr>
          <w:rFonts w:ascii="Arial" w:cs="Arial" w:eastAsia="Arial" w:hAnsi="Arial"/>
          <w:sz w:val="13"/>
          <w:szCs w:val="13"/>
          <w:color w:val="auto"/>
        </w:rPr>
        <w:t>The Company may make payment of any Defaulted Interest on Securities to the Persons in whose names such</w:t>
      </w:r>
      <w:r>
        <w:rPr>
          <w:rFonts w:ascii="Arial" w:cs="Arial" w:eastAsia="Arial" w:hAnsi="Arial"/>
          <w:sz w:val="13"/>
          <w:szCs w:val="13"/>
          <w:b w:val="1"/>
          <w:bCs w:val="1"/>
          <w:color w:val="auto"/>
        </w:rPr>
        <w:t xml:space="preserve"> </w:t>
      </w:r>
      <w:r>
        <w:rPr>
          <w:rFonts w:ascii="Arial" w:cs="Arial" w:eastAsia="Arial" w:hAnsi="Arial"/>
          <w:sz w:val="13"/>
          <w:szCs w:val="13"/>
          <w:color w:val="auto"/>
        </w:rPr>
        <w:t>Securities (or their respective Predecessor Securities) 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w:t>
      </w:r>
    </w:p>
    <w:p>
      <w:pPr>
        <w:spacing w:after="0" w:line="254" w:lineRule="exact"/>
        <w:rPr>
          <w:sz w:val="20"/>
          <w:szCs w:val="20"/>
          <w:color w:val="auto"/>
        </w:rPr>
      </w:pPr>
    </w:p>
    <w:p>
      <w:pPr>
        <w:jc w:val="both"/>
        <w:ind w:firstLine="1956"/>
        <w:spacing w:after="0" w:line="285" w:lineRule="auto"/>
        <w:rPr>
          <w:sz w:val="20"/>
          <w:szCs w:val="20"/>
          <w:color w:val="auto"/>
        </w:rPr>
      </w:pPr>
      <w:r>
        <w:rPr>
          <w:rFonts w:ascii="Arial" w:cs="Arial" w:eastAsia="Arial" w:hAnsi="Arial"/>
          <w:sz w:val="15"/>
          <w:szCs w:val="15"/>
          <w:b w:val="1"/>
          <w:bCs w:val="1"/>
          <w:color w:val="auto"/>
        </w:rPr>
        <w:t xml:space="preserve">(2) </w:t>
      </w:r>
      <w:r>
        <w:rPr>
          <w:rFonts w:ascii="Arial" w:cs="Arial" w:eastAsia="Arial" w:hAnsi="Arial"/>
          <w:sz w:val="15"/>
          <w:szCs w:val="15"/>
          <w:color w:val="auto"/>
        </w:rPr>
        <w:t>The Company may make payment of any Defaulted Interest on any Securities in any other lawful manner not</w:t>
      </w:r>
      <w:r>
        <w:rPr>
          <w:rFonts w:ascii="Arial" w:cs="Arial" w:eastAsia="Arial" w:hAnsi="Arial"/>
          <w:sz w:val="15"/>
          <w:szCs w:val="15"/>
          <w:b w:val="1"/>
          <w:bCs w:val="1"/>
          <w:color w:val="auto"/>
        </w:rPr>
        <w:t xml:space="preserve"> </w:t>
      </w:r>
      <w:r>
        <w:rPr>
          <w:rFonts w:ascii="Arial" w:cs="Arial" w:eastAsia="Arial" w:hAnsi="Arial"/>
          <w:sz w:val="15"/>
          <w:szCs w:val="15"/>
          <w:color w:val="auto"/>
        </w:rPr>
        <w:t>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46" w:name="page47"/>
    <w:bookmarkEnd w:id="46"/>
    <w:p>
      <w:pPr>
        <w:jc w:val="both"/>
        <w:ind w:left="5" w:firstLine="648"/>
        <w:spacing w:after="0" w:line="272" w:lineRule="auto"/>
        <w:rPr>
          <w:sz w:val="20"/>
          <w:szCs w:val="20"/>
          <w:color w:val="auto"/>
        </w:rPr>
      </w:pPr>
      <w:r>
        <w:rPr>
          <w:rFonts w:ascii="Arial" w:cs="Arial" w:eastAsia="Arial" w:hAnsi="Arial"/>
          <w:sz w:val="15"/>
          <w:szCs w:val="15"/>
          <w:color w:val="auto"/>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110" w:lineRule="exact"/>
        <w:rPr>
          <w:sz w:val="20"/>
          <w:szCs w:val="20"/>
          <w:color w:val="auto"/>
        </w:rPr>
      </w:pPr>
    </w:p>
    <w:p>
      <w:pPr>
        <w:jc w:val="both"/>
        <w:ind w:left="5" w:right="20" w:firstLine="648"/>
        <w:spacing w:after="0" w:line="267" w:lineRule="auto"/>
        <w:rPr>
          <w:sz w:val="20"/>
          <w:szCs w:val="20"/>
          <w:color w:val="auto"/>
        </w:rPr>
      </w:pPr>
      <w:r>
        <w:rPr>
          <w:rFonts w:ascii="Arial" w:cs="Arial" w:eastAsia="Arial" w:hAnsi="Arial"/>
          <w:sz w:val="16"/>
          <w:szCs w:val="16"/>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59" w:lineRule="exact"/>
        <w:rPr>
          <w:sz w:val="20"/>
          <w:szCs w:val="20"/>
          <w:color w:val="auto"/>
        </w:rPr>
      </w:pPr>
    </w:p>
    <w:p>
      <w:pPr>
        <w:ind w:left="665"/>
        <w:spacing w:after="0"/>
        <w:rPr>
          <w:sz w:val="20"/>
          <w:szCs w:val="20"/>
          <w:color w:val="auto"/>
        </w:rPr>
      </w:pPr>
      <w:r>
        <w:rPr>
          <w:rFonts w:ascii="Arial" w:cs="Arial" w:eastAsia="Arial" w:hAnsi="Arial"/>
          <w:sz w:val="16"/>
          <w:szCs w:val="16"/>
          <w:b w:val="1"/>
          <w:bCs w:val="1"/>
          <w:color w:val="auto"/>
        </w:rPr>
        <w:t>Section 2.04 Execution and Authentications</w:t>
      </w:r>
      <w:r>
        <w:rPr>
          <w:rFonts w:ascii="Arial" w:cs="Arial" w:eastAsia="Arial" w:hAnsi="Arial"/>
          <w:sz w:val="16"/>
          <w:szCs w:val="16"/>
          <w:color w:val="auto"/>
        </w:rPr>
        <w:t>.</w:t>
      </w:r>
    </w:p>
    <w:p>
      <w:pPr>
        <w:spacing w:after="0" w:line="174" w:lineRule="exact"/>
        <w:rPr>
          <w:sz w:val="20"/>
          <w:szCs w:val="20"/>
          <w:color w:val="auto"/>
        </w:rPr>
      </w:pPr>
    </w:p>
    <w:p>
      <w:pPr>
        <w:ind w:left="665"/>
        <w:spacing w:after="0"/>
        <w:rPr>
          <w:sz w:val="20"/>
          <w:szCs w:val="20"/>
          <w:color w:val="auto"/>
        </w:rPr>
      </w:pPr>
      <w:r>
        <w:rPr>
          <w:rFonts w:ascii="Arial" w:cs="Arial" w:eastAsia="Arial" w:hAnsi="Arial"/>
          <w:sz w:val="16"/>
          <w:szCs w:val="16"/>
          <w:color w:val="auto"/>
        </w:rPr>
        <w:t>The Securities shall be signed on behalf of the Company by one of its Officers. Signatures may be in the form of a manual or facsimile signature.</w:t>
      </w:r>
    </w:p>
    <w:p>
      <w:pPr>
        <w:spacing w:after="0" w:line="194" w:lineRule="exact"/>
        <w:rPr>
          <w:sz w:val="20"/>
          <w:szCs w:val="20"/>
          <w:color w:val="auto"/>
        </w:rPr>
      </w:pPr>
    </w:p>
    <w:p>
      <w:pPr>
        <w:jc w:val="both"/>
        <w:ind w:left="5" w:right="20" w:firstLine="648"/>
        <w:spacing w:after="0" w:line="282" w:lineRule="auto"/>
        <w:rPr>
          <w:sz w:val="20"/>
          <w:szCs w:val="20"/>
          <w:color w:val="auto"/>
        </w:rPr>
      </w:pPr>
      <w:r>
        <w:rPr>
          <w:rFonts w:ascii="Arial" w:cs="Arial" w:eastAsia="Arial" w:hAnsi="Arial"/>
          <w:sz w:val="15"/>
          <w:szCs w:val="15"/>
          <w:color w:val="auto"/>
        </w:rPr>
        <w:t>The Company may use the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01" w:lineRule="exact"/>
        <w:rPr>
          <w:sz w:val="20"/>
          <w:szCs w:val="20"/>
          <w:color w:val="auto"/>
        </w:rPr>
      </w:pPr>
    </w:p>
    <w:p>
      <w:pPr>
        <w:jc w:val="both"/>
        <w:ind w:left="5" w:firstLine="648"/>
        <w:spacing w:after="0" w:line="251" w:lineRule="auto"/>
        <w:rPr>
          <w:sz w:val="20"/>
          <w:szCs w:val="20"/>
          <w:color w:val="auto"/>
        </w:rPr>
      </w:pPr>
      <w:r>
        <w:rPr>
          <w:rFonts w:ascii="Arial" w:cs="Arial" w:eastAsia="Arial" w:hAnsi="Arial"/>
          <w:sz w:val="16"/>
          <w:szCs w:val="16"/>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spacing w:after="0" w:line="101" w:lineRule="exact"/>
        <w:rPr>
          <w:sz w:val="20"/>
          <w:szCs w:val="20"/>
          <w:color w:val="auto"/>
        </w:rPr>
      </w:pPr>
    </w:p>
    <w:p>
      <w:pPr>
        <w:jc w:val="both"/>
        <w:ind w:left="5" w:right="20" w:firstLine="648"/>
        <w:spacing w:after="0" w:line="312" w:lineRule="auto"/>
        <w:rPr>
          <w:sz w:val="20"/>
          <w:szCs w:val="20"/>
          <w:color w:val="auto"/>
        </w:rPr>
      </w:pPr>
      <w:r>
        <w:rPr>
          <w:rFonts w:ascii="Arial" w:cs="Arial" w:eastAsia="Arial" w:hAnsi="Arial"/>
          <w:sz w:val="13"/>
          <w:szCs w:val="13"/>
          <w:color w:val="auto"/>
        </w:rPr>
        <w:t>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w:t>
      </w:r>
    </w:p>
    <w:p>
      <w:pPr>
        <w:spacing w:after="0" w:line="1" w:lineRule="exact"/>
        <w:rPr>
          <w:sz w:val="20"/>
          <w:szCs w:val="20"/>
          <w:color w:val="auto"/>
        </w:rPr>
      </w:pPr>
    </w:p>
    <w:p>
      <w:pPr>
        <w:ind w:left="5" w:right="20" w:hanging="5"/>
        <w:spacing w:after="0" w:line="253" w:lineRule="auto"/>
        <w:tabs>
          <w:tab w:leader="none" w:pos="248"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 Officer’s Certificate stating that all conditions precedent to the execution, authentication and delivery of such Securities are in conformity with the provisions of this Indenture.</w:t>
      </w:r>
    </w:p>
    <w:p>
      <w:pPr>
        <w:spacing w:after="0" w:line="121" w:lineRule="exact"/>
        <w:rPr>
          <w:sz w:val="20"/>
          <w:szCs w:val="20"/>
          <w:color w:val="auto"/>
        </w:rPr>
      </w:pPr>
    </w:p>
    <w:p>
      <w:pPr>
        <w:ind w:left="5" w:firstLine="648"/>
        <w:spacing w:after="0" w:line="267" w:lineRule="auto"/>
        <w:rPr>
          <w:sz w:val="20"/>
          <w:szCs w:val="20"/>
          <w:color w:val="auto"/>
        </w:rPr>
      </w:pPr>
      <w:r>
        <w:rPr>
          <w:rFonts w:ascii="Arial" w:cs="Arial" w:eastAsia="Arial" w:hAnsi="Arial"/>
          <w:sz w:val="16"/>
          <w:szCs w:val="16"/>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63"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446405</wp:posOffset>
            </wp:positionV>
            <wp:extent cx="716470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11430</wp:posOffset>
            </wp:positionV>
            <wp:extent cx="561149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5"/>
          </w:cols>
          <w:pgMar w:left="315" w:top="328" w:right="319" w:bottom="1440" w:gutter="0" w:footer="0" w:header="0"/>
        </w:sectPr>
      </w:pPr>
    </w:p>
    <w:bookmarkStart w:id="47" w:name="page48"/>
    <w:bookmarkEnd w:id="47"/>
    <w:p>
      <w:pPr>
        <w:ind w:left="660"/>
        <w:spacing w:after="0"/>
        <w:rPr>
          <w:sz w:val="20"/>
          <w:szCs w:val="20"/>
          <w:color w:val="auto"/>
        </w:rPr>
      </w:pPr>
      <w:r>
        <w:rPr>
          <w:rFonts w:ascii="Arial" w:cs="Arial" w:eastAsia="Arial" w:hAnsi="Arial"/>
          <w:sz w:val="16"/>
          <w:szCs w:val="16"/>
          <w:b w:val="1"/>
          <w:bCs w:val="1"/>
          <w:color w:val="auto"/>
        </w:rPr>
        <w:t>Section 2.05 Registration of Transfer and Exchange</w:t>
      </w:r>
      <w:r>
        <w:rPr>
          <w:rFonts w:ascii="Arial" w:cs="Arial" w:eastAsia="Arial" w:hAnsi="Arial"/>
          <w:sz w:val="16"/>
          <w:szCs w:val="16"/>
          <w:color w:val="auto"/>
        </w:rPr>
        <w:t>.</w:t>
      </w:r>
    </w:p>
    <w:p>
      <w:pPr>
        <w:spacing w:after="0" w:line="174" w:lineRule="exact"/>
        <w:rPr>
          <w:sz w:val="20"/>
          <w:szCs w:val="20"/>
          <w:color w:val="auto"/>
        </w:rPr>
      </w:pPr>
    </w:p>
    <w:p>
      <w:pPr>
        <w:jc w:val="both"/>
        <w:ind w:firstLine="1301"/>
        <w:spacing w:after="0" w:line="251" w:lineRule="auto"/>
        <w:tabs>
          <w:tab w:leader="none" w:pos="2718" w:val="left"/>
        </w:tabs>
        <w:numPr>
          <w:ilvl w:val="0"/>
          <w:numId w:val="37"/>
        </w:numPr>
        <w:rPr>
          <w:rFonts w:ascii="Arial" w:cs="Arial" w:eastAsia="Arial" w:hAnsi="Arial"/>
          <w:sz w:val="16"/>
          <w:szCs w:val="16"/>
          <w:b w:val="1"/>
          <w:bCs w:val="1"/>
          <w:color w:val="auto"/>
        </w:rPr>
      </w:pPr>
      <w:r>
        <w:rPr>
          <w:rFonts w:ascii="Arial" w:cs="Arial" w:eastAsia="Arial" w:hAnsi="Arial"/>
          <w:sz w:val="16"/>
          <w:szCs w:val="16"/>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01" w:lineRule="exact"/>
        <w:rPr>
          <w:rFonts w:ascii="Arial" w:cs="Arial" w:eastAsia="Arial" w:hAnsi="Arial"/>
          <w:sz w:val="16"/>
          <w:szCs w:val="16"/>
          <w:b w:val="1"/>
          <w:bCs w:val="1"/>
          <w:color w:val="auto"/>
        </w:rPr>
      </w:pPr>
    </w:p>
    <w:p>
      <w:pPr>
        <w:jc w:val="both"/>
        <w:ind w:right="20" w:firstLine="1301"/>
        <w:spacing w:after="0" w:line="275" w:lineRule="auto"/>
        <w:tabs>
          <w:tab w:leader="none" w:pos="2727" w:val="left"/>
        </w:tabs>
        <w:numPr>
          <w:ilvl w:val="0"/>
          <w:numId w:val="37"/>
        </w:numPr>
        <w:rPr>
          <w:rFonts w:ascii="Arial" w:cs="Arial" w:eastAsia="Arial" w:hAnsi="Arial"/>
          <w:sz w:val="15"/>
          <w:szCs w:val="15"/>
          <w:b w:val="1"/>
          <w:bCs w:val="1"/>
          <w:color w:val="auto"/>
        </w:rPr>
      </w:pPr>
      <w:r>
        <w:rPr>
          <w:rFonts w:ascii="Arial" w:cs="Arial" w:eastAsia="Arial" w:hAnsi="Arial"/>
          <w:sz w:val="15"/>
          <w:szCs w:val="15"/>
          <w:color w:val="auto"/>
        </w:rPr>
        <w:t>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“Security Registrar”).</w:t>
      </w:r>
    </w:p>
    <w:p>
      <w:pPr>
        <w:spacing w:after="0" w:line="107"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6"/>
          <w:szCs w:val="16"/>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initially appoints the Trustee as Security Registrar for each series of Securities.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18" w:lineRule="exact"/>
        <w:rPr>
          <w:sz w:val="20"/>
          <w:szCs w:val="20"/>
          <w:color w:val="auto"/>
        </w:rPr>
      </w:pPr>
    </w:p>
    <w:p>
      <w:pPr>
        <w:jc w:val="both"/>
        <w:ind w:right="20" w:firstLine="1301"/>
        <w:spacing w:after="0" w:line="251" w:lineRule="auto"/>
        <w:tabs>
          <w:tab w:leader="none" w:pos="2693" w:val="left"/>
        </w:tabs>
        <w:numPr>
          <w:ilvl w:val="0"/>
          <w:numId w:val="38"/>
        </w:numPr>
        <w:rPr>
          <w:rFonts w:ascii="Arial" w:cs="Arial" w:eastAsia="Arial" w:hAnsi="Arial"/>
          <w:sz w:val="16"/>
          <w:szCs w:val="16"/>
          <w:b w:val="1"/>
          <w:bCs w:val="1"/>
          <w:color w:val="auto"/>
        </w:rPr>
      </w:pPr>
      <w:r>
        <w:rPr>
          <w:rFonts w:ascii="Arial" w:cs="Arial" w:eastAsia="Arial" w:hAnsi="Arial"/>
          <w:sz w:val="16"/>
          <w:szCs w:val="16"/>
          <w:color w:val="auto"/>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w:t>
      </w:r>
    </w:p>
    <w:p>
      <w:pPr>
        <w:spacing w:after="0" w:line="101" w:lineRule="exact"/>
        <w:rPr>
          <w:rFonts w:ascii="Arial" w:cs="Arial" w:eastAsia="Arial" w:hAnsi="Arial"/>
          <w:sz w:val="16"/>
          <w:szCs w:val="16"/>
          <w:b w:val="1"/>
          <w:bCs w:val="1"/>
          <w:color w:val="auto"/>
        </w:rPr>
      </w:pPr>
    </w:p>
    <w:p>
      <w:pPr>
        <w:jc w:val="both"/>
        <w:ind w:firstLine="1301"/>
        <w:spacing w:after="0" w:line="272" w:lineRule="auto"/>
        <w:tabs>
          <w:tab w:leader="none" w:pos="2727" w:val="left"/>
        </w:tabs>
        <w:numPr>
          <w:ilvl w:val="0"/>
          <w:numId w:val="38"/>
        </w:numPr>
        <w:rPr>
          <w:rFonts w:ascii="Arial" w:cs="Arial" w:eastAsia="Arial" w:hAnsi="Arial"/>
          <w:sz w:val="15"/>
          <w:szCs w:val="15"/>
          <w:b w:val="1"/>
          <w:bCs w:val="1"/>
          <w:color w:val="auto"/>
        </w:rPr>
      </w:pPr>
      <w:r>
        <w:rPr>
          <w:rFonts w:ascii="Arial" w:cs="Arial" w:eastAsia="Arial" w:hAnsi="Arial"/>
          <w:sz w:val="15"/>
          <w:szCs w:val="15"/>
          <w:color w:val="auto"/>
        </w:rPr>
        <w:t>The Company and the Security Registrar shall not be required (i) to issue, exchange or register the transfer of any Securities during a period beginning at the opening of business 15 days before the day of the sending of a notice of redemption of less than all the Outstanding Securities of the same series and ending at the close of business on the day of such sending, nor (ii) to register the transfer of or exchange any Securities of any series or portions 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48" w:name="page49"/>
    <w:bookmarkEnd w:id="48"/>
    <w:p>
      <w:pPr>
        <w:jc w:val="both"/>
        <w:ind w:right="20" w:firstLine="648"/>
        <w:spacing w:after="0" w:line="275" w:lineRule="auto"/>
        <w:rPr>
          <w:sz w:val="20"/>
          <w:szCs w:val="20"/>
          <w:color w:val="auto"/>
        </w:rPr>
      </w:pPr>
      <w:r>
        <w:rPr>
          <w:rFonts w:ascii="Arial" w:cs="Arial" w:eastAsia="Arial" w:hAnsi="Arial"/>
          <w:sz w:val="15"/>
          <w:szCs w:val="15"/>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2.06 Temporary Securities</w:t>
      </w:r>
      <w:r>
        <w:rPr>
          <w:rFonts w:ascii="Arial" w:cs="Arial" w:eastAsia="Arial" w:hAnsi="Arial"/>
          <w:sz w:val="16"/>
          <w:szCs w:val="16"/>
          <w:color w:val="auto"/>
        </w:rPr>
        <w:t>.</w:t>
      </w:r>
    </w:p>
    <w:p>
      <w:pPr>
        <w:spacing w:after="0" w:line="17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2.07 Mutilated, Destroyed, Lost or Stolen Securities</w:t>
      </w:r>
      <w:r>
        <w:rPr>
          <w:rFonts w:ascii="Arial" w:cs="Arial" w:eastAsia="Arial" w:hAnsi="Arial"/>
          <w:sz w:val="16"/>
          <w:szCs w:val="16"/>
          <w:color w:val="auto"/>
        </w:rPr>
        <w:t>.</w:t>
      </w:r>
    </w:p>
    <w:p>
      <w:pPr>
        <w:spacing w:after="0" w:line="174"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3"/>
          <w:szCs w:val="13"/>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49" w:name="page50"/>
    <w:bookmarkEnd w:id="49"/>
    <w:p>
      <w:pPr>
        <w:jc w:val="both"/>
        <w:ind w:firstLine="648"/>
        <w:spacing w:after="0" w:line="253" w:lineRule="auto"/>
        <w:rPr>
          <w:sz w:val="20"/>
          <w:szCs w:val="20"/>
          <w:color w:val="auto"/>
        </w:rPr>
      </w:pPr>
      <w:r>
        <w:rPr>
          <w:rFonts w:ascii="Arial" w:cs="Arial" w:eastAsia="Arial" w:hAnsi="Arial"/>
          <w:sz w:val="16"/>
          <w:szCs w:val="16"/>
          <w:color w:val="auto"/>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2.08 Cancellation</w:t>
      </w:r>
      <w:r>
        <w:rPr>
          <w:rFonts w:ascii="Arial" w:cs="Arial" w:eastAsia="Arial" w:hAnsi="Arial"/>
          <w:sz w:val="16"/>
          <w:szCs w:val="16"/>
          <w:color w:val="auto"/>
        </w:rPr>
        <w:t>.</w:t>
      </w:r>
    </w:p>
    <w:p>
      <w:pPr>
        <w:spacing w:after="0" w:line="174"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3"/>
          <w:szCs w:val="13"/>
          <w:color w:val="auto"/>
        </w:rPr>
        <w:t>All Securities surrendered for the purpose of payment, redemption, repurchase, exchange,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2.09 Benefits of Indenture</w:t>
      </w:r>
      <w:r>
        <w:rPr>
          <w:rFonts w:ascii="Arial" w:cs="Arial" w:eastAsia="Arial" w:hAnsi="Arial"/>
          <w:sz w:val="16"/>
          <w:szCs w:val="16"/>
          <w:color w:val="auto"/>
        </w:rPr>
        <w:t>.</w:t>
      </w:r>
    </w:p>
    <w:p>
      <w:pPr>
        <w:spacing w:after="0" w:line="1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50" w:name="page51"/>
    <w:bookmarkEnd w:id="50"/>
    <w:p>
      <w:pPr>
        <w:ind w:left="660"/>
        <w:spacing w:after="0"/>
        <w:rPr>
          <w:sz w:val="20"/>
          <w:szCs w:val="20"/>
          <w:color w:val="auto"/>
        </w:rPr>
      </w:pPr>
      <w:r>
        <w:rPr>
          <w:rFonts w:ascii="Arial" w:cs="Arial" w:eastAsia="Arial" w:hAnsi="Arial"/>
          <w:sz w:val="16"/>
          <w:szCs w:val="16"/>
          <w:b w:val="1"/>
          <w:bCs w:val="1"/>
          <w:color w:val="auto"/>
        </w:rPr>
        <w:t>Section 2.10 Authenticating Agent</w:t>
      </w:r>
      <w:r>
        <w:rPr>
          <w:rFonts w:ascii="Arial" w:cs="Arial" w:eastAsia="Arial" w:hAnsi="Arial"/>
          <w:sz w:val="16"/>
          <w:szCs w:val="16"/>
          <w:color w:val="auto"/>
        </w:rPr>
        <w:t>.</w:t>
      </w:r>
    </w:p>
    <w:p>
      <w:pPr>
        <w:spacing w:after="0" w:line="174"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3"/>
          <w:szCs w:val="13"/>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25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2.11 Global Securities</w:t>
      </w:r>
      <w:r>
        <w:rPr>
          <w:rFonts w:ascii="Arial" w:cs="Arial" w:eastAsia="Arial" w:hAnsi="Arial"/>
          <w:sz w:val="16"/>
          <w:szCs w:val="16"/>
          <w:color w:val="auto"/>
        </w:rPr>
        <w:t>.</w:t>
      </w:r>
    </w:p>
    <w:p>
      <w:pPr>
        <w:spacing w:after="0" w:line="174" w:lineRule="exact"/>
        <w:rPr>
          <w:sz w:val="20"/>
          <w:szCs w:val="20"/>
          <w:color w:val="auto"/>
        </w:rPr>
      </w:pPr>
    </w:p>
    <w:p>
      <w:pPr>
        <w:jc w:val="both"/>
        <w:ind w:firstLine="1301"/>
        <w:spacing w:after="0" w:line="319" w:lineRule="auto"/>
        <w:tabs>
          <w:tab w:leader="none" w:pos="2702" w:val="left"/>
        </w:tabs>
        <w:numPr>
          <w:ilvl w:val="0"/>
          <w:numId w:val="39"/>
        </w:numPr>
        <w:rPr>
          <w:rFonts w:ascii="Arial" w:cs="Arial" w:eastAsia="Arial" w:hAnsi="Arial"/>
          <w:sz w:val="13"/>
          <w:szCs w:val="13"/>
          <w:b w:val="1"/>
          <w:bCs w:val="1"/>
          <w:color w:val="auto"/>
        </w:rPr>
      </w:pPr>
      <w:r>
        <w:rPr>
          <w:rFonts w:ascii="Arial" w:cs="Arial" w:eastAsia="Arial" w:hAnsi="Arial"/>
          <w:sz w:val="13"/>
          <w:szCs w:val="13"/>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60" w:lineRule="exact"/>
        <w:rPr>
          <w:rFonts w:ascii="Arial" w:cs="Arial" w:eastAsia="Arial" w:hAnsi="Arial"/>
          <w:sz w:val="13"/>
          <w:szCs w:val="13"/>
          <w:b w:val="1"/>
          <w:bCs w:val="1"/>
          <w:color w:val="auto"/>
        </w:rPr>
      </w:pPr>
    </w:p>
    <w:p>
      <w:pPr>
        <w:jc w:val="both"/>
        <w:ind w:firstLine="1301"/>
        <w:spacing w:after="0" w:line="257" w:lineRule="auto"/>
        <w:tabs>
          <w:tab w:leader="none" w:pos="2727" w:val="left"/>
        </w:tabs>
        <w:numPr>
          <w:ilvl w:val="0"/>
          <w:numId w:val="39"/>
        </w:numPr>
        <w:rPr>
          <w:rFonts w:ascii="Arial" w:cs="Arial" w:eastAsia="Arial" w:hAnsi="Arial"/>
          <w:sz w:val="16"/>
          <w:szCs w:val="16"/>
          <w:b w:val="1"/>
          <w:bCs w:val="1"/>
          <w:color w:val="auto"/>
        </w:rPr>
      </w:pPr>
      <w:r>
        <w:rPr>
          <w:rFonts w:ascii="Arial" w:cs="Arial" w:eastAsia="Arial" w:hAnsi="Arial"/>
          <w:sz w:val="16"/>
          <w:szCs w:val="16"/>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51" w:name="page52"/>
    <w:bookmarkEnd w:id="51"/>
    <w:p>
      <w:pPr>
        <w:jc w:val="both"/>
        <w:ind w:firstLine="1301"/>
        <w:spacing w:after="0" w:line="310" w:lineRule="auto"/>
        <w:tabs>
          <w:tab w:leader="none" w:pos="2693" w:val="left"/>
        </w:tabs>
        <w:numPr>
          <w:ilvl w:val="0"/>
          <w:numId w:val="40"/>
        </w:numPr>
        <w:rPr>
          <w:rFonts w:ascii="Arial" w:cs="Arial" w:eastAsia="Arial" w:hAnsi="Arial"/>
          <w:sz w:val="13"/>
          <w:szCs w:val="13"/>
          <w:b w:val="1"/>
          <w:bCs w:val="1"/>
          <w:color w:val="auto"/>
        </w:rPr>
      </w:pPr>
      <w:r>
        <w:rPr>
          <w:rFonts w:ascii="Arial" w:cs="Arial" w:eastAsia="Arial" w:hAnsi="Arial"/>
          <w:sz w:val="13"/>
          <w:szCs w:val="13"/>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2.12 CUSIP Numbers</w:t>
      </w:r>
      <w:r>
        <w:rPr>
          <w:rFonts w:ascii="Arial" w:cs="Arial" w:eastAsia="Arial" w:hAnsi="Arial"/>
          <w:sz w:val="16"/>
          <w:szCs w:val="16"/>
          <w:color w:val="auto"/>
        </w:rPr>
        <w:t>.</w:t>
      </w:r>
    </w:p>
    <w:p>
      <w:pPr>
        <w:spacing w:after="0" w:line="174" w:lineRule="exact"/>
        <w:rPr>
          <w:sz w:val="20"/>
          <w:szCs w:val="20"/>
          <w:color w:val="auto"/>
        </w:rPr>
      </w:pPr>
    </w:p>
    <w:p>
      <w:pPr>
        <w:jc w:val="both"/>
        <w:ind w:right="20" w:firstLine="648"/>
        <w:spacing w:after="0" w:line="330" w:lineRule="auto"/>
        <w:rPr>
          <w:sz w:val="20"/>
          <w:szCs w:val="20"/>
          <w:color w:val="auto"/>
        </w:rPr>
      </w:pPr>
      <w:r>
        <w:rPr>
          <w:rFonts w:ascii="Arial" w:cs="Arial" w:eastAsia="Arial" w:hAnsi="Arial"/>
          <w:sz w:val="13"/>
          <w:szCs w:val="13"/>
          <w:color w:val="auto"/>
        </w:rPr>
        <w:t>The Company in issuing the Securities may use “CUSIP” numbers (if then generally in use), and, if so, the Trustee shall use “CUSIP” numbers in notices of redemption as a convenience to Securityholders;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“CUSIP” numbers.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52" w:name="page53"/>
    <w:bookmarkEnd w:id="52"/>
    <w:p>
      <w:pPr>
        <w:jc w:val="center"/>
        <w:spacing w:after="0"/>
        <w:rPr>
          <w:sz w:val="20"/>
          <w:szCs w:val="20"/>
          <w:color w:val="auto"/>
        </w:rPr>
      </w:pPr>
      <w:r>
        <w:rPr>
          <w:rFonts w:ascii="Arial" w:cs="Arial" w:eastAsia="Arial" w:hAnsi="Arial"/>
          <w:sz w:val="16"/>
          <w:szCs w:val="16"/>
          <w:b w:val="1"/>
          <w:bCs w:val="1"/>
          <w:color w:val="auto"/>
        </w:rPr>
        <w:t>ARTICLE 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REDEMPTION OF SECURITIES AND SINKING FUND PROVISIONS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3.01 Redemption</w:t>
      </w:r>
      <w:r>
        <w:rPr>
          <w:rFonts w:ascii="Arial" w:cs="Arial" w:eastAsia="Arial" w:hAnsi="Arial"/>
          <w:sz w:val="16"/>
          <w:szCs w:val="16"/>
          <w:color w:val="auto"/>
        </w:rPr>
        <w:t>.</w:t>
      </w:r>
    </w:p>
    <w:p>
      <w:pPr>
        <w:spacing w:after="0" w:line="174" w:lineRule="exact"/>
        <w:rPr>
          <w:sz w:val="20"/>
          <w:szCs w:val="20"/>
          <w:color w:val="auto"/>
        </w:rPr>
      </w:pPr>
    </w:p>
    <w:p>
      <w:pPr>
        <w:ind w:right="140" w:firstLine="647"/>
        <w:spacing w:after="0" w:line="267" w:lineRule="auto"/>
        <w:rPr>
          <w:sz w:val="20"/>
          <w:szCs w:val="20"/>
          <w:color w:val="auto"/>
        </w:rPr>
      </w:pPr>
      <w:r>
        <w:rPr>
          <w:rFonts w:ascii="Arial" w:cs="Arial" w:eastAsia="Arial" w:hAnsi="Arial"/>
          <w:sz w:val="16"/>
          <w:szCs w:val="16"/>
          <w:color w:val="auto"/>
        </w:rPr>
        <w:t>The Company may redeem the Securities of any series issued hereunder on and after the dates and in accordance with the terms established for such series pursuant to Section 2.01 hereof.</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3.02 Notice of Redemption</w:t>
      </w:r>
      <w:r>
        <w:rPr>
          <w:rFonts w:ascii="Arial" w:cs="Arial" w:eastAsia="Arial" w:hAnsi="Arial"/>
          <w:sz w:val="16"/>
          <w:szCs w:val="16"/>
          <w:color w:val="auto"/>
        </w:rPr>
        <w:t>.</w:t>
      </w:r>
    </w:p>
    <w:p>
      <w:pPr>
        <w:spacing w:after="0" w:line="174" w:lineRule="exact"/>
        <w:rPr>
          <w:sz w:val="20"/>
          <w:szCs w:val="20"/>
          <w:color w:val="auto"/>
        </w:rPr>
      </w:pPr>
    </w:p>
    <w:p>
      <w:pPr>
        <w:jc w:val="both"/>
        <w:ind w:firstLine="1301"/>
        <w:spacing w:after="0" w:line="314" w:lineRule="auto"/>
        <w:tabs>
          <w:tab w:leader="none" w:pos="2702" w:val="left"/>
        </w:tabs>
        <w:numPr>
          <w:ilvl w:val="0"/>
          <w:numId w:val="41"/>
        </w:numPr>
        <w:rPr>
          <w:rFonts w:ascii="Arial" w:cs="Arial" w:eastAsia="Arial" w:hAnsi="Arial"/>
          <w:sz w:val="13"/>
          <w:szCs w:val="13"/>
          <w:b w:val="1"/>
          <w:bCs w:val="1"/>
          <w:color w:val="auto"/>
        </w:rPr>
      </w:pPr>
      <w:r>
        <w:rPr>
          <w:rFonts w:ascii="Arial" w:cs="Arial" w:eastAsia="Arial" w:hAnsi="Arial"/>
          <w:sz w:val="13"/>
          <w:szCs w:val="13"/>
          <w:color w:val="auto"/>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(or with regard to any Global Security held in book entry form, by electronic mail in accordance with the applicable procedures of the Depositary), a notice of such redemption not less than 30 days and not more than 90 days before the date fixed for redemption 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255" w:lineRule="exact"/>
        <w:rPr>
          <w:sz w:val="20"/>
          <w:szCs w:val="20"/>
          <w:color w:val="auto"/>
        </w:rPr>
      </w:pPr>
    </w:p>
    <w:p>
      <w:pPr>
        <w:jc w:val="both"/>
        <w:ind w:right="20" w:firstLine="648"/>
        <w:spacing w:after="0" w:line="323" w:lineRule="auto"/>
        <w:rPr>
          <w:sz w:val="20"/>
          <w:szCs w:val="20"/>
          <w:color w:val="auto"/>
        </w:rPr>
      </w:pPr>
      <w:r>
        <w:rPr>
          <w:rFonts w:ascii="Arial" w:cs="Arial" w:eastAsia="Arial" w:hAnsi="Arial"/>
          <w:sz w:val="13"/>
          <w:szCs w:val="13"/>
          <w:color w:val="auto"/>
        </w:rPr>
        <w:t>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57"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6"/>
          <w:szCs w:val="16"/>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53" w:name="page54"/>
    <w:bookmarkEnd w:id="53"/>
    <w:p>
      <w:pPr>
        <w:jc w:val="both"/>
        <w:ind w:firstLine="1301"/>
        <w:spacing w:after="0" w:line="266" w:lineRule="auto"/>
        <w:tabs>
          <w:tab w:leader="none" w:pos="2727" w:val="left"/>
        </w:tabs>
        <w:numPr>
          <w:ilvl w:val="0"/>
          <w:numId w:val="42"/>
        </w:numPr>
        <w:rPr>
          <w:rFonts w:ascii="Arial" w:cs="Arial" w:eastAsia="Arial" w:hAnsi="Arial"/>
          <w:sz w:val="15"/>
          <w:szCs w:val="15"/>
          <w:b w:val="1"/>
          <w:bCs w:val="1"/>
          <w:color w:val="auto"/>
        </w:rPr>
      </w:pPr>
      <w:r>
        <w:rPr>
          <w:rFonts w:ascii="Arial" w:cs="Arial" w:eastAsia="Arial" w:hAnsi="Arial"/>
          <w:sz w:val="15"/>
          <w:szCs w:val="15"/>
          <w:color w:val="auto"/>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9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3.03 Payment Upon Redemption</w:t>
      </w:r>
      <w:r>
        <w:rPr>
          <w:rFonts w:ascii="Arial" w:cs="Arial" w:eastAsia="Arial" w:hAnsi="Arial"/>
          <w:sz w:val="16"/>
          <w:szCs w:val="16"/>
          <w:color w:val="auto"/>
        </w:rPr>
        <w:t>.</w:t>
      </w:r>
    </w:p>
    <w:p>
      <w:pPr>
        <w:spacing w:after="0" w:line="174" w:lineRule="exact"/>
        <w:rPr>
          <w:sz w:val="20"/>
          <w:szCs w:val="20"/>
          <w:color w:val="auto"/>
        </w:rPr>
      </w:pPr>
    </w:p>
    <w:p>
      <w:pPr>
        <w:jc w:val="both"/>
        <w:ind w:firstLine="1301"/>
        <w:spacing w:after="0" w:line="317" w:lineRule="auto"/>
        <w:tabs>
          <w:tab w:leader="none" w:pos="2718" w:val="left"/>
        </w:tabs>
        <w:numPr>
          <w:ilvl w:val="0"/>
          <w:numId w:val="43"/>
        </w:numPr>
        <w:rPr>
          <w:rFonts w:ascii="Arial" w:cs="Arial" w:eastAsia="Arial" w:hAnsi="Arial"/>
          <w:sz w:val="13"/>
          <w:szCs w:val="13"/>
          <w:b w:val="1"/>
          <w:bCs w:val="1"/>
          <w:color w:val="auto"/>
        </w:rPr>
      </w:pPr>
      <w:r>
        <w:rPr>
          <w:rFonts w:ascii="Arial" w:cs="Arial" w:eastAsia="Arial" w:hAnsi="Arial"/>
          <w:sz w:val="13"/>
          <w:szCs w:val="13"/>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59" w:lineRule="exact"/>
        <w:rPr>
          <w:rFonts w:ascii="Arial" w:cs="Arial" w:eastAsia="Arial" w:hAnsi="Arial"/>
          <w:sz w:val="13"/>
          <w:szCs w:val="13"/>
          <w:b w:val="1"/>
          <w:bCs w:val="1"/>
          <w:color w:val="auto"/>
        </w:rPr>
      </w:pPr>
    </w:p>
    <w:p>
      <w:pPr>
        <w:jc w:val="both"/>
        <w:ind w:firstLine="1301"/>
        <w:spacing w:after="0" w:line="257" w:lineRule="auto"/>
        <w:tabs>
          <w:tab w:leader="none" w:pos="2727" w:val="left"/>
        </w:tabs>
        <w:numPr>
          <w:ilvl w:val="0"/>
          <w:numId w:val="43"/>
        </w:numPr>
        <w:rPr>
          <w:rFonts w:ascii="Arial" w:cs="Arial" w:eastAsia="Arial" w:hAnsi="Arial"/>
          <w:sz w:val="16"/>
          <w:szCs w:val="16"/>
          <w:b w:val="1"/>
          <w:bCs w:val="1"/>
          <w:color w:val="auto"/>
        </w:rPr>
      </w:pPr>
      <w:r>
        <w:rPr>
          <w:rFonts w:ascii="Arial" w:cs="Arial" w:eastAsia="Arial" w:hAnsi="Arial"/>
          <w:sz w:val="16"/>
          <w:szCs w:val="16"/>
          <w:color w:val="auto"/>
        </w:rPr>
        <w:t>Upon presentation of any Security of such series that is to be redeemed in part only, the Company shall execute and the Trustee shall authenticate and the office or agency where the Security is presented shall deliver to the Securityholder thereof, at the expense of the Company, a new Security of the same series of authorized denominations in principal amount equal to the unredeemed portion of the Security so presented.</w:t>
      </w:r>
    </w:p>
    <w:p>
      <w:pPr>
        <w:spacing w:after="0" w:line="7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3.04 Sinking Fund</w:t>
      </w:r>
      <w:r>
        <w:rPr>
          <w:rFonts w:ascii="Arial" w:cs="Arial" w:eastAsia="Arial" w:hAnsi="Arial"/>
          <w:sz w:val="16"/>
          <w:szCs w:val="16"/>
          <w:color w:val="auto"/>
        </w:rPr>
        <w:t>.</w:t>
      </w:r>
    </w:p>
    <w:p>
      <w:pPr>
        <w:spacing w:after="0" w:line="174" w:lineRule="exact"/>
        <w:rPr>
          <w:sz w:val="20"/>
          <w:szCs w:val="20"/>
          <w:color w:val="auto"/>
        </w:rPr>
      </w:pPr>
    </w:p>
    <w:p>
      <w:pPr>
        <w:ind w:right="480" w:firstLine="648"/>
        <w:spacing w:after="0" w:line="267" w:lineRule="auto"/>
        <w:rPr>
          <w:sz w:val="20"/>
          <w:szCs w:val="20"/>
          <w:color w:val="auto"/>
        </w:rPr>
      </w:pPr>
      <w:r>
        <w:rPr>
          <w:rFonts w:ascii="Arial" w:cs="Arial" w:eastAsia="Arial" w:hAnsi="Arial"/>
          <w:sz w:val="16"/>
          <w:szCs w:val="16"/>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54" w:name="page55"/>
    <w:bookmarkEnd w:id="54"/>
    <w:p>
      <w:pPr>
        <w:jc w:val="both"/>
        <w:ind w:firstLine="648"/>
        <w:spacing w:after="0" w:line="275" w:lineRule="auto"/>
        <w:rPr>
          <w:sz w:val="20"/>
          <w:szCs w:val="20"/>
          <w:color w:val="auto"/>
        </w:rPr>
      </w:pPr>
      <w:r>
        <w:rPr>
          <w:rFonts w:ascii="Arial" w:cs="Arial" w:eastAsia="Arial" w:hAnsi="Arial"/>
          <w:sz w:val="15"/>
          <w:szCs w:val="15"/>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3.05 Satisfaction of Sinking Fund Payments with Securities</w:t>
      </w:r>
      <w:r>
        <w:rPr>
          <w:rFonts w:ascii="Arial" w:cs="Arial" w:eastAsia="Arial" w:hAnsi="Arial"/>
          <w:sz w:val="16"/>
          <w:szCs w:val="16"/>
          <w:color w:val="auto"/>
        </w:rPr>
        <w:t>.</w:t>
      </w:r>
    </w:p>
    <w:p>
      <w:pPr>
        <w:spacing w:after="0" w:line="174"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3"/>
          <w:szCs w:val="13"/>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3.06 Redemption of Securities for Sinking Fund</w:t>
      </w:r>
      <w:r>
        <w:rPr>
          <w:rFonts w:ascii="Arial" w:cs="Arial" w:eastAsia="Arial" w:hAnsi="Arial"/>
          <w:sz w:val="16"/>
          <w:szCs w:val="16"/>
          <w:color w:val="auto"/>
        </w:rPr>
        <w:t>.</w:t>
      </w:r>
    </w:p>
    <w:p>
      <w:pPr>
        <w:spacing w:after="0" w:line="17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55" w:name="page56"/>
    <w:bookmarkEnd w:id="55"/>
    <w:p>
      <w:pPr>
        <w:jc w:val="center"/>
        <w:spacing w:after="0"/>
        <w:rPr>
          <w:sz w:val="20"/>
          <w:szCs w:val="20"/>
          <w:color w:val="auto"/>
        </w:rPr>
      </w:pPr>
      <w:r>
        <w:rPr>
          <w:rFonts w:ascii="Arial" w:cs="Arial" w:eastAsia="Arial" w:hAnsi="Arial"/>
          <w:sz w:val="16"/>
          <w:szCs w:val="16"/>
          <w:b w:val="1"/>
          <w:bCs w:val="1"/>
          <w:color w:val="auto"/>
        </w:rPr>
        <w:t>ARTICLE 4</w:t>
      </w:r>
    </w:p>
    <w:p>
      <w:pPr>
        <w:spacing w:after="0" w:line="170"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auto"/>
        </w:rPr>
        <w:t>COVENANTS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4.01 Payment of Principal, Premium and Interest</w:t>
      </w:r>
      <w:r>
        <w:rPr>
          <w:rFonts w:ascii="Arial" w:cs="Arial" w:eastAsia="Arial" w:hAnsi="Arial"/>
          <w:sz w:val="16"/>
          <w:szCs w:val="16"/>
          <w:color w:val="auto"/>
        </w:rPr>
        <w:t>.</w:t>
      </w:r>
    </w:p>
    <w:p>
      <w:pPr>
        <w:spacing w:after="0" w:line="174"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3"/>
          <w:szCs w:val="13"/>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4.02 Maintenance of Office or Agency</w:t>
      </w:r>
      <w:r>
        <w:rPr>
          <w:rFonts w:ascii="Arial" w:cs="Arial" w:eastAsia="Arial" w:hAnsi="Arial"/>
          <w:sz w:val="16"/>
          <w:szCs w:val="16"/>
          <w:color w:val="auto"/>
        </w:rPr>
        <w:t>.</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4.03 Paying Agents</w:t>
      </w:r>
      <w:r>
        <w:rPr>
          <w:rFonts w:ascii="Arial" w:cs="Arial" w:eastAsia="Arial" w:hAnsi="Arial"/>
          <w:sz w:val="16"/>
          <w:szCs w:val="16"/>
          <w:color w:val="auto"/>
        </w:rPr>
        <w:t>.</w:t>
      </w:r>
    </w:p>
    <w:p>
      <w:pPr>
        <w:spacing w:after="0" w:line="174" w:lineRule="exact"/>
        <w:rPr>
          <w:sz w:val="20"/>
          <w:szCs w:val="20"/>
          <w:color w:val="auto"/>
        </w:rPr>
      </w:pPr>
    </w:p>
    <w:p>
      <w:pPr>
        <w:ind w:right="20" w:firstLine="1301"/>
        <w:spacing w:after="0" w:line="385" w:lineRule="auto"/>
        <w:tabs>
          <w:tab w:leader="none" w:pos="2718" w:val="left"/>
        </w:tabs>
        <w:numPr>
          <w:ilvl w:val="0"/>
          <w:numId w:val="44"/>
        </w:numPr>
        <w:rPr>
          <w:rFonts w:ascii="Arial" w:cs="Arial" w:eastAsia="Arial" w:hAnsi="Arial"/>
          <w:sz w:val="13"/>
          <w:szCs w:val="13"/>
          <w:b w:val="1"/>
          <w:bCs w:val="1"/>
          <w:color w:val="auto"/>
        </w:rPr>
      </w:pPr>
      <w:r>
        <w:rPr>
          <w:rFonts w:ascii="Arial" w:cs="Arial" w:eastAsia="Arial" w:hAnsi="Arial"/>
          <w:sz w:val="13"/>
          <w:szCs w:val="13"/>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36" w:lineRule="exact"/>
        <w:rPr>
          <w:sz w:val="20"/>
          <w:szCs w:val="20"/>
          <w:color w:val="auto"/>
        </w:rPr>
      </w:pPr>
    </w:p>
    <w:p>
      <w:pPr>
        <w:jc w:val="both"/>
        <w:ind w:firstLine="1956"/>
        <w:spacing w:after="0" w:line="259" w:lineRule="auto"/>
        <w:rPr>
          <w:sz w:val="20"/>
          <w:szCs w:val="20"/>
          <w:color w:val="auto"/>
        </w:rPr>
      </w:pPr>
      <w:r>
        <w:rPr>
          <w:rFonts w:ascii="Arial" w:cs="Arial" w:eastAsia="Arial" w:hAnsi="Arial"/>
          <w:sz w:val="16"/>
          <w:szCs w:val="16"/>
          <w:b w:val="1"/>
          <w:bCs w:val="1"/>
          <w:color w:val="auto"/>
        </w:rPr>
        <w:t xml:space="preserve">(1) </w:t>
      </w:r>
      <w:r>
        <w:rPr>
          <w:rFonts w:ascii="Arial" w:cs="Arial" w:eastAsia="Arial" w:hAnsi="Arial"/>
          <w:sz w:val="16"/>
          <w:szCs w:val="16"/>
          <w:color w:val="auto"/>
        </w:rPr>
        <w:t>that it will hold all sums held by it as such agent for the payment of the principal of (and premium, if any) or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on the Securities of that series (whether such sums have been paid to it by the Company or by any other obligor of such Securities) in trust for the benefit of the Persons entitled thereto;</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00" w:type="dxa"/>
            <w:vAlign w:val="bottom"/>
          </w:tcPr>
          <w:p>
            <w:pPr>
              <w:jc w:val="right"/>
              <w:ind w:right="781"/>
              <w:spacing w:after="0"/>
              <w:rPr>
                <w:sz w:val="20"/>
                <w:szCs w:val="20"/>
                <w:color w:val="auto"/>
              </w:rPr>
            </w:pPr>
            <w:r>
              <w:rPr>
                <w:rFonts w:ascii="Arial" w:cs="Arial" w:eastAsia="Arial" w:hAnsi="Arial"/>
                <w:sz w:val="16"/>
                <w:szCs w:val="16"/>
                <w:b w:val="1"/>
                <w:bCs w:val="1"/>
                <w:color w:val="auto"/>
              </w:rPr>
              <w:t>(2)</w:t>
            </w:r>
          </w:p>
        </w:tc>
        <w:tc>
          <w:tcPr>
            <w:tcW w:w="8260" w:type="dxa"/>
            <w:vAlign w:val="bottom"/>
          </w:tcPr>
          <w:p>
            <w:pPr>
              <w:ind w:left="860"/>
              <w:spacing w:after="0"/>
              <w:rPr>
                <w:sz w:val="20"/>
                <w:szCs w:val="20"/>
                <w:color w:val="auto"/>
              </w:rPr>
            </w:pPr>
            <w:r>
              <w:rPr>
                <w:rFonts w:ascii="Arial" w:cs="Arial" w:eastAsia="Arial" w:hAnsi="Arial"/>
                <w:sz w:val="16"/>
                <w:szCs w:val="16"/>
                <w:color w:val="auto"/>
                <w:w w:val="90"/>
              </w:rPr>
              <w:t>that it will give the Trustee notice of any failure by the Company (or by any other obligor of such Securities) to make</w:t>
            </w:r>
          </w:p>
        </w:tc>
      </w:tr>
      <w:tr>
        <w:trPr>
          <w:trHeight w:val="200"/>
        </w:trPr>
        <w:tc>
          <w:tcPr>
            <w:tcW w:w="11260" w:type="dxa"/>
            <w:vAlign w:val="bottom"/>
            <w:gridSpan w:val="2"/>
          </w:tcPr>
          <w:p>
            <w:pPr>
              <w:spacing w:after="0"/>
              <w:rPr>
                <w:sz w:val="20"/>
                <w:szCs w:val="20"/>
                <w:color w:val="auto"/>
              </w:rPr>
            </w:pPr>
            <w:r>
              <w:rPr>
                <w:rFonts w:ascii="Arial" w:cs="Arial" w:eastAsia="Arial" w:hAnsi="Arial"/>
                <w:sz w:val="16"/>
                <w:szCs w:val="16"/>
                <w:color w:val="auto"/>
              </w:rPr>
              <w:t>any payment of the principal of (and premium, if any) or interest on the Securities of that series when the same shall be due and payable;</w:t>
            </w:r>
          </w:p>
        </w:tc>
      </w:tr>
      <w:tr>
        <w:trPr>
          <w:trHeight w:val="295"/>
        </w:trPr>
        <w:tc>
          <w:tcPr>
            <w:tcW w:w="3000" w:type="dxa"/>
            <w:vAlign w:val="bottom"/>
          </w:tcPr>
          <w:p>
            <w:pPr>
              <w:jc w:val="right"/>
              <w:ind w:right="781"/>
              <w:spacing w:after="0"/>
              <w:rPr>
                <w:sz w:val="20"/>
                <w:szCs w:val="20"/>
                <w:color w:val="auto"/>
              </w:rPr>
            </w:pPr>
            <w:r>
              <w:rPr>
                <w:rFonts w:ascii="Arial" w:cs="Arial" w:eastAsia="Arial" w:hAnsi="Arial"/>
                <w:sz w:val="16"/>
                <w:szCs w:val="16"/>
                <w:b w:val="1"/>
                <w:bCs w:val="1"/>
                <w:color w:val="auto"/>
              </w:rPr>
              <w:t>(3)</w:t>
            </w:r>
          </w:p>
        </w:tc>
        <w:tc>
          <w:tcPr>
            <w:tcW w:w="8260" w:type="dxa"/>
            <w:vAlign w:val="bottom"/>
          </w:tcPr>
          <w:p>
            <w:pPr>
              <w:ind w:left="860"/>
              <w:spacing w:after="0"/>
              <w:rPr>
                <w:sz w:val="20"/>
                <w:szCs w:val="20"/>
                <w:color w:val="auto"/>
              </w:rPr>
            </w:pPr>
            <w:r>
              <w:rPr>
                <w:rFonts w:ascii="Arial" w:cs="Arial" w:eastAsia="Arial" w:hAnsi="Arial"/>
                <w:sz w:val="16"/>
                <w:szCs w:val="16"/>
                <w:color w:val="auto"/>
                <w:w w:val="93"/>
              </w:rPr>
              <w:t>that it will, at any time during the continuance of any failure referred to in the preceding paragraph (a)(2) above,</w:t>
            </w:r>
          </w:p>
        </w:tc>
      </w:tr>
    </w:tbl>
    <w:p>
      <w:pPr>
        <w:ind w:left="5540" w:right="3780" w:hanging="5550"/>
        <w:spacing w:after="0" w:line="407" w:lineRule="auto"/>
        <w:rPr>
          <w:sz w:val="20"/>
          <w:szCs w:val="20"/>
          <w:color w:val="auto"/>
        </w:rPr>
      </w:pPr>
      <w:r>
        <w:rPr>
          <w:rFonts w:ascii="Arial" w:cs="Arial" w:eastAsia="Arial" w:hAnsi="Arial"/>
          <w:sz w:val="16"/>
          <w:szCs w:val="16"/>
          <w:color w:val="auto"/>
        </w:rPr>
        <w:t>upon the written request of the Trustee, forthwith pay to the Trustee all sums so held in trust by such paying agent; and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354965</wp:posOffset>
            </wp:positionV>
            <wp:extent cx="716470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-80010</wp:posOffset>
            </wp:positionV>
            <wp:extent cx="561149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56" w:name="page57"/>
    <w:bookmarkEnd w:id="56"/>
    <w:p>
      <w:pPr>
        <w:ind w:left="2200" w:hanging="256"/>
        <w:spacing w:after="0"/>
        <w:tabs>
          <w:tab w:leader="none" w:pos="2200" w:val="left"/>
        </w:tabs>
        <w:numPr>
          <w:ilvl w:val="1"/>
          <w:numId w:val="45"/>
        </w:numPr>
        <w:rPr>
          <w:rFonts w:ascii="Arial" w:cs="Arial" w:eastAsia="Arial" w:hAnsi="Arial"/>
          <w:sz w:val="16"/>
          <w:szCs w:val="16"/>
          <w:b w:val="1"/>
          <w:bCs w:val="1"/>
          <w:color w:val="auto"/>
        </w:rPr>
      </w:pPr>
      <w:r>
        <w:rPr>
          <w:rFonts w:ascii="Arial" w:cs="Arial" w:eastAsia="Arial" w:hAnsi="Arial"/>
          <w:sz w:val="16"/>
          <w:szCs w:val="16"/>
          <w:color w:val="auto"/>
        </w:rPr>
        <w:t>that it will perform all other duties of paying agent as set forth in this Indenture.</w:t>
      </w:r>
    </w:p>
    <w:p>
      <w:pPr>
        <w:spacing w:after="0" w:line="170" w:lineRule="exact"/>
        <w:rPr>
          <w:rFonts w:ascii="Arial" w:cs="Arial" w:eastAsia="Arial" w:hAnsi="Arial"/>
          <w:sz w:val="16"/>
          <w:szCs w:val="16"/>
          <w:b w:val="1"/>
          <w:bCs w:val="1"/>
          <w:color w:val="auto"/>
        </w:rPr>
      </w:pPr>
    </w:p>
    <w:p>
      <w:pPr>
        <w:jc w:val="both"/>
        <w:ind w:firstLine="1301"/>
        <w:spacing w:after="0" w:line="317" w:lineRule="auto"/>
        <w:tabs>
          <w:tab w:leader="none" w:pos="2727" w:val="left"/>
        </w:tabs>
        <w:numPr>
          <w:ilvl w:val="0"/>
          <w:numId w:val="46"/>
        </w:numPr>
        <w:rPr>
          <w:rFonts w:ascii="Arial" w:cs="Arial" w:eastAsia="Arial" w:hAnsi="Arial"/>
          <w:sz w:val="13"/>
          <w:szCs w:val="13"/>
          <w:b w:val="1"/>
          <w:bCs w:val="1"/>
          <w:color w:val="auto"/>
        </w:rPr>
      </w:pPr>
      <w:r>
        <w:rPr>
          <w:rFonts w:ascii="Arial" w:cs="Arial" w:eastAsia="Arial" w:hAnsi="Arial"/>
          <w:sz w:val="13"/>
          <w:szCs w:val="13"/>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59" w:lineRule="exact"/>
        <w:rPr>
          <w:rFonts w:ascii="Arial" w:cs="Arial" w:eastAsia="Arial" w:hAnsi="Arial"/>
          <w:sz w:val="13"/>
          <w:szCs w:val="13"/>
          <w:b w:val="1"/>
          <w:bCs w:val="1"/>
          <w:color w:val="auto"/>
        </w:rPr>
      </w:pPr>
    </w:p>
    <w:p>
      <w:pPr>
        <w:jc w:val="both"/>
        <w:ind w:right="20" w:firstLine="1301"/>
        <w:spacing w:after="0" w:line="272" w:lineRule="auto"/>
        <w:tabs>
          <w:tab w:leader="none" w:pos="2693" w:val="left"/>
        </w:tabs>
        <w:numPr>
          <w:ilvl w:val="0"/>
          <w:numId w:val="46"/>
        </w:numPr>
        <w:rPr>
          <w:rFonts w:ascii="Arial" w:cs="Arial" w:eastAsia="Arial" w:hAnsi="Arial"/>
          <w:sz w:val="15"/>
          <w:szCs w:val="15"/>
          <w:b w:val="1"/>
          <w:bCs w:val="1"/>
          <w:color w:val="auto"/>
        </w:rPr>
      </w:pPr>
      <w:r>
        <w:rPr>
          <w:rFonts w:ascii="Arial" w:cs="Arial" w:eastAsia="Arial" w:hAnsi="Arial"/>
          <w:sz w:val="15"/>
          <w:szCs w:val="15"/>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4.04 Appointment to Fill Vacancy in Office of Trustee</w:t>
      </w:r>
      <w:r>
        <w:rPr>
          <w:rFonts w:ascii="Arial" w:cs="Arial" w:eastAsia="Arial" w:hAnsi="Arial"/>
          <w:sz w:val="16"/>
          <w:szCs w:val="16"/>
          <w:color w:val="auto"/>
        </w:rPr>
        <w:t>.</w:t>
      </w:r>
    </w:p>
    <w:p>
      <w:pPr>
        <w:spacing w:after="0" w:line="174" w:lineRule="exact"/>
        <w:rPr>
          <w:sz w:val="20"/>
          <w:szCs w:val="20"/>
          <w:color w:val="auto"/>
        </w:rPr>
      </w:pPr>
    </w:p>
    <w:p>
      <w:pPr>
        <w:ind w:right="20" w:firstLine="647"/>
        <w:spacing w:after="0" w:line="267" w:lineRule="auto"/>
        <w:rPr>
          <w:sz w:val="20"/>
          <w:szCs w:val="20"/>
          <w:color w:val="auto"/>
        </w:rPr>
      </w:pPr>
      <w:r>
        <w:rPr>
          <w:rFonts w:ascii="Arial" w:cs="Arial" w:eastAsia="Arial" w:hAnsi="Arial"/>
          <w:sz w:val="16"/>
          <w:szCs w:val="16"/>
          <w:color w:val="auto"/>
        </w:rPr>
        <w:t>The Company, whenever necessary to avoid or fill a vacancy in the office of Trustee, will appoint, in the manner provided in Section 7.10, a Trustee, so that there shall at all times be a Trustee hereunder.</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5</w:t>
      </w:r>
    </w:p>
    <w:p>
      <w:pPr>
        <w:spacing w:after="0" w:line="170"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auto"/>
        </w:rPr>
        <w:t>SECURITYHOLDERS’ LISTS AND REPORTS BY THE COMPANY AND THE TRUSTEE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5.01 Company to Furnish Trustee Names and Addresses of Securityholders</w:t>
      </w:r>
      <w:r>
        <w:rPr>
          <w:rFonts w:ascii="Arial" w:cs="Arial" w:eastAsia="Arial" w:hAnsi="Arial"/>
          <w:sz w:val="16"/>
          <w:szCs w:val="16"/>
          <w:color w:val="auto"/>
        </w:rPr>
        <w:t>.</w:t>
      </w:r>
    </w:p>
    <w:p>
      <w:pPr>
        <w:spacing w:after="0" w:line="17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57" w:name="page58"/>
    <w:bookmarkEnd w:id="57"/>
    <w:p>
      <w:pPr>
        <w:ind w:left="640"/>
        <w:spacing w:after="0"/>
        <w:rPr>
          <w:sz w:val="20"/>
          <w:szCs w:val="20"/>
          <w:color w:val="auto"/>
        </w:rPr>
      </w:pPr>
      <w:r>
        <w:rPr>
          <w:rFonts w:ascii="Arial" w:cs="Arial" w:eastAsia="Arial" w:hAnsi="Arial"/>
          <w:sz w:val="16"/>
          <w:szCs w:val="16"/>
          <w:b w:val="1"/>
          <w:bCs w:val="1"/>
          <w:color w:val="auto"/>
        </w:rPr>
        <w:t>Section 5.02 Preservation Of Information; Communications With Securityholders</w:t>
      </w:r>
      <w:r>
        <w:rPr>
          <w:rFonts w:ascii="Arial" w:cs="Arial" w:eastAsia="Arial" w:hAnsi="Arial"/>
          <w:sz w:val="16"/>
          <w:szCs w:val="16"/>
          <w:color w:val="auto"/>
        </w:rPr>
        <w:t>.</w:t>
      </w:r>
    </w:p>
    <w:p>
      <w:pPr>
        <w:spacing w:after="0" w:line="174" w:lineRule="exact"/>
        <w:rPr>
          <w:sz w:val="20"/>
          <w:szCs w:val="20"/>
          <w:color w:val="auto"/>
        </w:rPr>
      </w:pPr>
    </w:p>
    <w:p>
      <w:pPr>
        <w:jc w:val="both"/>
        <w:ind w:right="20" w:firstLine="1303"/>
        <w:spacing w:after="0" w:line="257" w:lineRule="auto"/>
        <w:tabs>
          <w:tab w:leader="none" w:pos="2704" w:val="left"/>
        </w:tabs>
        <w:numPr>
          <w:ilvl w:val="1"/>
          <w:numId w:val="47"/>
        </w:numPr>
        <w:rPr>
          <w:rFonts w:ascii="Arial" w:cs="Arial" w:eastAsia="Arial" w:hAnsi="Arial"/>
          <w:sz w:val="16"/>
          <w:szCs w:val="16"/>
          <w:b w:val="1"/>
          <w:bCs w:val="1"/>
          <w:color w:val="auto"/>
        </w:rPr>
      </w:pPr>
      <w:r>
        <w:rPr>
          <w:rFonts w:ascii="Arial" w:cs="Arial" w:eastAsia="Arial" w:hAnsi="Arial"/>
          <w:sz w:val="16"/>
          <w:szCs w:val="16"/>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117" w:lineRule="exact"/>
        <w:rPr>
          <w:rFonts w:ascii="Arial" w:cs="Arial" w:eastAsia="Arial" w:hAnsi="Arial"/>
          <w:sz w:val="16"/>
          <w:szCs w:val="16"/>
          <w:b w:val="1"/>
          <w:bCs w:val="1"/>
          <w:color w:val="auto"/>
        </w:rPr>
      </w:pPr>
    </w:p>
    <w:p>
      <w:pPr>
        <w:ind w:left="1540" w:hanging="258"/>
        <w:spacing w:after="0"/>
        <w:tabs>
          <w:tab w:leader="none" w:pos="1540" w:val="left"/>
        </w:tabs>
        <w:numPr>
          <w:ilvl w:val="0"/>
          <w:numId w:val="48"/>
        </w:numPr>
        <w:rPr>
          <w:rFonts w:ascii="Arial" w:cs="Arial" w:eastAsia="Arial" w:hAnsi="Arial"/>
          <w:sz w:val="16"/>
          <w:szCs w:val="16"/>
          <w:b w:val="1"/>
          <w:bCs w:val="1"/>
          <w:color w:val="auto"/>
        </w:rPr>
      </w:pPr>
      <w:r>
        <w:rPr>
          <w:rFonts w:ascii="Arial" w:cs="Arial" w:eastAsia="Arial" w:hAnsi="Arial"/>
          <w:sz w:val="16"/>
          <w:szCs w:val="16"/>
          <w:color w:val="auto"/>
        </w:rPr>
        <w:t>The Trustee may destroy any list furnished to it as provided in Section 5.01 upon receipt of a new list so furnished.</w:t>
      </w:r>
    </w:p>
    <w:p>
      <w:pPr>
        <w:spacing w:after="0" w:line="170" w:lineRule="exact"/>
        <w:rPr>
          <w:rFonts w:ascii="Arial" w:cs="Arial" w:eastAsia="Arial" w:hAnsi="Arial"/>
          <w:sz w:val="16"/>
          <w:szCs w:val="16"/>
          <w:b w:val="1"/>
          <w:bCs w:val="1"/>
          <w:color w:val="auto"/>
        </w:rPr>
      </w:pPr>
    </w:p>
    <w:p>
      <w:pPr>
        <w:jc w:val="both"/>
        <w:ind w:firstLine="1303"/>
        <w:spacing w:after="0" w:line="257" w:lineRule="auto"/>
        <w:tabs>
          <w:tab w:leader="none" w:pos="2680" w:val="left"/>
        </w:tabs>
        <w:numPr>
          <w:ilvl w:val="0"/>
          <w:numId w:val="48"/>
        </w:numPr>
        <w:rPr>
          <w:rFonts w:ascii="Arial" w:cs="Arial" w:eastAsia="Arial" w:hAnsi="Arial"/>
          <w:sz w:val="16"/>
          <w:szCs w:val="16"/>
          <w:b w:val="1"/>
          <w:bCs w:val="1"/>
          <w:color w:val="auto"/>
        </w:rPr>
      </w:pPr>
      <w:r>
        <w:rPr>
          <w:rFonts w:ascii="Arial" w:cs="Arial" w:eastAsia="Arial" w:hAnsi="Arial"/>
          <w:sz w:val="16"/>
          <w:szCs w:val="16"/>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Section 5.03 Reports by the Company</w:t>
      </w:r>
      <w:r>
        <w:rPr>
          <w:rFonts w:ascii="Arial" w:cs="Arial" w:eastAsia="Arial" w:hAnsi="Arial"/>
          <w:sz w:val="16"/>
          <w:szCs w:val="16"/>
          <w:color w:val="auto"/>
        </w:rPr>
        <w:t>.</w:t>
      </w:r>
    </w:p>
    <w:p>
      <w:pPr>
        <w:spacing w:after="0" w:line="174" w:lineRule="exact"/>
        <w:rPr>
          <w:sz w:val="20"/>
          <w:szCs w:val="20"/>
          <w:color w:val="auto"/>
        </w:rPr>
      </w:pPr>
    </w:p>
    <w:p>
      <w:pPr>
        <w:jc w:val="both"/>
        <w:ind w:firstLine="1303"/>
        <w:spacing w:after="0" w:line="267" w:lineRule="auto"/>
        <w:tabs>
          <w:tab w:leader="none" w:pos="2689" w:val="left"/>
        </w:tabs>
        <w:numPr>
          <w:ilvl w:val="0"/>
          <w:numId w:val="49"/>
        </w:numPr>
        <w:rPr>
          <w:rFonts w:ascii="Arial" w:cs="Arial" w:eastAsia="Arial" w:hAnsi="Arial"/>
          <w:sz w:val="15"/>
          <w:szCs w:val="15"/>
          <w:b w:val="1"/>
          <w:bCs w:val="1"/>
          <w:color w:val="auto"/>
        </w:rPr>
      </w:pPr>
      <w:r>
        <w:rPr>
          <w:rFonts w:ascii="Arial" w:cs="Arial" w:eastAsia="Arial" w:hAnsi="Arial"/>
          <w:sz w:val="15"/>
          <w:szCs w:val="15"/>
          <w:color w:val="auto"/>
        </w:rPr>
        <w:t>The Company will at all times comply with Section 314(a) of the Trust Indenture Act.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correspondence filed with the Commission or any materials for which the Company has sought and received confidential treatment by the Commission; and provided further,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w:t>
      </w:r>
    </w:p>
    <w:p>
      <w:pPr>
        <w:spacing w:after="0" w:line="116" w:lineRule="exact"/>
        <w:rPr>
          <w:rFonts w:ascii="Arial" w:cs="Arial" w:eastAsia="Arial" w:hAnsi="Arial"/>
          <w:sz w:val="15"/>
          <w:szCs w:val="15"/>
          <w:b w:val="1"/>
          <w:bCs w:val="1"/>
          <w:color w:val="auto"/>
        </w:rPr>
      </w:pPr>
    </w:p>
    <w:p>
      <w:pPr>
        <w:jc w:val="both"/>
        <w:ind w:firstLine="1303"/>
        <w:spacing w:after="0" w:line="319" w:lineRule="auto"/>
        <w:tabs>
          <w:tab w:leader="none" w:pos="2729" w:val="left"/>
        </w:tabs>
        <w:numPr>
          <w:ilvl w:val="0"/>
          <w:numId w:val="49"/>
        </w:numPr>
        <w:rPr>
          <w:rFonts w:ascii="Arial" w:cs="Arial" w:eastAsia="Arial" w:hAnsi="Arial"/>
          <w:sz w:val="13"/>
          <w:szCs w:val="13"/>
          <w:b w:val="1"/>
          <w:bCs w:val="1"/>
          <w:color w:val="auto"/>
        </w:rPr>
      </w:pPr>
      <w:r>
        <w:rPr>
          <w:rFonts w:ascii="Arial" w:cs="Arial" w:eastAsia="Arial" w:hAnsi="Arial"/>
          <w:sz w:val="13"/>
          <w:szCs w:val="13"/>
          <w:color w:val="auto"/>
        </w:rPr>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 documents delivered to the Trustee or filed with the Commission via EDGAR to ensure compliance with the provision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58" w:name="page59"/>
    <w:bookmarkEnd w:id="58"/>
    <w:p>
      <w:pPr>
        <w:ind w:left="640"/>
        <w:spacing w:after="0"/>
        <w:rPr>
          <w:sz w:val="20"/>
          <w:szCs w:val="20"/>
          <w:color w:val="auto"/>
        </w:rPr>
      </w:pPr>
      <w:r>
        <w:rPr>
          <w:rFonts w:ascii="Arial" w:cs="Arial" w:eastAsia="Arial" w:hAnsi="Arial"/>
          <w:sz w:val="16"/>
          <w:szCs w:val="16"/>
          <w:b w:val="1"/>
          <w:bCs w:val="1"/>
          <w:color w:val="auto"/>
        </w:rPr>
        <w:t>Section 5.04 Reports by the Trustee</w:t>
      </w:r>
      <w:r>
        <w:rPr>
          <w:rFonts w:ascii="Arial" w:cs="Arial" w:eastAsia="Arial" w:hAnsi="Arial"/>
          <w:sz w:val="16"/>
          <w:szCs w:val="16"/>
          <w:color w:val="auto"/>
        </w:rPr>
        <w:t>.</w:t>
      </w:r>
    </w:p>
    <w:p>
      <w:pPr>
        <w:spacing w:after="0" w:line="174" w:lineRule="exact"/>
        <w:rPr>
          <w:sz w:val="20"/>
          <w:szCs w:val="20"/>
          <w:color w:val="auto"/>
        </w:rPr>
      </w:pPr>
    </w:p>
    <w:p>
      <w:pPr>
        <w:ind w:right="620" w:firstLine="1303"/>
        <w:spacing w:after="0" w:line="267" w:lineRule="auto"/>
        <w:tabs>
          <w:tab w:leader="none" w:pos="2704" w:val="left"/>
        </w:tabs>
        <w:numPr>
          <w:ilvl w:val="1"/>
          <w:numId w:val="50"/>
        </w:numPr>
        <w:rPr>
          <w:rFonts w:ascii="Arial" w:cs="Arial" w:eastAsia="Arial" w:hAnsi="Arial"/>
          <w:sz w:val="16"/>
          <w:szCs w:val="16"/>
          <w:b w:val="1"/>
          <w:bCs w:val="1"/>
          <w:color w:val="auto"/>
        </w:rPr>
      </w:pPr>
      <w:r>
        <w:rPr>
          <w:rFonts w:ascii="Arial" w:cs="Arial" w:eastAsia="Arial" w:hAnsi="Arial"/>
          <w:sz w:val="16"/>
          <w:szCs w:val="16"/>
          <w:color w:val="auto"/>
        </w:rPr>
        <w:t>If required by Section 313(a) of the Trust Indenture Act, the Trustee, within sixty (60) days after each May 1, shall send to the Securityholders a brief report dated as of such May 1, which complies with Section 313(a) of the Trust Indenture Act.</w:t>
      </w:r>
    </w:p>
    <w:p>
      <w:pPr>
        <w:spacing w:after="0" w:line="86" w:lineRule="exact"/>
        <w:rPr>
          <w:rFonts w:ascii="Arial" w:cs="Arial" w:eastAsia="Arial" w:hAnsi="Arial"/>
          <w:sz w:val="16"/>
          <w:szCs w:val="16"/>
          <w:b w:val="1"/>
          <w:bCs w:val="1"/>
          <w:color w:val="auto"/>
        </w:rPr>
      </w:pPr>
    </w:p>
    <w:p>
      <w:pPr>
        <w:ind w:left="1540" w:hanging="258"/>
        <w:spacing w:after="0"/>
        <w:tabs>
          <w:tab w:leader="none" w:pos="1540"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The Trustee shall comply with Section 313(b) and 313(c) of the Trust Indenture Act.</w:t>
      </w:r>
    </w:p>
    <w:p>
      <w:pPr>
        <w:spacing w:after="0" w:line="170" w:lineRule="exact"/>
        <w:rPr>
          <w:rFonts w:ascii="Arial" w:cs="Arial" w:eastAsia="Arial" w:hAnsi="Arial"/>
          <w:sz w:val="16"/>
          <w:szCs w:val="16"/>
          <w:b w:val="1"/>
          <w:bCs w:val="1"/>
          <w:color w:val="auto"/>
        </w:rPr>
      </w:pPr>
    </w:p>
    <w:p>
      <w:pPr>
        <w:jc w:val="both"/>
        <w:ind w:right="20" w:firstLine="1303"/>
        <w:spacing w:after="0" w:line="257" w:lineRule="auto"/>
        <w:tabs>
          <w:tab w:leader="none" w:pos="2680"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6</w:t>
      </w:r>
    </w:p>
    <w:p>
      <w:pPr>
        <w:spacing w:after="0" w:line="170" w:lineRule="exact"/>
        <w:rPr>
          <w:sz w:val="20"/>
          <w:szCs w:val="20"/>
          <w:color w:val="auto"/>
        </w:rPr>
      </w:pPr>
    </w:p>
    <w:p>
      <w:pPr>
        <w:ind w:left="2100"/>
        <w:spacing w:after="0"/>
        <w:rPr>
          <w:sz w:val="20"/>
          <w:szCs w:val="20"/>
          <w:color w:val="auto"/>
        </w:rPr>
      </w:pPr>
      <w:r>
        <w:rPr>
          <w:rFonts w:ascii="Arial" w:cs="Arial" w:eastAsia="Arial" w:hAnsi="Arial"/>
          <w:sz w:val="16"/>
          <w:szCs w:val="16"/>
          <w:b w:val="1"/>
          <w:bCs w:val="1"/>
          <w:color w:val="auto"/>
        </w:rPr>
        <w:t>REMEDIES OF THE TRUSTEE AND SECURITYHOLDERS ON EVENT OF DEFAULT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Section 6.01 Events of Default</w:t>
      </w:r>
      <w:r>
        <w:rPr>
          <w:rFonts w:ascii="Arial" w:cs="Arial" w:eastAsia="Arial" w:hAnsi="Arial"/>
          <w:sz w:val="16"/>
          <w:szCs w:val="16"/>
          <w:color w:val="auto"/>
        </w:rPr>
        <w:t>.</w:t>
      </w:r>
    </w:p>
    <w:p>
      <w:pPr>
        <w:spacing w:after="0" w:line="174" w:lineRule="exact"/>
        <w:rPr>
          <w:sz w:val="20"/>
          <w:szCs w:val="20"/>
          <w:color w:val="auto"/>
        </w:rPr>
      </w:pPr>
    </w:p>
    <w:p>
      <w:pPr>
        <w:ind w:left="2700" w:hanging="1397"/>
        <w:spacing w:after="0"/>
        <w:tabs>
          <w:tab w:leader="none" w:pos="2700" w:val="left"/>
        </w:tabs>
        <w:numPr>
          <w:ilvl w:val="0"/>
          <w:numId w:val="52"/>
        </w:numPr>
        <w:rPr>
          <w:rFonts w:ascii="Arial" w:cs="Arial" w:eastAsia="Arial" w:hAnsi="Arial"/>
          <w:sz w:val="15"/>
          <w:szCs w:val="15"/>
          <w:b w:val="1"/>
          <w:bCs w:val="1"/>
          <w:color w:val="auto"/>
        </w:rPr>
      </w:pPr>
      <w:r>
        <w:rPr>
          <w:rFonts w:ascii="Arial" w:cs="Arial" w:eastAsia="Arial" w:hAnsi="Arial"/>
          <w:sz w:val="15"/>
          <w:szCs w:val="15"/>
          <w:color w:val="auto"/>
        </w:rPr>
        <w:t>Whenever used herein with respect to Securities of a particular series, “Event of Default” means any one or more of the following</w:t>
      </w:r>
    </w:p>
    <w:p>
      <w:pPr>
        <w:spacing w:after="0" w:line="27"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6"/>
          <w:szCs w:val="16"/>
          <w:color w:val="auto"/>
        </w:rPr>
        <w:t>events that has occurred and is continuing:</w:t>
      </w:r>
    </w:p>
    <w:p>
      <w:pPr>
        <w:spacing w:after="0" w:line="108" w:lineRule="exact"/>
        <w:rPr>
          <w:sz w:val="20"/>
          <w:szCs w:val="20"/>
          <w:color w:val="auto"/>
        </w:rPr>
      </w:pPr>
    </w:p>
    <w:p>
      <w:pPr>
        <w:jc w:val="both"/>
        <w:ind w:firstLine="1959"/>
        <w:spacing w:after="0" w:line="285" w:lineRule="auto"/>
        <w:rPr>
          <w:sz w:val="20"/>
          <w:szCs w:val="20"/>
          <w:color w:val="auto"/>
        </w:rPr>
      </w:pPr>
      <w:r>
        <w:rPr>
          <w:rFonts w:ascii="Arial" w:cs="Arial" w:eastAsia="Arial" w:hAnsi="Arial"/>
          <w:sz w:val="15"/>
          <w:szCs w:val="15"/>
          <w:b w:val="1"/>
          <w:bCs w:val="1"/>
          <w:color w:val="auto"/>
        </w:rPr>
        <w:t xml:space="preserve">(1) </w:t>
      </w:r>
      <w:r>
        <w:rPr>
          <w:rFonts w:ascii="Arial" w:cs="Arial" w:eastAsia="Arial" w:hAnsi="Arial"/>
          <w:sz w:val="15"/>
          <w:szCs w:val="15"/>
          <w:color w:val="auto"/>
        </w:rPr>
        <w:t>the Company defaults in the payment of any installment of interest upon any of the Securities of that series, as and</w:t>
      </w:r>
      <w:r>
        <w:rPr>
          <w:rFonts w:ascii="Arial" w:cs="Arial" w:eastAsia="Arial" w:hAnsi="Arial"/>
          <w:sz w:val="15"/>
          <w:szCs w:val="15"/>
          <w:b w:val="1"/>
          <w:bCs w:val="1"/>
          <w:color w:val="auto"/>
        </w:rPr>
        <w:t xml:space="preserve"> </w:t>
      </w:r>
      <w:r>
        <w:rPr>
          <w:rFonts w:ascii="Arial" w:cs="Arial" w:eastAsia="Arial" w:hAnsi="Arial"/>
          <w:sz w:val="15"/>
          <w:szCs w:val="15"/>
          <w:color w:val="auto"/>
        </w:rPr>
        <w:t>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94" w:lineRule="exact"/>
        <w:rPr>
          <w:sz w:val="20"/>
          <w:szCs w:val="20"/>
          <w:color w:val="auto"/>
        </w:rPr>
      </w:pPr>
    </w:p>
    <w:p>
      <w:pPr>
        <w:jc w:val="both"/>
        <w:ind w:right="20" w:firstLine="1959"/>
        <w:spacing w:after="0" w:line="255" w:lineRule="auto"/>
        <w:rPr>
          <w:sz w:val="20"/>
          <w:szCs w:val="20"/>
          <w:color w:val="auto"/>
        </w:rPr>
      </w:pPr>
      <w:r>
        <w:rPr>
          <w:rFonts w:ascii="Arial" w:cs="Arial" w:eastAsia="Arial" w:hAnsi="Arial"/>
          <w:sz w:val="16"/>
          <w:szCs w:val="16"/>
          <w:b w:val="1"/>
          <w:bCs w:val="1"/>
          <w:color w:val="auto"/>
        </w:rPr>
        <w:t xml:space="preserve">(2) </w:t>
      </w:r>
      <w:r>
        <w:rPr>
          <w:rFonts w:ascii="Arial" w:cs="Arial" w:eastAsia="Arial" w:hAnsi="Arial"/>
          <w:sz w:val="16"/>
          <w:szCs w:val="16"/>
          <w:color w:val="auto"/>
        </w:rPr>
        <w:t>the Company defaults in the payment of the principal of (or premium, if any, on) any of the Securities of that series</w:t>
      </w:r>
      <w:r>
        <w:rPr>
          <w:rFonts w:ascii="Arial" w:cs="Arial" w:eastAsia="Arial" w:hAnsi="Arial"/>
          <w:sz w:val="16"/>
          <w:szCs w:val="16"/>
          <w:b w:val="1"/>
          <w:bCs w:val="1"/>
          <w:color w:val="auto"/>
        </w:rPr>
        <w:t xml:space="preserve"> </w:t>
      </w:r>
      <w:r>
        <w:rPr>
          <w:rFonts w:ascii="Arial" w:cs="Arial" w:eastAsia="Arial" w:hAnsi="Arial"/>
          <w:sz w:val="16"/>
          <w:szCs w:val="16"/>
          <w:color w:val="auto"/>
        </w:rPr>
        <w:t>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59" w:name="page60"/>
    <w:bookmarkEnd w:id="59"/>
    <w:p>
      <w:pPr>
        <w:jc w:val="both"/>
        <w:ind w:firstLine="1959"/>
        <w:spacing w:after="0" w:line="274" w:lineRule="auto"/>
        <w:rPr>
          <w:sz w:val="20"/>
          <w:szCs w:val="20"/>
          <w:color w:val="auto"/>
        </w:rPr>
      </w:pPr>
      <w:r>
        <w:rPr>
          <w:rFonts w:ascii="Arial" w:cs="Arial" w:eastAsia="Arial" w:hAnsi="Arial"/>
          <w:sz w:val="15"/>
          <w:szCs w:val="15"/>
          <w:b w:val="1"/>
          <w:bCs w:val="1"/>
          <w:color w:val="auto"/>
        </w:rPr>
        <w:t xml:space="preserve">(3) </w:t>
      </w:r>
      <w:r>
        <w:rPr>
          <w:rFonts w:ascii="Arial" w:cs="Arial" w:eastAsia="Arial" w:hAnsi="Arial"/>
          <w:sz w:val="15"/>
          <w:szCs w:val="15"/>
          <w:color w:val="auto"/>
        </w:rPr>
        <w:t>the Company fails to observe or perform any other of its covenants or agreements with respect to that series</w:t>
      </w:r>
      <w:r>
        <w:rPr>
          <w:rFonts w:ascii="Arial" w:cs="Arial" w:eastAsia="Arial" w:hAnsi="Arial"/>
          <w:sz w:val="15"/>
          <w:szCs w:val="15"/>
          <w:b w:val="1"/>
          <w:bCs w:val="1"/>
          <w:color w:val="auto"/>
        </w:rPr>
        <w:t xml:space="preserve"> </w:t>
      </w:r>
      <w:r>
        <w:rPr>
          <w:rFonts w:ascii="Arial" w:cs="Arial" w:eastAsia="Arial" w:hAnsi="Arial"/>
          <w:sz w:val="15"/>
          <w:szCs w:val="15"/>
          <w:color w:val="auto"/>
        </w:rPr>
        <w:t>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102" w:lineRule="exact"/>
        <w:rPr>
          <w:sz w:val="20"/>
          <w:szCs w:val="20"/>
          <w:color w:val="auto"/>
        </w:rPr>
      </w:pPr>
    </w:p>
    <w:p>
      <w:pPr>
        <w:jc w:val="both"/>
        <w:ind w:firstLine="1959"/>
        <w:spacing w:after="0" w:line="259" w:lineRule="auto"/>
        <w:rPr>
          <w:sz w:val="20"/>
          <w:szCs w:val="20"/>
          <w:color w:val="auto"/>
        </w:rPr>
      </w:pPr>
      <w:r>
        <w:rPr>
          <w:rFonts w:ascii="Arial" w:cs="Arial" w:eastAsia="Arial" w:hAnsi="Arial"/>
          <w:sz w:val="16"/>
          <w:szCs w:val="16"/>
          <w:b w:val="1"/>
          <w:bCs w:val="1"/>
          <w:color w:val="auto"/>
        </w:rPr>
        <w:t xml:space="preserve">(4) </w:t>
      </w:r>
      <w:r>
        <w:rPr>
          <w:rFonts w:ascii="Arial" w:cs="Arial" w:eastAsia="Arial" w:hAnsi="Arial"/>
          <w:sz w:val="16"/>
          <w:szCs w:val="16"/>
          <w:color w:val="auto"/>
        </w:rPr>
        <w:t>the Company pursuant to or within the meaning of any Bankruptcy Law (i) commences a voluntary case, (ii)</w:t>
      </w:r>
      <w:r>
        <w:rPr>
          <w:rFonts w:ascii="Arial" w:cs="Arial" w:eastAsia="Arial" w:hAnsi="Arial"/>
          <w:sz w:val="16"/>
          <w:szCs w:val="16"/>
          <w:b w:val="1"/>
          <w:bCs w:val="1"/>
          <w:color w:val="auto"/>
        </w:rPr>
        <w:t xml:space="preserve"> </w:t>
      </w:r>
      <w:r>
        <w:rPr>
          <w:rFonts w:ascii="Arial" w:cs="Arial" w:eastAsia="Arial" w:hAnsi="Arial"/>
          <w:sz w:val="16"/>
          <w:szCs w:val="16"/>
          <w:color w:val="auto"/>
        </w:rPr>
        <w:t>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113" w:lineRule="exact"/>
        <w:rPr>
          <w:sz w:val="20"/>
          <w:szCs w:val="20"/>
          <w:color w:val="auto"/>
        </w:rPr>
      </w:pPr>
    </w:p>
    <w:p>
      <w:pPr>
        <w:jc w:val="both"/>
        <w:ind w:firstLine="1959"/>
        <w:spacing w:after="0" w:line="259" w:lineRule="auto"/>
        <w:rPr>
          <w:sz w:val="20"/>
          <w:szCs w:val="20"/>
          <w:color w:val="auto"/>
        </w:rPr>
      </w:pPr>
      <w:r>
        <w:rPr>
          <w:rFonts w:ascii="Arial" w:cs="Arial" w:eastAsia="Arial" w:hAnsi="Arial"/>
          <w:sz w:val="16"/>
          <w:szCs w:val="16"/>
          <w:b w:val="1"/>
          <w:bCs w:val="1"/>
          <w:color w:val="auto"/>
        </w:rPr>
        <w:t xml:space="preserve">(5) </w:t>
      </w:r>
      <w:r>
        <w:rPr>
          <w:rFonts w:ascii="Arial" w:cs="Arial" w:eastAsia="Arial" w:hAnsi="Arial"/>
          <w:sz w:val="16"/>
          <w:szCs w:val="16"/>
          <w:color w:val="auto"/>
        </w:rPr>
        <w:t>a court of competent jurisdiction enters an order under any Bankruptcy Law that (i) is for relief against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in an involuntary case, (ii) appoints a Custodian of the Company for all or substantially all of its property or (iii) orders the liquidation of the Company, and the order or decree remains unstayed and in effect for 90 days.</w:t>
      </w:r>
    </w:p>
    <w:p>
      <w:pPr>
        <w:spacing w:after="0" w:line="117" w:lineRule="exact"/>
        <w:rPr>
          <w:sz w:val="20"/>
          <w:szCs w:val="20"/>
          <w:color w:val="auto"/>
        </w:rPr>
      </w:pPr>
    </w:p>
    <w:p>
      <w:pPr>
        <w:jc w:val="both"/>
        <w:ind w:firstLine="1303"/>
        <w:spacing w:after="0" w:line="319" w:lineRule="auto"/>
        <w:tabs>
          <w:tab w:leader="none" w:pos="2713" w:val="left"/>
        </w:tabs>
        <w:numPr>
          <w:ilvl w:val="0"/>
          <w:numId w:val="53"/>
        </w:numPr>
        <w:rPr>
          <w:rFonts w:ascii="Arial" w:cs="Arial" w:eastAsia="Arial" w:hAnsi="Arial"/>
          <w:sz w:val="13"/>
          <w:szCs w:val="13"/>
          <w:b w:val="1"/>
          <w:bCs w:val="1"/>
          <w:color w:val="auto"/>
        </w:rPr>
      </w:pPr>
      <w:r>
        <w:rPr>
          <w:rFonts w:ascii="Arial" w:cs="Arial" w:eastAsia="Arial" w:hAnsi="Arial"/>
          <w:sz w:val="13"/>
          <w:szCs w:val="13"/>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60" w:lineRule="exact"/>
        <w:rPr>
          <w:rFonts w:ascii="Arial" w:cs="Arial" w:eastAsia="Arial" w:hAnsi="Arial"/>
          <w:sz w:val="13"/>
          <w:szCs w:val="13"/>
          <w:b w:val="1"/>
          <w:bCs w:val="1"/>
          <w:color w:val="auto"/>
        </w:rPr>
      </w:pPr>
    </w:p>
    <w:p>
      <w:pPr>
        <w:jc w:val="both"/>
        <w:ind w:firstLine="1303"/>
        <w:spacing w:after="0" w:line="314" w:lineRule="auto"/>
        <w:tabs>
          <w:tab w:leader="none" w:pos="2680" w:val="left"/>
        </w:tabs>
        <w:numPr>
          <w:ilvl w:val="0"/>
          <w:numId w:val="53"/>
        </w:numPr>
        <w:rPr>
          <w:rFonts w:ascii="Arial" w:cs="Arial" w:eastAsia="Arial" w:hAnsi="Arial"/>
          <w:sz w:val="13"/>
          <w:szCs w:val="13"/>
          <w:b w:val="1"/>
          <w:bCs w:val="1"/>
          <w:color w:val="auto"/>
        </w:rPr>
      </w:pPr>
      <w:r>
        <w:rPr>
          <w:rFonts w:ascii="Arial" w:cs="Arial" w:eastAsia="Arial" w:hAnsi="Arial"/>
          <w:sz w:val="13"/>
          <w:szCs w:val="13"/>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60" w:name="page61"/>
    <w:bookmarkEnd w:id="60"/>
    <w:p>
      <w:pPr>
        <w:ind w:left="640"/>
        <w:spacing w:after="0"/>
        <w:rPr>
          <w:sz w:val="20"/>
          <w:szCs w:val="20"/>
          <w:color w:val="auto"/>
        </w:rPr>
      </w:pPr>
      <w:r>
        <w:rPr>
          <w:rFonts w:ascii="Arial" w:cs="Arial" w:eastAsia="Arial" w:hAnsi="Arial"/>
          <w:sz w:val="16"/>
          <w:szCs w:val="16"/>
          <w:color w:val="auto"/>
        </w:rPr>
        <w:t>No such rescission and annulment shall extend to or shall affect any subsequent default or impair any right consequent thereon.</w:t>
      </w:r>
    </w:p>
    <w:p>
      <w:pPr>
        <w:spacing w:after="0" w:line="170" w:lineRule="exact"/>
        <w:rPr>
          <w:sz w:val="20"/>
          <w:szCs w:val="20"/>
          <w:color w:val="auto"/>
        </w:rPr>
      </w:pPr>
    </w:p>
    <w:p>
      <w:pPr>
        <w:jc w:val="both"/>
        <w:ind w:firstLine="1303"/>
        <w:spacing w:after="0" w:line="275" w:lineRule="auto"/>
        <w:tabs>
          <w:tab w:leader="none" w:pos="2713" w:val="left"/>
        </w:tabs>
        <w:numPr>
          <w:ilvl w:val="0"/>
          <w:numId w:val="54"/>
        </w:numPr>
        <w:rPr>
          <w:rFonts w:ascii="Arial" w:cs="Arial" w:eastAsia="Arial" w:hAnsi="Arial"/>
          <w:sz w:val="15"/>
          <w:szCs w:val="15"/>
          <w:b w:val="1"/>
          <w:bCs w:val="1"/>
          <w:color w:val="auto"/>
        </w:rPr>
      </w:pPr>
      <w:r>
        <w:rPr>
          <w:rFonts w:ascii="Arial" w:cs="Arial" w:eastAsia="Arial" w:hAnsi="Arial"/>
          <w:sz w:val="15"/>
          <w:szCs w:val="15"/>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03"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Section 6.02 Collection of Indebtedness and Suits for Enforcement by Trustee</w:t>
      </w:r>
      <w:r>
        <w:rPr>
          <w:rFonts w:ascii="Arial" w:cs="Arial" w:eastAsia="Arial" w:hAnsi="Arial"/>
          <w:sz w:val="16"/>
          <w:szCs w:val="16"/>
          <w:color w:val="auto"/>
        </w:rPr>
        <w:t>.</w:t>
      </w:r>
    </w:p>
    <w:p>
      <w:pPr>
        <w:spacing w:after="0" w:line="174" w:lineRule="exact"/>
        <w:rPr>
          <w:sz w:val="20"/>
          <w:szCs w:val="20"/>
          <w:color w:val="auto"/>
        </w:rPr>
      </w:pPr>
    </w:p>
    <w:p>
      <w:pPr>
        <w:jc w:val="both"/>
        <w:ind w:right="20" w:firstLine="1303"/>
        <w:spacing w:after="0" w:line="315" w:lineRule="auto"/>
        <w:tabs>
          <w:tab w:leader="none" w:pos="2704" w:val="left"/>
        </w:tabs>
        <w:numPr>
          <w:ilvl w:val="0"/>
          <w:numId w:val="55"/>
        </w:numPr>
        <w:rPr>
          <w:rFonts w:ascii="Arial" w:cs="Arial" w:eastAsia="Arial" w:hAnsi="Arial"/>
          <w:sz w:val="13"/>
          <w:szCs w:val="13"/>
          <w:b w:val="1"/>
          <w:bCs w:val="1"/>
          <w:color w:val="auto"/>
        </w:rPr>
      </w:pPr>
      <w:r>
        <w:rPr>
          <w:rFonts w:ascii="Arial" w:cs="Arial" w:eastAsia="Arial" w:hAnsi="Arial"/>
          <w:sz w:val="13"/>
          <w:szCs w:val="13"/>
          <w:color w:val="auto"/>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60" w:lineRule="exact"/>
        <w:rPr>
          <w:rFonts w:ascii="Arial" w:cs="Arial" w:eastAsia="Arial" w:hAnsi="Arial"/>
          <w:sz w:val="13"/>
          <w:szCs w:val="13"/>
          <w:b w:val="1"/>
          <w:bCs w:val="1"/>
          <w:color w:val="auto"/>
        </w:rPr>
      </w:pPr>
    </w:p>
    <w:p>
      <w:pPr>
        <w:jc w:val="both"/>
        <w:ind w:firstLine="1303"/>
        <w:spacing w:after="0" w:line="251" w:lineRule="auto"/>
        <w:tabs>
          <w:tab w:leader="none" w:pos="2713" w:val="left"/>
        </w:tabs>
        <w:numPr>
          <w:ilvl w:val="0"/>
          <w:numId w:val="55"/>
        </w:numPr>
        <w:rPr>
          <w:rFonts w:ascii="Arial" w:cs="Arial" w:eastAsia="Arial" w:hAnsi="Arial"/>
          <w:sz w:val="16"/>
          <w:szCs w:val="16"/>
          <w:b w:val="1"/>
          <w:bCs w:val="1"/>
          <w:color w:val="auto"/>
        </w:rPr>
      </w:pPr>
      <w:r>
        <w:rPr>
          <w:rFonts w:ascii="Arial" w:cs="Arial" w:eastAsia="Arial" w:hAnsi="Arial"/>
          <w:sz w:val="16"/>
          <w:szCs w:val="16"/>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61" w:name="page62"/>
    <w:bookmarkEnd w:id="61"/>
    <w:p>
      <w:pPr>
        <w:jc w:val="both"/>
        <w:ind w:firstLine="1301"/>
        <w:spacing w:after="0" w:line="315" w:lineRule="auto"/>
        <w:tabs>
          <w:tab w:leader="none" w:pos="2693" w:val="left"/>
        </w:tabs>
        <w:numPr>
          <w:ilvl w:val="0"/>
          <w:numId w:val="56"/>
        </w:numPr>
        <w:rPr>
          <w:rFonts w:ascii="Arial" w:cs="Arial" w:eastAsia="Arial" w:hAnsi="Arial"/>
          <w:sz w:val="13"/>
          <w:szCs w:val="13"/>
          <w:b w:val="1"/>
          <w:bCs w:val="1"/>
          <w:color w:val="auto"/>
        </w:rPr>
      </w:pPr>
      <w:r>
        <w:rPr>
          <w:rFonts w:ascii="Arial" w:cs="Arial" w:eastAsia="Arial" w:hAnsi="Arial"/>
          <w:sz w:val="13"/>
          <w:szCs w:val="13"/>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60" w:lineRule="exact"/>
        <w:rPr>
          <w:rFonts w:ascii="Arial" w:cs="Arial" w:eastAsia="Arial" w:hAnsi="Arial"/>
          <w:sz w:val="13"/>
          <w:szCs w:val="13"/>
          <w:b w:val="1"/>
          <w:bCs w:val="1"/>
          <w:color w:val="auto"/>
        </w:rPr>
      </w:pPr>
    </w:p>
    <w:p>
      <w:pPr>
        <w:jc w:val="both"/>
        <w:ind w:firstLine="1301"/>
        <w:spacing w:after="0" w:line="275" w:lineRule="auto"/>
        <w:tabs>
          <w:tab w:leader="none" w:pos="2727" w:val="left"/>
        </w:tabs>
        <w:numPr>
          <w:ilvl w:val="0"/>
          <w:numId w:val="56"/>
        </w:numPr>
        <w:rPr>
          <w:rFonts w:ascii="Arial" w:cs="Arial" w:eastAsia="Arial" w:hAnsi="Arial"/>
          <w:sz w:val="15"/>
          <w:szCs w:val="15"/>
          <w:b w:val="1"/>
          <w:bCs w:val="1"/>
          <w:color w:val="auto"/>
        </w:rPr>
      </w:pPr>
      <w:r>
        <w:rPr>
          <w:rFonts w:ascii="Arial" w:cs="Arial" w:eastAsia="Arial" w:hAnsi="Arial"/>
          <w:sz w:val="15"/>
          <w:szCs w:val="15"/>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0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6.03 Application of Moneys Collected</w:t>
      </w:r>
      <w:r>
        <w:rPr>
          <w:rFonts w:ascii="Arial" w:cs="Arial" w:eastAsia="Arial" w:hAnsi="Arial"/>
          <w:sz w:val="16"/>
          <w:szCs w:val="16"/>
          <w:color w:val="auto"/>
        </w:rPr>
        <w:t>.</w:t>
      </w:r>
    </w:p>
    <w:p>
      <w:pPr>
        <w:spacing w:after="0" w:line="1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FIRST: To the payment of costs and expenses of collection and of all amounts payable to the Trustee under Section 7.06;</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62" w:name="page63"/>
    <w:bookmarkEnd w:id="62"/>
    <w:p>
      <w:pPr>
        <w:ind w:left="660"/>
        <w:spacing w:after="0"/>
        <w:rPr>
          <w:sz w:val="20"/>
          <w:szCs w:val="20"/>
          <w:color w:val="auto"/>
        </w:rPr>
      </w:pPr>
      <w:r>
        <w:rPr>
          <w:rFonts w:ascii="Arial" w:cs="Arial" w:eastAsia="Arial" w:hAnsi="Arial"/>
          <w:sz w:val="16"/>
          <w:szCs w:val="16"/>
          <w:color w:val="auto"/>
        </w:rPr>
        <w:t>THIRD: To the payment of the remainder, if any, to the Company or any other Person lawfully entitled thereto.</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6.04 Limitation on Suits</w:t>
      </w:r>
      <w:r>
        <w:rPr>
          <w:rFonts w:ascii="Arial" w:cs="Arial" w:eastAsia="Arial" w:hAnsi="Arial"/>
          <w:sz w:val="16"/>
          <w:szCs w:val="16"/>
          <w:color w:val="auto"/>
        </w:rPr>
        <w:t>.</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9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6.05 Rights and Remedies Cumulative; Delay or Omission Not Waiver</w:t>
      </w:r>
      <w:r>
        <w:rPr>
          <w:rFonts w:ascii="Arial" w:cs="Arial" w:eastAsia="Arial" w:hAnsi="Arial"/>
          <w:sz w:val="16"/>
          <w:szCs w:val="16"/>
          <w:color w:val="auto"/>
        </w:rPr>
        <w:t>.</w:t>
      </w:r>
    </w:p>
    <w:p>
      <w:pPr>
        <w:spacing w:after="0" w:line="174" w:lineRule="exact"/>
        <w:rPr>
          <w:sz w:val="20"/>
          <w:szCs w:val="20"/>
          <w:color w:val="auto"/>
        </w:rPr>
      </w:pPr>
    </w:p>
    <w:p>
      <w:pPr>
        <w:jc w:val="both"/>
        <w:ind w:firstLine="1301"/>
        <w:spacing w:after="0" w:line="253" w:lineRule="auto"/>
        <w:tabs>
          <w:tab w:leader="none" w:pos="2702" w:val="left"/>
        </w:tabs>
        <w:numPr>
          <w:ilvl w:val="0"/>
          <w:numId w:val="57"/>
        </w:numPr>
        <w:rPr>
          <w:rFonts w:ascii="Arial" w:cs="Arial" w:eastAsia="Arial" w:hAnsi="Arial"/>
          <w:sz w:val="16"/>
          <w:szCs w:val="16"/>
          <w:b w:val="1"/>
          <w:bCs w:val="1"/>
          <w:color w:val="auto"/>
        </w:rPr>
      </w:pPr>
      <w:r>
        <w:rPr>
          <w:rFonts w:ascii="Arial" w:cs="Arial" w:eastAsia="Arial" w:hAnsi="Arial"/>
          <w:sz w:val="16"/>
          <w:szCs w:val="16"/>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63" w:name="page64"/>
    <w:bookmarkEnd w:id="63"/>
    <w:p>
      <w:pPr>
        <w:jc w:val="both"/>
        <w:ind w:firstLine="1301"/>
        <w:spacing w:after="0" w:line="253" w:lineRule="auto"/>
        <w:tabs>
          <w:tab w:leader="none" w:pos="2727" w:val="left"/>
        </w:tabs>
        <w:numPr>
          <w:ilvl w:val="0"/>
          <w:numId w:val="58"/>
        </w:numPr>
        <w:rPr>
          <w:rFonts w:ascii="Arial" w:cs="Arial" w:eastAsia="Arial" w:hAnsi="Arial"/>
          <w:sz w:val="16"/>
          <w:szCs w:val="16"/>
          <w:b w:val="1"/>
          <w:bCs w:val="1"/>
          <w:color w:val="auto"/>
        </w:rPr>
      </w:pPr>
      <w:r>
        <w:rPr>
          <w:rFonts w:ascii="Arial" w:cs="Arial" w:eastAsia="Arial" w:hAnsi="Arial"/>
          <w:sz w:val="16"/>
          <w:szCs w:val="16"/>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6.06 Control by Securityholders</w:t>
      </w:r>
      <w:r>
        <w:rPr>
          <w:rFonts w:ascii="Arial" w:cs="Arial" w:eastAsia="Arial" w:hAnsi="Arial"/>
          <w:sz w:val="16"/>
          <w:szCs w:val="16"/>
          <w:color w:val="auto"/>
        </w:rPr>
        <w:t>.</w:t>
      </w:r>
    </w:p>
    <w:p>
      <w:pPr>
        <w:spacing w:after="0" w:line="174"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3"/>
          <w:szCs w:val="13"/>
          <w:color w:val="auto"/>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6.07 Undertaking to Pay Costs</w:t>
      </w:r>
      <w:r>
        <w:rPr>
          <w:rFonts w:ascii="Arial" w:cs="Arial" w:eastAsia="Arial" w:hAnsi="Arial"/>
          <w:sz w:val="16"/>
          <w:szCs w:val="16"/>
          <w:color w:val="auto"/>
        </w:rPr>
        <w:t>.</w:t>
      </w:r>
    </w:p>
    <w:p>
      <w:pPr>
        <w:spacing w:after="0" w:line="174" w:lineRule="exact"/>
        <w:rPr>
          <w:sz w:val="20"/>
          <w:szCs w:val="20"/>
          <w:color w:val="auto"/>
        </w:rPr>
      </w:pPr>
    </w:p>
    <w:p>
      <w:pPr>
        <w:jc w:val="both"/>
        <w:ind w:right="20" w:firstLine="648"/>
        <w:spacing w:after="0" w:line="317" w:lineRule="auto"/>
        <w:rPr>
          <w:sz w:val="20"/>
          <w:szCs w:val="20"/>
          <w:color w:val="auto"/>
        </w:rPr>
      </w:pPr>
      <w:r>
        <w:rPr>
          <w:rFonts w:ascii="Arial" w:cs="Arial" w:eastAsia="Arial" w:hAnsi="Arial"/>
          <w:sz w:val="13"/>
          <w:szCs w:val="13"/>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64" w:name="page65"/>
    <w:bookmarkEnd w:id="64"/>
    <w:p>
      <w:pPr>
        <w:jc w:val="center"/>
        <w:spacing w:after="0"/>
        <w:rPr>
          <w:sz w:val="20"/>
          <w:szCs w:val="20"/>
          <w:color w:val="auto"/>
        </w:rPr>
      </w:pPr>
      <w:r>
        <w:rPr>
          <w:rFonts w:ascii="Arial" w:cs="Arial" w:eastAsia="Arial" w:hAnsi="Arial"/>
          <w:sz w:val="16"/>
          <w:szCs w:val="16"/>
          <w:b w:val="1"/>
          <w:bCs w:val="1"/>
          <w:color w:val="auto"/>
        </w:rPr>
        <w:t>ARTICLE 7</w:t>
      </w:r>
    </w:p>
    <w:p>
      <w:pPr>
        <w:spacing w:after="0" w:line="170" w:lineRule="exact"/>
        <w:rPr>
          <w:sz w:val="20"/>
          <w:szCs w:val="20"/>
          <w:color w:val="auto"/>
        </w:rPr>
      </w:pPr>
    </w:p>
    <w:p>
      <w:pPr>
        <w:ind w:left="4340"/>
        <w:spacing w:after="0"/>
        <w:rPr>
          <w:sz w:val="20"/>
          <w:szCs w:val="20"/>
          <w:color w:val="auto"/>
        </w:rPr>
      </w:pPr>
      <w:r>
        <w:rPr>
          <w:rFonts w:ascii="Arial" w:cs="Arial" w:eastAsia="Arial" w:hAnsi="Arial"/>
          <w:sz w:val="16"/>
          <w:szCs w:val="16"/>
          <w:b w:val="1"/>
          <w:bCs w:val="1"/>
          <w:color w:val="auto"/>
        </w:rPr>
        <w:t>CONCERNING THE TRUSTEE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7.01 Certain Duties and Responsibilities of Trustee</w:t>
      </w:r>
      <w:r>
        <w:rPr>
          <w:rFonts w:ascii="Arial" w:cs="Arial" w:eastAsia="Arial" w:hAnsi="Arial"/>
          <w:sz w:val="16"/>
          <w:szCs w:val="16"/>
          <w:color w:val="auto"/>
        </w:rPr>
        <w:t>.</w:t>
      </w:r>
    </w:p>
    <w:p>
      <w:pPr>
        <w:spacing w:after="0" w:line="174" w:lineRule="exact"/>
        <w:rPr>
          <w:sz w:val="20"/>
          <w:szCs w:val="20"/>
          <w:color w:val="auto"/>
        </w:rPr>
      </w:pPr>
    </w:p>
    <w:p>
      <w:pPr>
        <w:jc w:val="both"/>
        <w:ind w:firstLine="1301"/>
        <w:spacing w:after="0" w:line="250" w:lineRule="auto"/>
        <w:tabs>
          <w:tab w:leader="none" w:pos="2702" w:val="left"/>
        </w:tabs>
        <w:numPr>
          <w:ilvl w:val="0"/>
          <w:numId w:val="59"/>
        </w:numPr>
        <w:rPr>
          <w:rFonts w:ascii="Arial" w:cs="Arial" w:eastAsia="Arial" w:hAnsi="Arial"/>
          <w:sz w:val="16"/>
          <w:szCs w:val="16"/>
          <w:b w:val="1"/>
          <w:bCs w:val="1"/>
          <w:color w:val="auto"/>
        </w:rPr>
      </w:pPr>
      <w:r>
        <w:rPr>
          <w:rFonts w:ascii="Arial" w:cs="Arial" w:eastAsia="Arial" w:hAnsi="Arial"/>
          <w:sz w:val="16"/>
          <w:szCs w:val="16"/>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w:t>
      </w:r>
    </w:p>
    <w:p>
      <w:pPr>
        <w:spacing w:after="0" w:line="102" w:lineRule="exact"/>
        <w:rPr>
          <w:rFonts w:ascii="Arial" w:cs="Arial" w:eastAsia="Arial" w:hAnsi="Arial"/>
          <w:sz w:val="16"/>
          <w:szCs w:val="16"/>
          <w:b w:val="1"/>
          <w:bCs w:val="1"/>
          <w:color w:val="auto"/>
        </w:rPr>
      </w:pPr>
    </w:p>
    <w:p>
      <w:pPr>
        <w:ind w:right="280" w:firstLine="1301"/>
        <w:spacing w:after="0" w:line="267" w:lineRule="auto"/>
        <w:tabs>
          <w:tab w:leader="none" w:pos="2727" w:val="left"/>
        </w:tabs>
        <w:numPr>
          <w:ilvl w:val="0"/>
          <w:numId w:val="59"/>
        </w:numPr>
        <w:rPr>
          <w:rFonts w:ascii="Arial" w:cs="Arial" w:eastAsia="Arial" w:hAnsi="Arial"/>
          <w:sz w:val="16"/>
          <w:szCs w:val="16"/>
          <w:b w:val="1"/>
          <w:bCs w:val="1"/>
          <w:color w:val="auto"/>
        </w:rPr>
      </w:pPr>
      <w:r>
        <w:rPr>
          <w:rFonts w:ascii="Arial" w:cs="Arial" w:eastAsia="Arial" w:hAnsi="Arial"/>
          <w:sz w:val="16"/>
          <w:szCs w:val="16"/>
          <w:color w:val="auto"/>
        </w:rPr>
        <w:t>No provision of this Indenture shall be construed to relieve the Trustee from liability for its own negligent action, its own negligent failure to act, or its own willful misconduct, except that:</w:t>
      </w:r>
    </w:p>
    <w:p>
      <w:pPr>
        <w:spacing w:after="0" w:line="87" w:lineRule="exact"/>
        <w:rPr>
          <w:sz w:val="20"/>
          <w:szCs w:val="20"/>
          <w:color w:val="auto"/>
        </w:rPr>
      </w:pPr>
    </w:p>
    <w:p>
      <w:pPr>
        <w:ind w:right="60" w:firstLine="1301"/>
        <w:spacing w:after="0" w:line="267" w:lineRule="auto"/>
        <w:tabs>
          <w:tab w:leader="none" w:pos="2652" w:val="left"/>
        </w:tabs>
        <w:numPr>
          <w:ilvl w:val="0"/>
          <w:numId w:val="60"/>
        </w:numPr>
        <w:rPr>
          <w:rFonts w:ascii="Arial" w:cs="Arial" w:eastAsia="Arial" w:hAnsi="Arial"/>
          <w:sz w:val="16"/>
          <w:szCs w:val="16"/>
          <w:b w:val="1"/>
          <w:bCs w:val="1"/>
          <w:color w:val="auto"/>
        </w:rPr>
      </w:pPr>
      <w:r>
        <w:rPr>
          <w:rFonts w:ascii="Arial" w:cs="Arial" w:eastAsia="Arial" w:hAnsi="Arial"/>
          <w:sz w:val="16"/>
          <w:szCs w:val="16"/>
          <w:color w:val="auto"/>
        </w:rPr>
        <w:t>prior to the occurrence of an Event of Default with respect to the Securities of a series and after the curing or waiving of all such Events of Default with respect to that series that may have occurred:</w:t>
      </w:r>
    </w:p>
    <w:p>
      <w:pPr>
        <w:spacing w:after="0" w:line="83" w:lineRule="exact"/>
        <w:rPr>
          <w:sz w:val="20"/>
          <w:szCs w:val="20"/>
          <w:color w:val="auto"/>
        </w:rPr>
      </w:pPr>
    </w:p>
    <w:p>
      <w:pPr>
        <w:jc w:val="both"/>
        <w:ind w:firstLine="1956"/>
        <w:spacing w:after="0" w:line="259"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the duties and obligations of the Trustee shall with respect to the Securities of such series be determined solely by</w:t>
      </w:r>
      <w:r>
        <w:rPr>
          <w:rFonts w:ascii="Arial" w:cs="Arial" w:eastAsia="Arial" w:hAnsi="Arial"/>
          <w:sz w:val="16"/>
          <w:szCs w:val="16"/>
          <w:b w:val="1"/>
          <w:bCs w:val="1"/>
          <w:color w:val="auto"/>
        </w:rPr>
        <w:t xml:space="preserve"> </w:t>
      </w:r>
      <w:r>
        <w:rPr>
          <w:rFonts w:ascii="Arial" w:cs="Arial" w:eastAsia="Arial" w:hAnsi="Arial"/>
          <w:sz w:val="16"/>
          <w:szCs w:val="16"/>
          <w:color w:val="auto"/>
        </w:rPr>
        <w:t>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13" w:lineRule="exact"/>
        <w:rPr>
          <w:sz w:val="20"/>
          <w:szCs w:val="20"/>
          <w:color w:val="auto"/>
        </w:rPr>
      </w:pPr>
    </w:p>
    <w:p>
      <w:pPr>
        <w:jc w:val="both"/>
        <w:ind w:right="20" w:firstLine="1956"/>
        <w:spacing w:after="0" w:line="277" w:lineRule="auto"/>
        <w:rPr>
          <w:sz w:val="20"/>
          <w:szCs w:val="20"/>
          <w:color w:val="auto"/>
        </w:rPr>
      </w:pPr>
      <w:r>
        <w:rPr>
          <w:rFonts w:ascii="Arial" w:cs="Arial" w:eastAsia="Arial" w:hAnsi="Arial"/>
          <w:sz w:val="15"/>
          <w:szCs w:val="15"/>
          <w:b w:val="1"/>
          <w:bCs w:val="1"/>
          <w:color w:val="auto"/>
        </w:rPr>
        <w:t xml:space="preserve">(B) </w:t>
      </w:r>
      <w:r>
        <w:rPr>
          <w:rFonts w:ascii="Arial" w:cs="Arial" w:eastAsia="Arial" w:hAnsi="Arial"/>
          <w:sz w:val="15"/>
          <w:szCs w:val="15"/>
          <w:color w:val="auto"/>
        </w:rPr>
        <w:t>in the absence of bad faith on the part of the Trustee, the Trustee may with respect to the Securities of such series</w:t>
      </w:r>
      <w:r>
        <w:rPr>
          <w:rFonts w:ascii="Arial" w:cs="Arial" w:eastAsia="Arial" w:hAnsi="Arial"/>
          <w:sz w:val="15"/>
          <w:szCs w:val="15"/>
          <w:b w:val="1"/>
          <w:bCs w:val="1"/>
          <w:color w:val="auto"/>
        </w:rPr>
        <w:t xml:space="preserve"> </w:t>
      </w:r>
      <w:r>
        <w:rPr>
          <w:rFonts w:ascii="Arial" w:cs="Arial" w:eastAsia="Arial" w:hAnsi="Arial"/>
          <w:sz w:val="15"/>
          <w:szCs w:val="15"/>
          <w:color w:val="auto"/>
        </w:rPr>
        <w:t>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65" w:name="page66"/>
    <w:bookmarkEnd w:id="65"/>
    <w:p>
      <w:pPr>
        <w:ind w:right="680" w:firstLine="1301"/>
        <w:spacing w:after="0" w:line="301" w:lineRule="auto"/>
        <w:tabs>
          <w:tab w:leader="none" w:pos="2743" w:val="left"/>
        </w:tabs>
        <w:numPr>
          <w:ilvl w:val="0"/>
          <w:numId w:val="61"/>
        </w:numPr>
        <w:rPr>
          <w:rFonts w:ascii="Arial" w:cs="Arial" w:eastAsia="Arial" w:hAnsi="Arial"/>
          <w:sz w:val="15"/>
          <w:szCs w:val="15"/>
          <w:b w:val="1"/>
          <w:bCs w:val="1"/>
          <w:color w:val="auto"/>
        </w:rPr>
      </w:pPr>
      <w:r>
        <w:rPr>
          <w:rFonts w:ascii="Arial" w:cs="Arial" w:eastAsia="Arial" w:hAnsi="Arial"/>
          <w:sz w:val="15"/>
          <w:szCs w:val="15"/>
          <w:color w:val="auto"/>
        </w:rPr>
        <w:t>the Trustee shall not be liable to any Securityholder or to any other Person for any error of judgment made in good faith by a Responsible Officer or Responsible Officers of the Trustee, unless it shall be proved that the Trustee was negligent in ascertaining the pertinent facts;</w:t>
      </w:r>
    </w:p>
    <w:p>
      <w:pPr>
        <w:spacing w:after="0" w:line="51" w:lineRule="exact"/>
        <w:rPr>
          <w:rFonts w:ascii="Arial" w:cs="Arial" w:eastAsia="Arial" w:hAnsi="Arial"/>
          <w:sz w:val="15"/>
          <w:szCs w:val="15"/>
          <w:b w:val="1"/>
          <w:bCs w:val="1"/>
          <w:color w:val="auto"/>
        </w:rPr>
      </w:pPr>
    </w:p>
    <w:p>
      <w:pPr>
        <w:jc w:val="both"/>
        <w:ind w:right="20" w:firstLine="1301"/>
        <w:spacing w:after="0" w:line="253" w:lineRule="auto"/>
        <w:tabs>
          <w:tab w:leader="none" w:pos="2818" w:val="left"/>
        </w:tabs>
        <w:numPr>
          <w:ilvl w:val="0"/>
          <w:numId w:val="61"/>
        </w:numPr>
        <w:rPr>
          <w:rFonts w:ascii="Arial" w:cs="Arial" w:eastAsia="Arial" w:hAnsi="Arial"/>
          <w:sz w:val="16"/>
          <w:szCs w:val="16"/>
          <w:b w:val="1"/>
          <w:bCs w:val="1"/>
          <w:color w:val="auto"/>
        </w:rPr>
      </w:pPr>
      <w:r>
        <w:rPr>
          <w:rFonts w:ascii="Arial" w:cs="Arial" w:eastAsia="Arial" w:hAnsi="Arial"/>
          <w:sz w:val="16"/>
          <w:szCs w:val="16"/>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w:t>
      </w:r>
    </w:p>
    <w:p>
      <w:pPr>
        <w:spacing w:after="0" w:line="122" w:lineRule="exact"/>
        <w:rPr>
          <w:rFonts w:ascii="Arial" w:cs="Arial" w:eastAsia="Arial" w:hAnsi="Arial"/>
          <w:sz w:val="16"/>
          <w:szCs w:val="16"/>
          <w:b w:val="1"/>
          <w:bCs w:val="1"/>
          <w:color w:val="auto"/>
        </w:rPr>
      </w:pPr>
    </w:p>
    <w:p>
      <w:pPr>
        <w:jc w:val="both"/>
        <w:ind w:right="20" w:firstLine="1301"/>
        <w:spacing w:after="0" w:line="344" w:lineRule="auto"/>
        <w:tabs>
          <w:tab w:leader="none" w:pos="2809" w:val="left"/>
        </w:tabs>
        <w:numPr>
          <w:ilvl w:val="0"/>
          <w:numId w:val="61"/>
        </w:numPr>
        <w:rPr>
          <w:rFonts w:ascii="Arial" w:cs="Arial" w:eastAsia="Arial" w:hAnsi="Arial"/>
          <w:sz w:val="13"/>
          <w:szCs w:val="13"/>
          <w:b w:val="1"/>
          <w:bCs w:val="1"/>
          <w:color w:val="auto"/>
        </w:rPr>
      </w:pPr>
      <w:r>
        <w:rPr>
          <w:rFonts w:ascii="Arial" w:cs="Arial" w:eastAsia="Arial" w:hAnsi="Arial"/>
          <w:sz w:val="13"/>
          <w:szCs w:val="13"/>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66" w:lineRule="exact"/>
        <w:rPr>
          <w:rFonts w:ascii="Arial" w:cs="Arial" w:eastAsia="Arial" w:hAnsi="Arial"/>
          <w:sz w:val="13"/>
          <w:szCs w:val="13"/>
          <w:b w:val="1"/>
          <w:bCs w:val="1"/>
          <w:color w:val="auto"/>
        </w:rPr>
      </w:pPr>
    </w:p>
    <w:p>
      <w:pPr>
        <w:ind w:left="1540" w:hanging="246"/>
        <w:spacing w:after="0"/>
        <w:tabs>
          <w:tab w:leader="none" w:pos="1540" w:val="left"/>
        </w:tabs>
        <w:numPr>
          <w:ilvl w:val="0"/>
          <w:numId w:val="61"/>
        </w:numPr>
        <w:rPr>
          <w:rFonts w:ascii="Arial" w:cs="Arial" w:eastAsia="Arial" w:hAnsi="Arial"/>
          <w:sz w:val="16"/>
          <w:szCs w:val="16"/>
          <w:b w:val="1"/>
          <w:bCs w:val="1"/>
          <w:color w:val="auto"/>
        </w:rPr>
      </w:pPr>
      <w:r>
        <w:rPr>
          <w:rFonts w:ascii="Arial" w:cs="Arial" w:eastAsia="Arial" w:hAnsi="Arial"/>
          <w:sz w:val="16"/>
          <w:szCs w:val="16"/>
          <w:color w:val="auto"/>
        </w:rPr>
        <w:t>The Trustee shall not be required to give any bond or surety in respect of the performance of its powers or duties hereunder;</w:t>
      </w:r>
    </w:p>
    <w:p>
      <w:pPr>
        <w:spacing w:after="0" w:line="170" w:lineRule="exact"/>
        <w:rPr>
          <w:rFonts w:ascii="Arial" w:cs="Arial" w:eastAsia="Arial" w:hAnsi="Arial"/>
          <w:sz w:val="16"/>
          <w:szCs w:val="16"/>
          <w:b w:val="1"/>
          <w:bCs w:val="1"/>
          <w:color w:val="auto"/>
        </w:rPr>
      </w:pPr>
    </w:p>
    <w:p>
      <w:pPr>
        <w:ind w:left="1580" w:hanging="286"/>
        <w:spacing w:after="0"/>
        <w:tabs>
          <w:tab w:leader="none" w:pos="1580" w:val="left"/>
        </w:tabs>
        <w:numPr>
          <w:ilvl w:val="0"/>
          <w:numId w:val="61"/>
        </w:numPr>
        <w:rPr>
          <w:rFonts w:ascii="Arial" w:cs="Arial" w:eastAsia="Arial" w:hAnsi="Arial"/>
          <w:sz w:val="16"/>
          <w:szCs w:val="16"/>
          <w:b w:val="1"/>
          <w:bCs w:val="1"/>
          <w:color w:val="auto"/>
        </w:rPr>
      </w:pPr>
      <w:r>
        <w:rPr>
          <w:rFonts w:ascii="Arial" w:cs="Arial" w:eastAsia="Arial" w:hAnsi="Arial"/>
          <w:sz w:val="16"/>
          <w:szCs w:val="16"/>
          <w:color w:val="auto"/>
        </w:rPr>
        <w:t>The permissive right of the Trustee to do things enumerated in this Indenture shall not be construed as a duty of the Trustee; and</w:t>
      </w:r>
    </w:p>
    <w:p>
      <w:pPr>
        <w:spacing w:after="0" w:line="194" w:lineRule="exact"/>
        <w:rPr>
          <w:rFonts w:ascii="Arial" w:cs="Arial" w:eastAsia="Arial" w:hAnsi="Arial"/>
          <w:sz w:val="16"/>
          <w:szCs w:val="16"/>
          <w:b w:val="1"/>
          <w:bCs w:val="1"/>
          <w:color w:val="auto"/>
        </w:rPr>
      </w:pPr>
    </w:p>
    <w:p>
      <w:pPr>
        <w:ind w:left="1640" w:hanging="346"/>
        <w:spacing w:after="0"/>
        <w:tabs>
          <w:tab w:leader="none" w:pos="1640" w:val="left"/>
        </w:tabs>
        <w:numPr>
          <w:ilvl w:val="0"/>
          <w:numId w:val="61"/>
        </w:numPr>
        <w:rPr>
          <w:rFonts w:ascii="Arial" w:cs="Arial" w:eastAsia="Arial" w:hAnsi="Arial"/>
          <w:sz w:val="16"/>
          <w:szCs w:val="16"/>
          <w:b w:val="1"/>
          <w:bCs w:val="1"/>
          <w:color w:val="auto"/>
        </w:rPr>
      </w:pPr>
      <w:r>
        <w:rPr>
          <w:rFonts w:ascii="Arial" w:cs="Arial" w:eastAsia="Arial" w:hAnsi="Arial"/>
          <w:sz w:val="16"/>
          <w:szCs w:val="16"/>
          <w:color w:val="auto"/>
        </w:rPr>
        <w:t>No Trustee shall have any duty or responsibility for any act or omission of any other Trustee appointed with respect to a series of</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Securities hereunder.</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7.02 Certain Rights of Trustee</w:t>
      </w:r>
      <w:r>
        <w:rPr>
          <w:rFonts w:ascii="Arial" w:cs="Arial" w:eastAsia="Arial" w:hAnsi="Arial"/>
          <w:sz w:val="16"/>
          <w:szCs w:val="16"/>
          <w:color w:val="auto"/>
        </w:rPr>
        <w: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as otherwise provided in Section 7.01:</w:t>
      </w:r>
    </w:p>
    <w:p>
      <w:pPr>
        <w:spacing w:after="0" w:line="170" w:lineRule="exact"/>
        <w:rPr>
          <w:sz w:val="20"/>
          <w:szCs w:val="20"/>
          <w:color w:val="auto"/>
        </w:rPr>
      </w:pPr>
    </w:p>
    <w:p>
      <w:pPr>
        <w:jc w:val="both"/>
        <w:ind w:firstLine="1301"/>
        <w:spacing w:after="0" w:line="257" w:lineRule="auto"/>
        <w:tabs>
          <w:tab w:leader="none" w:pos="2718" w:val="left"/>
        </w:tabs>
        <w:numPr>
          <w:ilvl w:val="0"/>
          <w:numId w:val="62"/>
        </w:numPr>
        <w:rPr>
          <w:rFonts w:ascii="Arial" w:cs="Arial" w:eastAsia="Arial" w:hAnsi="Arial"/>
          <w:sz w:val="16"/>
          <w:szCs w:val="16"/>
          <w:b w:val="1"/>
          <w:bCs w:val="1"/>
          <w:color w:val="auto"/>
        </w:rPr>
      </w:pPr>
      <w:r>
        <w:rPr>
          <w:rFonts w:ascii="Arial" w:cs="Arial" w:eastAsia="Arial" w:hAnsi="Arial"/>
          <w:sz w:val="16"/>
          <w:szCs w:val="16"/>
          <w:color w:val="auto"/>
        </w:rPr>
        <w:t>The Trustee may conclusively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17" w:lineRule="exact"/>
        <w:rPr>
          <w:rFonts w:ascii="Arial" w:cs="Arial" w:eastAsia="Arial" w:hAnsi="Arial"/>
          <w:sz w:val="16"/>
          <w:szCs w:val="16"/>
          <w:b w:val="1"/>
          <w:bCs w:val="1"/>
          <w:color w:val="auto"/>
        </w:rPr>
      </w:pPr>
    </w:p>
    <w:p>
      <w:pPr>
        <w:ind w:right="20" w:firstLine="1301"/>
        <w:spacing w:after="0" w:line="385" w:lineRule="auto"/>
        <w:tabs>
          <w:tab w:leader="none" w:pos="2727" w:val="left"/>
        </w:tabs>
        <w:numPr>
          <w:ilvl w:val="0"/>
          <w:numId w:val="62"/>
        </w:numPr>
        <w:rPr>
          <w:rFonts w:ascii="Arial" w:cs="Arial" w:eastAsia="Arial" w:hAnsi="Arial"/>
          <w:sz w:val="13"/>
          <w:szCs w:val="13"/>
          <w:b w:val="1"/>
          <w:bCs w:val="1"/>
          <w:color w:val="auto"/>
        </w:rPr>
      </w:pPr>
      <w:r>
        <w:rPr>
          <w:rFonts w:ascii="Arial" w:cs="Arial" w:eastAsia="Arial" w:hAnsi="Arial"/>
          <w:sz w:val="13"/>
          <w:szCs w:val="13"/>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40" w:lineRule="exact"/>
        <w:rPr>
          <w:rFonts w:ascii="Arial" w:cs="Arial" w:eastAsia="Arial" w:hAnsi="Arial"/>
          <w:sz w:val="13"/>
          <w:szCs w:val="13"/>
          <w:b w:val="1"/>
          <w:bCs w:val="1"/>
          <w:color w:val="auto"/>
        </w:rPr>
      </w:pPr>
    </w:p>
    <w:p>
      <w:pPr>
        <w:ind w:right="120" w:firstLine="1301"/>
        <w:spacing w:after="0" w:line="301" w:lineRule="auto"/>
        <w:tabs>
          <w:tab w:leader="none" w:pos="2693" w:val="left"/>
        </w:tabs>
        <w:numPr>
          <w:ilvl w:val="0"/>
          <w:numId w:val="62"/>
        </w:numPr>
        <w:rPr>
          <w:rFonts w:ascii="Arial" w:cs="Arial" w:eastAsia="Arial" w:hAnsi="Arial"/>
          <w:sz w:val="15"/>
          <w:szCs w:val="15"/>
          <w:b w:val="1"/>
          <w:bCs w:val="1"/>
          <w:color w:val="auto"/>
        </w:rPr>
      </w:pPr>
      <w:r>
        <w:rPr>
          <w:rFonts w:ascii="Arial" w:cs="Arial" w:eastAsia="Arial" w:hAnsi="Arial"/>
          <w:sz w:val="15"/>
          <w:szCs w:val="15"/>
          <w:color w:val="auto"/>
        </w:rPr>
        <w:t>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66" w:name="page67"/>
    <w:bookmarkEnd w:id="66"/>
    <w:p>
      <w:pPr>
        <w:jc w:val="both"/>
        <w:ind w:firstLine="1303"/>
        <w:spacing w:after="0" w:line="250" w:lineRule="auto"/>
        <w:tabs>
          <w:tab w:leader="none" w:pos="2713" w:val="left"/>
        </w:tabs>
        <w:numPr>
          <w:ilvl w:val="0"/>
          <w:numId w:val="63"/>
        </w:numPr>
        <w:rPr>
          <w:rFonts w:ascii="Arial" w:cs="Arial" w:eastAsia="Arial" w:hAnsi="Arial"/>
          <w:sz w:val="16"/>
          <w:szCs w:val="16"/>
          <w:b w:val="1"/>
          <w:bCs w:val="1"/>
          <w:color w:val="auto"/>
        </w:rPr>
      </w:pPr>
      <w:r>
        <w:rPr>
          <w:rFonts w:ascii="Arial" w:cs="Arial" w:eastAsia="Arial" w:hAnsi="Arial"/>
          <w:sz w:val="16"/>
          <w:szCs w:val="16"/>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acceptable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w:t>
      </w:r>
    </w:p>
    <w:p>
      <w:pPr>
        <w:spacing w:after="0" w:line="102" w:lineRule="exact"/>
        <w:rPr>
          <w:rFonts w:ascii="Arial" w:cs="Arial" w:eastAsia="Arial" w:hAnsi="Arial"/>
          <w:sz w:val="16"/>
          <w:szCs w:val="16"/>
          <w:b w:val="1"/>
          <w:bCs w:val="1"/>
          <w:color w:val="auto"/>
        </w:rPr>
      </w:pPr>
    </w:p>
    <w:p>
      <w:pPr>
        <w:ind w:right="400" w:firstLine="1303"/>
        <w:spacing w:after="0" w:line="267" w:lineRule="auto"/>
        <w:tabs>
          <w:tab w:leader="none" w:pos="2680" w:val="left"/>
        </w:tabs>
        <w:numPr>
          <w:ilvl w:val="0"/>
          <w:numId w:val="63"/>
        </w:numPr>
        <w:rPr>
          <w:rFonts w:ascii="Arial" w:cs="Arial" w:eastAsia="Arial" w:hAnsi="Arial"/>
          <w:sz w:val="16"/>
          <w:szCs w:val="16"/>
          <w:b w:val="1"/>
          <w:bCs w:val="1"/>
          <w:color w:val="auto"/>
        </w:rPr>
      </w:pPr>
      <w:r>
        <w:rPr>
          <w:rFonts w:ascii="Arial" w:cs="Arial" w:eastAsia="Arial" w:hAnsi="Arial"/>
          <w:sz w:val="16"/>
          <w:szCs w:val="16"/>
          <w:color w:val="auto"/>
        </w:rPr>
        <w:t>The Trustee shall not be liable for any action taken or omitted to be taken by it in good faith and believed by it to be authorized or within the discretion or rights or powers conferred upon it by this Indenture;</w:t>
      </w:r>
    </w:p>
    <w:p>
      <w:pPr>
        <w:spacing w:after="0" w:line="86" w:lineRule="exact"/>
        <w:rPr>
          <w:rFonts w:ascii="Arial" w:cs="Arial" w:eastAsia="Arial" w:hAnsi="Arial"/>
          <w:sz w:val="16"/>
          <w:szCs w:val="16"/>
          <w:b w:val="1"/>
          <w:bCs w:val="1"/>
          <w:color w:val="auto"/>
        </w:rPr>
      </w:pPr>
    </w:p>
    <w:p>
      <w:pPr>
        <w:jc w:val="both"/>
        <w:ind w:firstLine="1303"/>
        <w:spacing w:after="0" w:line="317" w:lineRule="auto"/>
        <w:tabs>
          <w:tab w:leader="none" w:pos="2647" w:val="left"/>
        </w:tabs>
        <w:numPr>
          <w:ilvl w:val="0"/>
          <w:numId w:val="63"/>
        </w:numPr>
        <w:rPr>
          <w:rFonts w:ascii="Arial" w:cs="Arial" w:eastAsia="Arial" w:hAnsi="Arial"/>
          <w:sz w:val="13"/>
          <w:szCs w:val="13"/>
          <w:b w:val="1"/>
          <w:bCs w:val="1"/>
          <w:color w:val="auto"/>
        </w:rPr>
      </w:pPr>
      <w:r>
        <w:rPr>
          <w:rFonts w:ascii="Arial" w:cs="Arial" w:eastAsia="Arial" w:hAnsi="Arial"/>
          <w:sz w:val="13"/>
          <w:szCs w:val="13"/>
          <w:color w:val="auto"/>
        </w:rPr>
        <w:t>The Trustee shall not be bound to make any investigation into the facts or matters stated in any resolution, certificate, statement, instrument, opinion, 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 proceeding. The reasonable expense of every such examination shall be paid by the Company or, if paid by the Trustee, shall be repaid by the Company upon demand;</w:t>
      </w:r>
    </w:p>
    <w:p>
      <w:pPr>
        <w:spacing w:after="0" w:line="59" w:lineRule="exact"/>
        <w:rPr>
          <w:rFonts w:ascii="Arial" w:cs="Arial" w:eastAsia="Arial" w:hAnsi="Arial"/>
          <w:sz w:val="13"/>
          <w:szCs w:val="13"/>
          <w:b w:val="1"/>
          <w:bCs w:val="1"/>
          <w:color w:val="auto"/>
        </w:rPr>
      </w:pPr>
    </w:p>
    <w:p>
      <w:pPr>
        <w:ind w:right="20" w:firstLine="1303"/>
        <w:spacing w:after="0" w:line="385" w:lineRule="auto"/>
        <w:tabs>
          <w:tab w:leader="none" w:pos="2689" w:val="left"/>
        </w:tabs>
        <w:numPr>
          <w:ilvl w:val="0"/>
          <w:numId w:val="63"/>
        </w:numPr>
        <w:rPr>
          <w:rFonts w:ascii="Arial" w:cs="Arial" w:eastAsia="Arial" w:hAnsi="Arial"/>
          <w:sz w:val="13"/>
          <w:szCs w:val="13"/>
          <w:b w:val="1"/>
          <w:bCs w:val="1"/>
          <w:color w:val="auto"/>
        </w:rPr>
      </w:pPr>
      <w:r>
        <w:rPr>
          <w:rFonts w:ascii="Arial" w:cs="Arial" w:eastAsia="Arial" w:hAnsi="Arial"/>
          <w:sz w:val="13"/>
          <w:szCs w:val="13"/>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40" w:lineRule="exact"/>
        <w:rPr>
          <w:rFonts w:ascii="Arial" w:cs="Arial" w:eastAsia="Arial" w:hAnsi="Arial"/>
          <w:sz w:val="13"/>
          <w:szCs w:val="13"/>
          <w:b w:val="1"/>
          <w:bCs w:val="1"/>
          <w:color w:val="auto"/>
        </w:rPr>
      </w:pPr>
    </w:p>
    <w:p>
      <w:pPr>
        <w:jc w:val="both"/>
        <w:ind w:right="20" w:firstLine="1303"/>
        <w:spacing w:after="0" w:line="251" w:lineRule="auto"/>
        <w:tabs>
          <w:tab w:leader="none" w:pos="2713" w:val="left"/>
        </w:tabs>
        <w:numPr>
          <w:ilvl w:val="0"/>
          <w:numId w:val="63"/>
        </w:numPr>
        <w:rPr>
          <w:rFonts w:ascii="Arial" w:cs="Arial" w:eastAsia="Arial" w:hAnsi="Arial"/>
          <w:sz w:val="16"/>
          <w:szCs w:val="16"/>
          <w:b w:val="1"/>
          <w:bCs w:val="1"/>
          <w:color w:val="auto"/>
        </w:rPr>
      </w:pPr>
      <w:r>
        <w:rPr>
          <w:rFonts w:ascii="Arial" w:cs="Arial" w:eastAsia="Arial" w:hAnsi="Arial"/>
          <w:sz w:val="16"/>
          <w:szCs w:val="16"/>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01" w:lineRule="exact"/>
        <w:rPr>
          <w:rFonts w:ascii="Arial" w:cs="Arial" w:eastAsia="Arial" w:hAnsi="Arial"/>
          <w:sz w:val="16"/>
          <w:szCs w:val="16"/>
          <w:b w:val="1"/>
          <w:bCs w:val="1"/>
          <w:color w:val="auto"/>
        </w:rPr>
      </w:pPr>
    </w:p>
    <w:p>
      <w:pPr>
        <w:jc w:val="both"/>
        <w:ind w:firstLine="1303"/>
        <w:spacing w:after="0" w:line="257" w:lineRule="auto"/>
        <w:tabs>
          <w:tab w:leader="none" w:pos="2638" w:val="left"/>
        </w:tabs>
        <w:numPr>
          <w:ilvl w:val="0"/>
          <w:numId w:val="63"/>
        </w:numPr>
        <w:rPr>
          <w:rFonts w:ascii="Arial" w:cs="Arial" w:eastAsia="Arial" w:hAnsi="Arial"/>
          <w:sz w:val="16"/>
          <w:szCs w:val="16"/>
          <w:b w:val="1"/>
          <w:bCs w:val="1"/>
          <w:color w:val="auto"/>
        </w:rPr>
      </w:pPr>
      <w:r>
        <w:rPr>
          <w:rFonts w:ascii="Arial" w:cs="Arial" w:eastAsia="Arial" w:hAnsi="Arial"/>
          <w:sz w:val="16"/>
          <w:szCs w:val="16"/>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67" w:name="page68"/>
    <w:bookmarkEnd w:id="67"/>
    <w:p>
      <w:pPr>
        <w:jc w:val="both"/>
        <w:ind w:firstLine="1303"/>
        <w:spacing w:after="0" w:line="314" w:lineRule="auto"/>
        <w:tabs>
          <w:tab w:leader="none" w:pos="2647" w:val="left"/>
        </w:tabs>
        <w:numPr>
          <w:ilvl w:val="0"/>
          <w:numId w:val="64"/>
        </w:numPr>
        <w:rPr>
          <w:rFonts w:ascii="Arial" w:cs="Arial" w:eastAsia="Arial" w:hAnsi="Arial"/>
          <w:sz w:val="13"/>
          <w:szCs w:val="13"/>
          <w:b w:val="1"/>
          <w:bCs w:val="1"/>
          <w:color w:val="auto"/>
        </w:rPr>
      </w:pPr>
      <w:r>
        <w:rPr>
          <w:rFonts w:ascii="Arial" w:cs="Arial" w:eastAsia="Arial" w:hAnsi="Arial"/>
          <w:sz w:val="13"/>
          <w:szCs w:val="13"/>
          <w:color w:val="auto"/>
        </w:rPr>
        <w:t>The Trustee agrees to accept and act upon instructions or directions pursuant to this Indenture sent by unsecured e-mail, facsimile transmission or other similar unsecured electronic methods; provided, however,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w:t>
      </w:r>
    </w:p>
    <w:p>
      <w:pPr>
        <w:spacing w:after="0" w:line="254" w:lineRule="exact"/>
        <w:rPr>
          <w:rFonts w:ascii="Arial" w:cs="Arial" w:eastAsia="Arial" w:hAnsi="Arial"/>
          <w:sz w:val="13"/>
          <w:szCs w:val="13"/>
          <w:b w:val="1"/>
          <w:bCs w:val="1"/>
          <w:color w:val="auto"/>
        </w:rPr>
      </w:pPr>
    </w:p>
    <w:p>
      <w:pPr>
        <w:jc w:val="both"/>
        <w:ind w:right="20" w:firstLine="1303"/>
        <w:spacing w:after="0" w:line="257" w:lineRule="auto"/>
        <w:tabs>
          <w:tab w:leader="none" w:pos="2745" w:val="left"/>
        </w:tabs>
        <w:numPr>
          <w:ilvl w:val="0"/>
          <w:numId w:val="64"/>
        </w:numPr>
        <w:rPr>
          <w:rFonts w:ascii="Arial" w:cs="Arial" w:eastAsia="Arial" w:hAnsi="Arial"/>
          <w:sz w:val="16"/>
          <w:szCs w:val="16"/>
          <w:b w:val="1"/>
          <w:bCs w:val="1"/>
          <w:color w:val="auto"/>
        </w:rPr>
      </w:pPr>
      <w:r>
        <w:rPr>
          <w:rFonts w:ascii="Arial" w:cs="Arial" w:eastAsia="Arial" w:hAnsi="Arial"/>
          <w:sz w:val="16"/>
          <w:szCs w:val="16"/>
          <w:color w:val="auto"/>
        </w:rPr>
        <w:t>The rights, privileges, protections, immunities and benefits given to the Trustee, including, without limitation, its right to be indemnified, are extended to, and shall be enforceable by, the Trustee in each of its capacities hereunder and under the Securities, and each agent, custodian or other person employed to act under this Indenture; and</w:t>
      </w:r>
    </w:p>
    <w:p>
      <w:pPr>
        <w:spacing w:after="0" w:line="117" w:lineRule="exact"/>
        <w:rPr>
          <w:rFonts w:ascii="Arial" w:cs="Arial" w:eastAsia="Arial" w:hAnsi="Arial"/>
          <w:sz w:val="16"/>
          <w:szCs w:val="16"/>
          <w:b w:val="1"/>
          <w:bCs w:val="1"/>
          <w:color w:val="auto"/>
        </w:rPr>
      </w:pPr>
    </w:p>
    <w:p>
      <w:pPr>
        <w:jc w:val="both"/>
        <w:ind w:right="20" w:firstLine="1303"/>
        <w:spacing w:after="0" w:line="282" w:lineRule="auto"/>
        <w:tabs>
          <w:tab w:leader="none" w:pos="2622" w:val="left"/>
        </w:tabs>
        <w:numPr>
          <w:ilvl w:val="0"/>
          <w:numId w:val="64"/>
        </w:numPr>
        <w:rPr>
          <w:rFonts w:ascii="Arial" w:cs="Arial" w:eastAsia="Arial" w:hAnsi="Arial"/>
          <w:sz w:val="15"/>
          <w:szCs w:val="15"/>
          <w:b w:val="1"/>
          <w:bCs w:val="1"/>
          <w:color w:val="auto"/>
        </w:rPr>
      </w:pPr>
      <w:r>
        <w:rPr>
          <w:rFonts w:ascii="Arial" w:cs="Arial" w:eastAsia="Arial" w:hAnsi="Arial"/>
          <w:sz w:val="15"/>
          <w:szCs w:val="15"/>
          <w:color w:val="auto"/>
        </w:rPr>
        <w:t>The Trustee shall not be deemed to have knowledge of any Default or Event of Default (other than an Event of Default constituting the failure to pay the interest on, or the principal of, the Securities if the Trustee also serves as the paying agent for such Securities) until the Trustee shall have received written notification in the manner set forth in this Indenture or a Responsible Officer of the Trustee shall have obtained actual knowledge.</w:t>
      </w:r>
    </w:p>
    <w:p>
      <w:pPr>
        <w:spacing w:after="0" w:line="61"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Section 7.03 Trustee Not Responsible for Recitals or Issuance or Securities</w:t>
      </w:r>
      <w:r>
        <w:rPr>
          <w:rFonts w:ascii="Arial" w:cs="Arial" w:eastAsia="Arial" w:hAnsi="Arial"/>
          <w:sz w:val="16"/>
          <w:szCs w:val="16"/>
          <w:color w:val="auto"/>
        </w:rPr>
        <w:t>.</w:t>
      </w:r>
    </w:p>
    <w:p>
      <w:pPr>
        <w:spacing w:after="0" w:line="174" w:lineRule="exact"/>
        <w:rPr>
          <w:sz w:val="20"/>
          <w:szCs w:val="20"/>
          <w:color w:val="auto"/>
        </w:rPr>
      </w:pPr>
    </w:p>
    <w:p>
      <w:pPr>
        <w:jc w:val="both"/>
        <w:ind w:firstLine="1303"/>
        <w:spacing w:after="0" w:line="282" w:lineRule="auto"/>
        <w:tabs>
          <w:tab w:leader="none" w:pos="2704" w:val="left"/>
        </w:tabs>
        <w:numPr>
          <w:ilvl w:val="1"/>
          <w:numId w:val="65"/>
        </w:numPr>
        <w:rPr>
          <w:rFonts w:ascii="Arial" w:cs="Arial" w:eastAsia="Arial" w:hAnsi="Arial"/>
          <w:sz w:val="15"/>
          <w:szCs w:val="15"/>
          <w:b w:val="1"/>
          <w:bCs w:val="1"/>
          <w:color w:val="auto"/>
        </w:rPr>
      </w:pPr>
      <w:r>
        <w:rPr>
          <w:rFonts w:ascii="Arial" w:cs="Arial" w:eastAsia="Arial" w:hAnsi="Arial"/>
          <w:sz w:val="15"/>
          <w:szCs w:val="15"/>
          <w:color w:val="auto"/>
        </w:rPr>
        <w:t>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w:t>
      </w:r>
    </w:p>
    <w:p>
      <w:pPr>
        <w:spacing w:after="0" w:line="100" w:lineRule="exact"/>
        <w:rPr>
          <w:rFonts w:ascii="Arial" w:cs="Arial" w:eastAsia="Arial" w:hAnsi="Arial"/>
          <w:sz w:val="15"/>
          <w:szCs w:val="15"/>
          <w:b w:val="1"/>
          <w:bCs w:val="1"/>
          <w:color w:val="auto"/>
        </w:rPr>
      </w:pPr>
    </w:p>
    <w:p>
      <w:pPr>
        <w:ind w:left="1540" w:hanging="258"/>
        <w:spacing w:after="0"/>
        <w:tabs>
          <w:tab w:leader="none" w:pos="1540" w:val="left"/>
        </w:tabs>
        <w:numPr>
          <w:ilvl w:val="0"/>
          <w:numId w:val="66"/>
        </w:numPr>
        <w:rPr>
          <w:rFonts w:ascii="Arial" w:cs="Arial" w:eastAsia="Arial" w:hAnsi="Arial"/>
          <w:sz w:val="16"/>
          <w:szCs w:val="16"/>
          <w:b w:val="1"/>
          <w:bCs w:val="1"/>
          <w:color w:val="auto"/>
        </w:rPr>
      </w:pPr>
      <w:r>
        <w:rPr>
          <w:rFonts w:ascii="Arial" w:cs="Arial" w:eastAsia="Arial" w:hAnsi="Arial"/>
          <w:sz w:val="16"/>
          <w:szCs w:val="16"/>
          <w:color w:val="auto"/>
        </w:rPr>
        <w:t>The Trustee makes no representations as to the validity or sufficiency of this Indenture or of the Securities.</w:t>
      </w:r>
    </w:p>
    <w:p>
      <w:pPr>
        <w:spacing w:after="0" w:line="170" w:lineRule="exact"/>
        <w:rPr>
          <w:rFonts w:ascii="Arial" w:cs="Arial" w:eastAsia="Arial" w:hAnsi="Arial"/>
          <w:sz w:val="16"/>
          <w:szCs w:val="16"/>
          <w:b w:val="1"/>
          <w:bCs w:val="1"/>
          <w:color w:val="auto"/>
        </w:rPr>
      </w:pPr>
    </w:p>
    <w:p>
      <w:pPr>
        <w:jc w:val="both"/>
        <w:ind w:right="20" w:firstLine="1303"/>
        <w:spacing w:after="0" w:line="257" w:lineRule="auto"/>
        <w:tabs>
          <w:tab w:leader="none" w:pos="2680" w:val="left"/>
        </w:tabs>
        <w:numPr>
          <w:ilvl w:val="0"/>
          <w:numId w:val="66"/>
        </w:numPr>
        <w:rPr>
          <w:rFonts w:ascii="Arial" w:cs="Arial" w:eastAsia="Arial" w:hAnsi="Arial"/>
          <w:sz w:val="16"/>
          <w:szCs w:val="16"/>
          <w:b w:val="1"/>
          <w:bCs w:val="1"/>
          <w:color w:val="auto"/>
        </w:rPr>
      </w:pPr>
      <w:r>
        <w:rPr>
          <w:rFonts w:ascii="Arial" w:cs="Arial" w:eastAsia="Arial" w:hAnsi="Arial"/>
          <w:sz w:val="16"/>
          <w:szCs w:val="16"/>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68" w:name="page69"/>
    <w:bookmarkEnd w:id="68"/>
    <w:p>
      <w:pPr>
        <w:ind w:left="660"/>
        <w:spacing w:after="0"/>
        <w:rPr>
          <w:sz w:val="20"/>
          <w:szCs w:val="20"/>
          <w:color w:val="auto"/>
        </w:rPr>
      </w:pPr>
      <w:r>
        <w:rPr>
          <w:rFonts w:ascii="Arial" w:cs="Arial" w:eastAsia="Arial" w:hAnsi="Arial"/>
          <w:sz w:val="16"/>
          <w:szCs w:val="16"/>
          <w:b w:val="1"/>
          <w:bCs w:val="1"/>
          <w:color w:val="auto"/>
        </w:rPr>
        <w:t>Section 7.04 May Hold Securities</w:t>
      </w:r>
      <w:r>
        <w:rPr>
          <w:rFonts w:ascii="Arial" w:cs="Arial" w:eastAsia="Arial" w:hAnsi="Arial"/>
          <w:sz w:val="16"/>
          <w:szCs w:val="16"/>
          <w:color w:val="auto"/>
        </w:rPr>
        <w:t>.</w:t>
      </w:r>
    </w:p>
    <w:p>
      <w:pPr>
        <w:spacing w:after="0" w:line="174" w:lineRule="exact"/>
        <w:rPr>
          <w:sz w:val="20"/>
          <w:szCs w:val="20"/>
          <w:color w:val="auto"/>
        </w:rPr>
      </w:pPr>
    </w:p>
    <w:p>
      <w:pPr>
        <w:jc w:val="both"/>
        <w:ind w:right="40" w:firstLine="647"/>
        <w:spacing w:after="0" w:line="267" w:lineRule="auto"/>
        <w:rPr>
          <w:sz w:val="20"/>
          <w:szCs w:val="20"/>
          <w:color w:val="auto"/>
        </w:rPr>
      </w:pPr>
      <w:r>
        <w:rPr>
          <w:rFonts w:ascii="Arial" w:cs="Arial" w:eastAsia="Arial" w:hAnsi="Arial"/>
          <w:sz w:val="16"/>
          <w:szCs w:val="16"/>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7.05 Moneys Held in Trust</w:t>
      </w:r>
      <w:r>
        <w:rPr>
          <w:rFonts w:ascii="Arial" w:cs="Arial" w:eastAsia="Arial" w:hAnsi="Arial"/>
          <w:sz w:val="16"/>
          <w:szCs w:val="16"/>
          <w:color w:val="auto"/>
        </w:rPr>
        <w:t>.</w:t>
      </w:r>
    </w:p>
    <w:p>
      <w:pPr>
        <w:spacing w:after="0" w:line="174"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6"/>
          <w:szCs w:val="16"/>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7.06 Compensation and Reimbursement</w:t>
      </w:r>
      <w:r>
        <w:rPr>
          <w:rFonts w:ascii="Arial" w:cs="Arial" w:eastAsia="Arial" w:hAnsi="Arial"/>
          <w:sz w:val="16"/>
          <w:szCs w:val="16"/>
          <w:color w:val="auto"/>
        </w:rPr>
        <w:t>.</w:t>
      </w:r>
    </w:p>
    <w:p>
      <w:pPr>
        <w:spacing w:after="0" w:line="174" w:lineRule="exact"/>
        <w:rPr>
          <w:sz w:val="20"/>
          <w:szCs w:val="20"/>
          <w:color w:val="auto"/>
        </w:rPr>
      </w:pPr>
    </w:p>
    <w:p>
      <w:pPr>
        <w:jc w:val="both"/>
        <w:ind w:right="20" w:firstLine="1301"/>
        <w:spacing w:after="0" w:line="253" w:lineRule="auto"/>
        <w:tabs>
          <w:tab w:leader="none" w:pos="2718" w:val="left"/>
        </w:tabs>
        <w:numPr>
          <w:ilvl w:val="0"/>
          <w:numId w:val="67"/>
        </w:numPr>
        <w:rPr>
          <w:rFonts w:ascii="Arial" w:cs="Arial" w:eastAsia="Arial" w:hAnsi="Arial"/>
          <w:sz w:val="16"/>
          <w:szCs w:val="16"/>
          <w:b w:val="1"/>
          <w:bCs w:val="1"/>
          <w:color w:val="auto"/>
        </w:rPr>
      </w:pPr>
      <w:r>
        <w:rPr>
          <w:rFonts w:ascii="Arial" w:cs="Arial" w:eastAsia="Arial" w:hAnsi="Arial"/>
          <w:sz w:val="16"/>
          <w:szCs w:val="16"/>
          <w:color w:val="auto"/>
        </w:rPr>
        <w:t>The Company shall pay to the Trustee for each of its capacities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spacing w:after="0" w:line="122" w:lineRule="exact"/>
        <w:rPr>
          <w:rFonts w:ascii="Arial" w:cs="Arial" w:eastAsia="Arial" w:hAnsi="Arial"/>
          <w:sz w:val="16"/>
          <w:szCs w:val="16"/>
          <w:b w:val="1"/>
          <w:bCs w:val="1"/>
          <w:color w:val="auto"/>
        </w:rPr>
      </w:pPr>
    </w:p>
    <w:p>
      <w:pPr>
        <w:jc w:val="both"/>
        <w:ind w:firstLine="1301"/>
        <w:spacing w:after="0" w:line="270" w:lineRule="auto"/>
        <w:tabs>
          <w:tab w:leader="none" w:pos="2727" w:val="left"/>
        </w:tabs>
        <w:numPr>
          <w:ilvl w:val="0"/>
          <w:numId w:val="67"/>
        </w:numPr>
        <w:rPr>
          <w:rFonts w:ascii="Arial" w:cs="Arial" w:eastAsia="Arial" w:hAnsi="Arial"/>
          <w:sz w:val="15"/>
          <w:szCs w:val="15"/>
          <w:b w:val="1"/>
          <w:bCs w:val="1"/>
          <w:color w:val="auto"/>
        </w:rPr>
      </w:pPr>
      <w:r>
        <w:rPr>
          <w:rFonts w:ascii="Arial" w:cs="Arial" w:eastAsia="Arial" w:hAnsi="Arial"/>
          <w:sz w:val="15"/>
          <w:szCs w:val="15"/>
          <w:color w:val="auto"/>
        </w:rPr>
        <w:t>The Company shall indemnify each of the Trustee in each of its capacities hereunder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spacing w:after="0" w:line="111" w:lineRule="exact"/>
        <w:rPr>
          <w:rFonts w:ascii="Arial" w:cs="Arial" w:eastAsia="Arial" w:hAnsi="Arial"/>
          <w:sz w:val="15"/>
          <w:szCs w:val="15"/>
          <w:b w:val="1"/>
          <w:bCs w:val="1"/>
          <w:color w:val="auto"/>
        </w:rPr>
      </w:pPr>
    </w:p>
    <w:p>
      <w:pPr>
        <w:ind w:right="400" w:firstLine="1301"/>
        <w:spacing w:after="0" w:line="267" w:lineRule="auto"/>
        <w:tabs>
          <w:tab w:leader="none" w:pos="2693" w:val="left"/>
        </w:tabs>
        <w:numPr>
          <w:ilvl w:val="0"/>
          <w:numId w:val="67"/>
        </w:numPr>
        <w:rPr>
          <w:rFonts w:ascii="Arial" w:cs="Arial" w:eastAsia="Arial" w:hAnsi="Arial"/>
          <w:sz w:val="16"/>
          <w:szCs w:val="16"/>
          <w:b w:val="1"/>
          <w:bCs w:val="1"/>
          <w:color w:val="auto"/>
        </w:rPr>
      </w:pPr>
      <w:r>
        <w:rPr>
          <w:rFonts w:ascii="Arial" w:cs="Arial" w:eastAsia="Arial" w:hAnsi="Arial"/>
          <w:sz w:val="16"/>
          <w:szCs w:val="16"/>
          <w:color w:val="auto"/>
        </w:rPr>
        <w:t>The Company need not reimburse any expense or indemnify against any loss or liability incurred by the Trustee or by any officer, director, employee, shareholder or agent of the Trustee through negligence or bad faith.</w:t>
      </w:r>
    </w:p>
    <w:p>
      <w:pPr>
        <w:spacing w:after="0" w:line="86" w:lineRule="exact"/>
        <w:rPr>
          <w:rFonts w:ascii="Arial" w:cs="Arial" w:eastAsia="Arial" w:hAnsi="Arial"/>
          <w:sz w:val="16"/>
          <w:szCs w:val="16"/>
          <w:b w:val="1"/>
          <w:bCs w:val="1"/>
          <w:color w:val="auto"/>
        </w:rPr>
      </w:pPr>
    </w:p>
    <w:p>
      <w:pPr>
        <w:jc w:val="both"/>
        <w:ind w:firstLine="1301"/>
        <w:spacing w:after="0" w:line="251" w:lineRule="auto"/>
        <w:tabs>
          <w:tab w:leader="none" w:pos="2727" w:val="left"/>
        </w:tabs>
        <w:numPr>
          <w:ilvl w:val="0"/>
          <w:numId w:val="67"/>
        </w:numPr>
        <w:rPr>
          <w:rFonts w:ascii="Arial" w:cs="Arial" w:eastAsia="Arial" w:hAnsi="Arial"/>
          <w:sz w:val="16"/>
          <w:szCs w:val="16"/>
          <w:b w:val="1"/>
          <w:bCs w:val="1"/>
          <w:color w:val="auto"/>
        </w:rPr>
      </w:pPr>
      <w:r>
        <w:rPr>
          <w:rFonts w:ascii="Arial" w:cs="Arial" w:eastAsia="Arial" w:hAnsi="Arial"/>
          <w:sz w:val="16"/>
          <w:szCs w:val="16"/>
          <w:color w:val="auto"/>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69" w:name="page70"/>
    <w:bookmarkEnd w:id="69"/>
    <w:p>
      <w:pPr>
        <w:ind w:left="660"/>
        <w:spacing w:after="0"/>
        <w:rPr>
          <w:sz w:val="20"/>
          <w:szCs w:val="20"/>
          <w:color w:val="auto"/>
        </w:rPr>
      </w:pPr>
      <w:r>
        <w:rPr>
          <w:rFonts w:ascii="Arial" w:cs="Arial" w:eastAsia="Arial" w:hAnsi="Arial"/>
          <w:sz w:val="16"/>
          <w:szCs w:val="16"/>
          <w:b w:val="1"/>
          <w:bCs w:val="1"/>
          <w:color w:val="auto"/>
        </w:rPr>
        <w:t>Section 7.07 Reliance on Officer’s Certificate</w:t>
      </w:r>
      <w:r>
        <w:rPr>
          <w:rFonts w:ascii="Arial" w:cs="Arial" w:eastAsia="Arial" w:hAnsi="Arial"/>
          <w:sz w:val="16"/>
          <w:szCs w:val="16"/>
          <w:color w:val="auto"/>
        </w:rPr>
        <w:t>.</w:t>
      </w:r>
    </w:p>
    <w:p>
      <w:pPr>
        <w:spacing w:after="0" w:line="17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7.08 Disqualification; Conflicting Interests</w:t>
      </w:r>
      <w:r>
        <w:rPr>
          <w:rFonts w:ascii="Arial" w:cs="Arial" w:eastAsia="Arial" w:hAnsi="Arial"/>
          <w:sz w:val="16"/>
          <w:szCs w:val="16"/>
          <w:color w:val="auto"/>
        </w:rPr>
        <w:t>.</w:t>
      </w:r>
    </w:p>
    <w:p>
      <w:pPr>
        <w:spacing w:after="0" w:line="174" w:lineRule="exact"/>
        <w:rPr>
          <w:sz w:val="20"/>
          <w:szCs w:val="20"/>
          <w:color w:val="auto"/>
        </w:rPr>
      </w:pPr>
    </w:p>
    <w:p>
      <w:pPr>
        <w:ind w:right="40" w:firstLine="647"/>
        <w:spacing w:after="0" w:line="267" w:lineRule="auto"/>
        <w:rPr>
          <w:sz w:val="20"/>
          <w:szCs w:val="20"/>
          <w:color w:val="auto"/>
        </w:rPr>
      </w:pPr>
      <w:r>
        <w:rPr>
          <w:rFonts w:ascii="Arial" w:cs="Arial" w:eastAsia="Arial" w:hAnsi="Arial"/>
          <w:sz w:val="16"/>
          <w:szCs w:val="16"/>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7.09 Corporate Trustee Required; Eligibility</w:t>
      </w:r>
      <w:r>
        <w:rPr>
          <w:rFonts w:ascii="Arial" w:cs="Arial" w:eastAsia="Arial" w:hAnsi="Arial"/>
          <w:sz w:val="16"/>
          <w:szCs w:val="16"/>
          <w:color w:val="auto"/>
        </w:rPr>
        <w:t>.</w:t>
      </w:r>
    </w:p>
    <w:p>
      <w:pPr>
        <w:spacing w:after="0" w:line="174"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8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7.10 Resignation and Removal; Appointment of Successor</w:t>
      </w:r>
      <w:r>
        <w:rPr>
          <w:rFonts w:ascii="Arial" w:cs="Arial" w:eastAsia="Arial" w:hAnsi="Arial"/>
          <w:sz w:val="16"/>
          <w:szCs w:val="16"/>
          <w:color w:val="auto"/>
        </w:rPr>
        <w:t>.</w:t>
      </w:r>
    </w:p>
    <w:p>
      <w:pPr>
        <w:spacing w:after="0" w:line="174" w:lineRule="exact"/>
        <w:rPr>
          <w:sz w:val="20"/>
          <w:szCs w:val="20"/>
          <w:color w:val="auto"/>
        </w:rPr>
      </w:pPr>
    </w:p>
    <w:p>
      <w:pPr>
        <w:jc w:val="both"/>
        <w:ind w:firstLine="1301"/>
        <w:spacing w:after="0" w:line="249" w:lineRule="auto"/>
        <w:tabs>
          <w:tab w:leader="none" w:pos="2702" w:val="left"/>
        </w:tabs>
        <w:numPr>
          <w:ilvl w:val="0"/>
          <w:numId w:val="68"/>
        </w:numPr>
        <w:rPr>
          <w:rFonts w:ascii="Arial" w:cs="Arial" w:eastAsia="Arial" w:hAnsi="Arial"/>
          <w:sz w:val="16"/>
          <w:szCs w:val="16"/>
          <w:b w:val="1"/>
          <w:bCs w:val="1"/>
          <w:color w:val="auto"/>
        </w:rPr>
      </w:pPr>
      <w:r>
        <w:rPr>
          <w:rFonts w:ascii="Arial" w:cs="Arial" w:eastAsia="Arial" w:hAnsi="Arial"/>
          <w:sz w:val="16"/>
          <w:szCs w:val="16"/>
          <w:color w:val="auto"/>
        </w:rPr>
        <w:t>The Trustee or any successor hereafter appointed may at any time resign with respect to the Securities of one or 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70" w:name="page71"/>
    <w:bookmarkEnd w:id="70"/>
    <w:p>
      <w:pPr>
        <w:ind w:left="1540" w:hanging="246"/>
        <w:spacing w:after="0"/>
        <w:tabs>
          <w:tab w:leader="none" w:pos="1540" w:val="left"/>
        </w:tabs>
        <w:numPr>
          <w:ilvl w:val="0"/>
          <w:numId w:val="69"/>
        </w:numPr>
        <w:rPr>
          <w:rFonts w:ascii="Arial" w:cs="Arial" w:eastAsia="Arial" w:hAnsi="Arial"/>
          <w:sz w:val="16"/>
          <w:szCs w:val="16"/>
          <w:b w:val="1"/>
          <w:bCs w:val="1"/>
          <w:color w:val="auto"/>
        </w:rPr>
      </w:pPr>
      <w:r>
        <w:rPr>
          <w:rFonts w:ascii="Arial" w:cs="Arial" w:eastAsia="Arial" w:hAnsi="Arial"/>
          <w:sz w:val="16"/>
          <w:szCs w:val="16"/>
          <w:color w:val="auto"/>
        </w:rPr>
        <w:t>In case at any time any one of the following shall occur:</w:t>
      </w:r>
    </w:p>
    <w:p>
      <w:pPr>
        <w:spacing w:after="0" w:line="166" w:lineRule="exact"/>
        <w:rPr>
          <w:sz w:val="20"/>
          <w:szCs w:val="20"/>
          <w:color w:val="auto"/>
        </w:rPr>
      </w:pPr>
    </w:p>
    <w:p>
      <w:pPr>
        <w:ind w:right="180" w:firstLine="1956"/>
        <w:spacing w:after="0" w:line="273" w:lineRule="auto"/>
        <w:rPr>
          <w:sz w:val="20"/>
          <w:szCs w:val="20"/>
          <w:color w:val="auto"/>
        </w:rPr>
      </w:pPr>
      <w:r>
        <w:rPr>
          <w:rFonts w:ascii="Arial" w:cs="Arial" w:eastAsia="Arial" w:hAnsi="Arial"/>
          <w:sz w:val="16"/>
          <w:szCs w:val="16"/>
          <w:b w:val="1"/>
          <w:bCs w:val="1"/>
          <w:color w:val="auto"/>
        </w:rPr>
        <w:t xml:space="preserve">(i) </w:t>
      </w:r>
      <w:r>
        <w:rPr>
          <w:rFonts w:ascii="Arial" w:cs="Arial" w:eastAsia="Arial" w:hAnsi="Arial"/>
          <w:sz w:val="16"/>
          <w:szCs w:val="16"/>
          <w:color w:val="auto"/>
        </w:rPr>
        <w:t>the Trustee shall fail to comply with the provisions of Section 7.08 after written request therefor by the Company or</w:t>
      </w:r>
      <w:r>
        <w:rPr>
          <w:rFonts w:ascii="Arial" w:cs="Arial" w:eastAsia="Arial" w:hAnsi="Arial"/>
          <w:sz w:val="16"/>
          <w:szCs w:val="16"/>
          <w:b w:val="1"/>
          <w:bCs w:val="1"/>
          <w:color w:val="auto"/>
        </w:rPr>
        <w:t xml:space="preserve"> </w:t>
      </w:r>
      <w:r>
        <w:rPr>
          <w:rFonts w:ascii="Arial" w:cs="Arial" w:eastAsia="Arial" w:hAnsi="Arial"/>
          <w:sz w:val="16"/>
          <w:szCs w:val="16"/>
          <w:color w:val="auto"/>
        </w:rPr>
        <w:t>by any Securityholder who has been a bona fide holder of a Security or Securities for at least six months; or</w:t>
      </w:r>
    </w:p>
    <w:p>
      <w:pPr>
        <w:spacing w:after="0" w:line="78" w:lineRule="exact"/>
        <w:rPr>
          <w:sz w:val="20"/>
          <w:szCs w:val="20"/>
          <w:color w:val="auto"/>
        </w:rPr>
      </w:pPr>
    </w:p>
    <w:p>
      <w:pPr>
        <w:ind w:right="180" w:firstLine="1956"/>
        <w:spacing w:after="0" w:line="273" w:lineRule="auto"/>
        <w:rPr>
          <w:sz w:val="20"/>
          <w:szCs w:val="20"/>
          <w:color w:val="auto"/>
        </w:rPr>
      </w:pPr>
      <w:r>
        <w:rPr>
          <w:rFonts w:ascii="Arial" w:cs="Arial" w:eastAsia="Arial" w:hAnsi="Arial"/>
          <w:sz w:val="16"/>
          <w:szCs w:val="16"/>
          <w:b w:val="1"/>
          <w:bCs w:val="1"/>
          <w:color w:val="auto"/>
        </w:rPr>
        <w:t xml:space="preserve">(ii) </w:t>
      </w:r>
      <w:r>
        <w:rPr>
          <w:rFonts w:ascii="Arial" w:cs="Arial" w:eastAsia="Arial" w:hAnsi="Arial"/>
          <w:sz w:val="16"/>
          <w:szCs w:val="16"/>
          <w:color w:val="auto"/>
        </w:rPr>
        <w:t>the Trustee shall cease to be eligible in accordance with the provisions of Section 7.09 and shall fail to resign after</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request therefor by the Company or by any such Securityholder; or</w:t>
      </w:r>
    </w:p>
    <w:p>
      <w:pPr>
        <w:spacing w:after="0" w:line="78" w:lineRule="exact"/>
        <w:rPr>
          <w:sz w:val="20"/>
          <w:szCs w:val="20"/>
          <w:color w:val="auto"/>
        </w:rPr>
      </w:pPr>
    </w:p>
    <w:p>
      <w:pPr>
        <w:ind w:left="1960"/>
        <w:spacing w:after="0"/>
        <w:tabs>
          <w:tab w:leader="none" w:pos="3960" w:val="left"/>
        </w:tabs>
        <w:rPr>
          <w:sz w:val="20"/>
          <w:szCs w:val="20"/>
          <w:color w:val="auto"/>
        </w:rPr>
      </w:pPr>
      <w:r>
        <w:rPr>
          <w:rFonts w:ascii="Arial" w:cs="Arial" w:eastAsia="Arial" w:hAnsi="Arial"/>
          <w:sz w:val="15"/>
          <w:szCs w:val="15"/>
          <w:b w:val="1"/>
          <w:bCs w:val="1"/>
          <w:color w:val="auto"/>
        </w:rPr>
        <w:t>(iii)</w:t>
      </w:r>
      <w:r>
        <w:rPr>
          <w:sz w:val="20"/>
          <w:szCs w:val="20"/>
          <w:color w:val="auto"/>
        </w:rPr>
        <w:tab/>
      </w:r>
      <w:r>
        <w:rPr>
          <w:rFonts w:ascii="Arial" w:cs="Arial" w:eastAsia="Arial" w:hAnsi="Arial"/>
          <w:sz w:val="15"/>
          <w:szCs w:val="15"/>
          <w:color w:val="auto"/>
        </w:rPr>
        <w:t>the Trustee shall become incapable of acting, or shall be adjudged a bankrupt or insolvent, or commence a</w:t>
      </w:r>
    </w:p>
    <w:p>
      <w:pPr>
        <w:spacing w:after="0" w:line="3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2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01" w:lineRule="exact"/>
        <w:rPr>
          <w:sz w:val="20"/>
          <w:szCs w:val="20"/>
          <w:color w:val="auto"/>
        </w:rPr>
      </w:pPr>
    </w:p>
    <w:p>
      <w:pPr>
        <w:ind w:right="20" w:firstLine="1301"/>
        <w:spacing w:after="0" w:line="385" w:lineRule="auto"/>
        <w:tabs>
          <w:tab w:leader="none" w:pos="2693" w:val="left"/>
        </w:tabs>
        <w:numPr>
          <w:ilvl w:val="0"/>
          <w:numId w:val="70"/>
        </w:numPr>
        <w:rPr>
          <w:rFonts w:ascii="Arial" w:cs="Arial" w:eastAsia="Arial" w:hAnsi="Arial"/>
          <w:sz w:val="13"/>
          <w:szCs w:val="13"/>
          <w:b w:val="1"/>
          <w:bCs w:val="1"/>
          <w:color w:val="auto"/>
        </w:rPr>
      </w:pPr>
      <w:r>
        <w:rPr>
          <w:rFonts w:ascii="Arial" w:cs="Arial" w:eastAsia="Arial" w:hAnsi="Arial"/>
          <w:sz w:val="13"/>
          <w:szCs w:val="13"/>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40" w:lineRule="exact"/>
        <w:rPr>
          <w:rFonts w:ascii="Arial" w:cs="Arial" w:eastAsia="Arial" w:hAnsi="Arial"/>
          <w:sz w:val="13"/>
          <w:szCs w:val="13"/>
          <w:b w:val="1"/>
          <w:bCs w:val="1"/>
          <w:color w:val="auto"/>
        </w:rPr>
      </w:pPr>
    </w:p>
    <w:p>
      <w:pPr>
        <w:ind w:right="140" w:firstLine="1301"/>
        <w:spacing w:after="0" w:line="301" w:lineRule="auto"/>
        <w:tabs>
          <w:tab w:leader="none" w:pos="2727" w:val="left"/>
        </w:tabs>
        <w:numPr>
          <w:ilvl w:val="0"/>
          <w:numId w:val="70"/>
        </w:numPr>
        <w:rPr>
          <w:rFonts w:ascii="Arial" w:cs="Arial" w:eastAsia="Arial" w:hAnsi="Arial"/>
          <w:sz w:val="15"/>
          <w:szCs w:val="15"/>
          <w:b w:val="1"/>
          <w:bCs w:val="1"/>
          <w:color w:val="auto"/>
        </w:rPr>
      </w:pPr>
      <w:r>
        <w:rPr>
          <w:rFonts w:ascii="Arial" w:cs="Arial" w:eastAsia="Arial" w:hAnsi="Arial"/>
          <w:sz w:val="15"/>
          <w:szCs w:val="15"/>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39" w:lineRule="exact"/>
        <w:rPr>
          <w:rFonts w:ascii="Arial" w:cs="Arial" w:eastAsia="Arial" w:hAnsi="Arial"/>
          <w:sz w:val="15"/>
          <w:szCs w:val="15"/>
          <w:b w:val="1"/>
          <w:bCs w:val="1"/>
          <w:color w:val="auto"/>
        </w:rPr>
      </w:pPr>
    </w:p>
    <w:p>
      <w:pPr>
        <w:ind w:right="100" w:firstLine="1301"/>
        <w:spacing w:after="0" w:line="267" w:lineRule="auto"/>
        <w:tabs>
          <w:tab w:leader="none" w:pos="2693" w:val="left"/>
        </w:tabs>
        <w:numPr>
          <w:ilvl w:val="0"/>
          <w:numId w:val="70"/>
        </w:numPr>
        <w:rPr>
          <w:rFonts w:ascii="Arial" w:cs="Arial" w:eastAsia="Arial" w:hAnsi="Arial"/>
          <w:sz w:val="16"/>
          <w:szCs w:val="16"/>
          <w:b w:val="1"/>
          <w:bCs w:val="1"/>
          <w:color w:val="auto"/>
        </w:rPr>
      </w:pPr>
      <w:r>
        <w:rPr>
          <w:rFonts w:ascii="Arial" w:cs="Arial" w:eastAsia="Arial" w:hAnsi="Arial"/>
          <w:sz w:val="16"/>
          <w:szCs w:val="16"/>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71" w:name="page72"/>
    <w:bookmarkEnd w:id="71"/>
    <w:p>
      <w:pPr>
        <w:ind w:left="640"/>
        <w:spacing w:after="0"/>
        <w:rPr>
          <w:sz w:val="20"/>
          <w:szCs w:val="20"/>
          <w:color w:val="auto"/>
        </w:rPr>
      </w:pPr>
      <w:r>
        <w:rPr>
          <w:rFonts w:ascii="Arial" w:cs="Arial" w:eastAsia="Arial" w:hAnsi="Arial"/>
          <w:sz w:val="16"/>
          <w:szCs w:val="16"/>
          <w:b w:val="1"/>
          <w:bCs w:val="1"/>
          <w:color w:val="auto"/>
        </w:rPr>
        <w:t>Section 7.11 Acceptance of Appointment By Successor</w:t>
      </w:r>
      <w:r>
        <w:rPr>
          <w:rFonts w:ascii="Arial" w:cs="Arial" w:eastAsia="Arial" w:hAnsi="Arial"/>
          <w:sz w:val="16"/>
          <w:szCs w:val="16"/>
          <w:color w:val="auto"/>
        </w:rPr>
        <w:t>.</w:t>
      </w:r>
    </w:p>
    <w:p>
      <w:pPr>
        <w:spacing w:after="0" w:line="174" w:lineRule="exact"/>
        <w:rPr>
          <w:sz w:val="20"/>
          <w:szCs w:val="20"/>
          <w:color w:val="auto"/>
        </w:rPr>
      </w:pPr>
    </w:p>
    <w:p>
      <w:pPr>
        <w:jc w:val="both"/>
        <w:ind w:firstLine="1303"/>
        <w:spacing w:after="0" w:line="270" w:lineRule="auto"/>
        <w:tabs>
          <w:tab w:leader="none" w:pos="2689" w:val="left"/>
        </w:tabs>
        <w:numPr>
          <w:ilvl w:val="0"/>
          <w:numId w:val="71"/>
        </w:numPr>
        <w:rPr>
          <w:rFonts w:ascii="Arial" w:cs="Arial" w:eastAsia="Arial" w:hAnsi="Arial"/>
          <w:sz w:val="15"/>
          <w:szCs w:val="15"/>
          <w:b w:val="1"/>
          <w:bCs w:val="1"/>
          <w:color w:val="auto"/>
        </w:rPr>
      </w:pPr>
      <w:r>
        <w:rPr>
          <w:rFonts w:ascii="Arial" w:cs="Arial" w:eastAsia="Arial" w:hAnsi="Arial"/>
          <w:sz w:val="15"/>
          <w:szCs w:val="15"/>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11" w:lineRule="exact"/>
        <w:rPr>
          <w:rFonts w:ascii="Arial" w:cs="Arial" w:eastAsia="Arial" w:hAnsi="Arial"/>
          <w:sz w:val="15"/>
          <w:szCs w:val="15"/>
          <w:b w:val="1"/>
          <w:bCs w:val="1"/>
          <w:color w:val="auto"/>
        </w:rPr>
      </w:pPr>
    </w:p>
    <w:p>
      <w:pPr>
        <w:jc w:val="both"/>
        <w:ind w:firstLine="1303"/>
        <w:spacing w:after="0" w:line="309" w:lineRule="auto"/>
        <w:tabs>
          <w:tab w:leader="none" w:pos="2713" w:val="left"/>
        </w:tabs>
        <w:numPr>
          <w:ilvl w:val="0"/>
          <w:numId w:val="71"/>
        </w:numPr>
        <w:rPr>
          <w:rFonts w:ascii="Arial" w:cs="Arial" w:eastAsia="Arial" w:hAnsi="Arial"/>
          <w:sz w:val="13"/>
          <w:szCs w:val="13"/>
          <w:b w:val="1"/>
          <w:bCs w:val="1"/>
          <w:color w:val="auto"/>
        </w:rPr>
      </w:pPr>
      <w:r>
        <w:rPr>
          <w:rFonts w:ascii="Arial" w:cs="Arial" w:eastAsia="Arial" w:hAnsi="Arial"/>
          <w:sz w:val="13"/>
          <w:szCs w:val="13"/>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255" w:lineRule="exact"/>
        <w:rPr>
          <w:rFonts w:ascii="Arial" w:cs="Arial" w:eastAsia="Arial" w:hAnsi="Arial"/>
          <w:sz w:val="13"/>
          <w:szCs w:val="13"/>
          <w:b w:val="1"/>
          <w:bCs w:val="1"/>
          <w:color w:val="auto"/>
        </w:rPr>
      </w:pPr>
    </w:p>
    <w:p>
      <w:pPr>
        <w:ind w:right="160" w:firstLine="1303"/>
        <w:spacing w:after="0" w:line="301" w:lineRule="auto"/>
        <w:tabs>
          <w:tab w:leader="none" w:pos="2680" w:val="left"/>
        </w:tabs>
        <w:numPr>
          <w:ilvl w:val="0"/>
          <w:numId w:val="71"/>
        </w:numPr>
        <w:rPr>
          <w:rFonts w:ascii="Arial" w:cs="Arial" w:eastAsia="Arial" w:hAnsi="Arial"/>
          <w:sz w:val="15"/>
          <w:szCs w:val="15"/>
          <w:b w:val="1"/>
          <w:bCs w:val="1"/>
          <w:color w:val="auto"/>
        </w:rPr>
      </w:pPr>
      <w:r>
        <w:rPr>
          <w:rFonts w:ascii="Arial" w:cs="Arial" w:eastAsia="Arial" w:hAnsi="Arial"/>
          <w:sz w:val="15"/>
          <w:szCs w:val="15"/>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72" w:name="page73"/>
    <w:bookmarkEnd w:id="72"/>
    <w:p>
      <w:pPr>
        <w:ind w:left="2720" w:hanging="1419"/>
        <w:spacing w:after="0"/>
        <w:tabs>
          <w:tab w:leader="none" w:pos="2720" w:val="left"/>
        </w:tabs>
        <w:numPr>
          <w:ilvl w:val="0"/>
          <w:numId w:val="72"/>
        </w:numPr>
        <w:rPr>
          <w:rFonts w:ascii="Arial" w:cs="Arial" w:eastAsia="Arial" w:hAnsi="Arial"/>
          <w:sz w:val="13"/>
          <w:szCs w:val="13"/>
          <w:b w:val="1"/>
          <w:bCs w:val="1"/>
          <w:color w:val="auto"/>
        </w:rPr>
      </w:pPr>
      <w:r>
        <w:rPr>
          <w:rFonts w:ascii="Arial" w:cs="Arial" w:eastAsia="Arial" w:hAnsi="Arial"/>
          <w:sz w:val="13"/>
          <w:szCs w:val="13"/>
          <w:color w:val="auto"/>
        </w:rPr>
        <w:t>No successor trustee shall accept its appointment unless at the time of such acceptance such successor trustee shall be qualified and</w:t>
      </w:r>
    </w:p>
    <w:p>
      <w:pPr>
        <w:spacing w:after="0" w:line="50" w:lineRule="exact"/>
        <w:rPr>
          <w:rFonts w:ascii="Arial" w:cs="Arial" w:eastAsia="Arial" w:hAnsi="Arial"/>
          <w:sz w:val="13"/>
          <w:szCs w:val="13"/>
          <w:b w:val="1"/>
          <w:bCs w:val="1"/>
          <w:color w:val="auto"/>
        </w:rPr>
      </w:pPr>
    </w:p>
    <w:p>
      <w:pPr>
        <w:spacing w:after="0"/>
        <w:rPr>
          <w:rFonts w:ascii="Arial" w:cs="Arial" w:eastAsia="Arial" w:hAnsi="Arial"/>
          <w:sz w:val="13"/>
          <w:szCs w:val="13"/>
          <w:b w:val="1"/>
          <w:bCs w:val="1"/>
          <w:color w:val="auto"/>
        </w:rPr>
      </w:pPr>
      <w:r>
        <w:rPr>
          <w:rFonts w:ascii="Arial" w:cs="Arial" w:eastAsia="Arial" w:hAnsi="Arial"/>
          <w:sz w:val="16"/>
          <w:szCs w:val="16"/>
          <w:color w:val="auto"/>
        </w:rPr>
        <w:t>eligible under this Article.</w:t>
      </w:r>
    </w:p>
    <w:p>
      <w:pPr>
        <w:spacing w:after="0" w:line="111" w:lineRule="exact"/>
        <w:rPr>
          <w:rFonts w:ascii="Arial" w:cs="Arial" w:eastAsia="Arial" w:hAnsi="Arial"/>
          <w:sz w:val="13"/>
          <w:szCs w:val="13"/>
          <w:b w:val="1"/>
          <w:bCs w:val="1"/>
          <w:color w:val="auto"/>
        </w:rPr>
      </w:pPr>
    </w:p>
    <w:p>
      <w:pPr>
        <w:jc w:val="both"/>
        <w:ind w:firstLine="1301"/>
        <w:spacing w:after="0" w:line="257" w:lineRule="auto"/>
        <w:tabs>
          <w:tab w:leader="none" w:pos="2693" w:val="left"/>
        </w:tabs>
        <w:numPr>
          <w:ilvl w:val="0"/>
          <w:numId w:val="72"/>
        </w:numPr>
        <w:rPr>
          <w:rFonts w:ascii="Arial" w:cs="Arial" w:eastAsia="Arial" w:hAnsi="Arial"/>
          <w:sz w:val="16"/>
          <w:szCs w:val="16"/>
          <w:b w:val="1"/>
          <w:bCs w:val="1"/>
          <w:color w:val="auto"/>
        </w:rPr>
      </w:pPr>
      <w:r>
        <w:rPr>
          <w:rFonts w:ascii="Arial" w:cs="Arial" w:eastAsia="Arial" w:hAnsi="Arial"/>
          <w:sz w:val="16"/>
          <w:szCs w:val="16"/>
          <w:color w:val="auto"/>
        </w:rPr>
        <w:t>Upon acceptance of appointment by a successor trustee as provided in this Section, the Company shall send notice of the succession of such trustee hereunder to the Securityholders. If the Company fails to send such notice within ten days after acceptance of appointment by the successor trustee, the successor trustee shall cause such notice to be sent at the expense of the Company.</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7.12 Merger, Conversion, Consolidation or Succession to Business</w:t>
      </w:r>
      <w:r>
        <w:rPr>
          <w:rFonts w:ascii="Arial" w:cs="Arial" w:eastAsia="Arial" w:hAnsi="Arial"/>
          <w:sz w:val="16"/>
          <w:szCs w:val="16"/>
          <w:color w:val="auto"/>
        </w:rPr>
        <w:t>.</w:t>
      </w:r>
    </w:p>
    <w:p>
      <w:pPr>
        <w:spacing w:after="0" w:line="17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7.13 Preferential Collection of Claims Against the Company</w:t>
      </w:r>
      <w:r>
        <w:rPr>
          <w:rFonts w:ascii="Arial" w:cs="Arial" w:eastAsia="Arial" w:hAnsi="Arial"/>
          <w:sz w:val="16"/>
          <w:szCs w:val="16"/>
          <w:color w:val="auto"/>
        </w:rPr>
        <w:t>.</w:t>
      </w:r>
    </w:p>
    <w:p>
      <w:pPr>
        <w:spacing w:after="0" w:line="174"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16"/>
          <w:szCs w:val="16"/>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7.14 Notice of Default</w:t>
      </w:r>
      <w:r>
        <w:rPr>
          <w:rFonts w:ascii="Arial" w:cs="Arial" w:eastAsia="Arial" w:hAnsi="Arial"/>
          <w:sz w:val="16"/>
          <w:szCs w:val="16"/>
          <w:color w:val="auto"/>
        </w:rPr>
        <w:t>.</w:t>
      </w:r>
    </w:p>
    <w:p>
      <w:pPr>
        <w:spacing w:after="0" w:line="174"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3"/>
          <w:szCs w:val="13"/>
          <w:color w:val="auto"/>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Arial" w:cs="Arial" w:eastAsia="Arial" w:hAnsi="Arial"/>
          <w:sz w:val="13"/>
          <w:szCs w:val="13"/>
          <w:i w:val="1"/>
          <w:iCs w:val="1"/>
          <w:color w:val="auto"/>
        </w:rPr>
        <w:t>provided, however</w:t>
      </w:r>
      <w:r>
        <w:rPr>
          <w:rFonts w:ascii="Arial" w:cs="Arial" w:eastAsia="Arial" w:hAnsi="Arial"/>
          <w:sz w:val="13"/>
          <w:szCs w:val="13"/>
          <w:color w:val="auto"/>
        </w:rPr>
        <w:t>, that, except in the case of a default in the payment of the principal of (or premium, if any) or interest on any Security, the Trustee shall be protected in withholding such notice if and so long as the Responsible Officers of the Trustee in good faith determine that the withholding of such notice is in the interest of the Securityholders.</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73" w:name="page74"/>
    <w:bookmarkEnd w:id="73"/>
    <w:p>
      <w:pPr>
        <w:jc w:val="center"/>
        <w:spacing w:after="0"/>
        <w:rPr>
          <w:sz w:val="20"/>
          <w:szCs w:val="20"/>
          <w:color w:val="auto"/>
        </w:rPr>
      </w:pPr>
      <w:r>
        <w:rPr>
          <w:rFonts w:ascii="Arial" w:cs="Arial" w:eastAsia="Arial" w:hAnsi="Arial"/>
          <w:sz w:val="16"/>
          <w:szCs w:val="16"/>
          <w:b w:val="1"/>
          <w:bCs w:val="1"/>
          <w:color w:val="auto"/>
        </w:rPr>
        <w:t>ARTICLE 8</w:t>
      </w:r>
    </w:p>
    <w:p>
      <w:pPr>
        <w:spacing w:after="0" w:line="170"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CONCERNING THE SECURITYHOLDERS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8.01 Evidence of Action by Securityholders</w:t>
      </w:r>
      <w:r>
        <w:rPr>
          <w:rFonts w:ascii="Arial" w:cs="Arial" w:eastAsia="Arial" w:hAnsi="Arial"/>
          <w:sz w:val="16"/>
          <w:szCs w:val="16"/>
          <w:color w:val="auto"/>
        </w:rPr>
        <w:t>.</w:t>
      </w:r>
    </w:p>
    <w:p>
      <w:pPr>
        <w:spacing w:after="0" w:line="174"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5"/>
          <w:szCs w:val="15"/>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07"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3"/>
          <w:szCs w:val="13"/>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8.02 Proof of Execution by Securityholders</w:t>
      </w:r>
      <w:r>
        <w:rPr>
          <w:rFonts w:ascii="Arial" w:cs="Arial" w:eastAsia="Arial" w:hAnsi="Arial"/>
          <w:sz w:val="16"/>
          <w:szCs w:val="16"/>
          <w:color w:val="auto"/>
        </w:rPr>
        <w:t>.</w:t>
      </w:r>
    </w:p>
    <w:p>
      <w:pPr>
        <w:spacing w:after="0" w:line="174" w:lineRule="exact"/>
        <w:rPr>
          <w:sz w:val="20"/>
          <w:szCs w:val="20"/>
          <w:color w:val="auto"/>
        </w:rPr>
      </w:pPr>
    </w:p>
    <w:p>
      <w:pPr>
        <w:ind w:right="20" w:firstLine="647"/>
        <w:spacing w:after="0" w:line="267" w:lineRule="auto"/>
        <w:rPr>
          <w:sz w:val="20"/>
          <w:szCs w:val="20"/>
          <w:color w:val="auto"/>
        </w:rPr>
      </w:pPr>
      <w:r>
        <w:rPr>
          <w:rFonts w:ascii="Arial" w:cs="Arial" w:eastAsia="Arial" w:hAnsi="Arial"/>
          <w:sz w:val="16"/>
          <w:szCs w:val="16"/>
          <w:color w:val="auto"/>
        </w:rPr>
        <w:t>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w:t>
      </w:r>
    </w:p>
    <w:p>
      <w:pPr>
        <w:spacing w:after="0" w:line="63" w:lineRule="exact"/>
        <w:rPr>
          <w:sz w:val="20"/>
          <w:szCs w:val="20"/>
          <w:color w:val="auto"/>
        </w:rPr>
      </w:pPr>
    </w:p>
    <w:p>
      <w:pPr>
        <w:ind w:left="1540" w:hanging="246"/>
        <w:spacing w:after="0"/>
        <w:tabs>
          <w:tab w:leader="none" w:pos="1540" w:val="left"/>
        </w:tabs>
        <w:numPr>
          <w:ilvl w:val="0"/>
          <w:numId w:val="73"/>
        </w:numPr>
        <w:rPr>
          <w:rFonts w:ascii="Arial" w:cs="Arial" w:eastAsia="Arial" w:hAnsi="Arial"/>
          <w:sz w:val="15"/>
          <w:szCs w:val="15"/>
          <w:b w:val="1"/>
          <w:bCs w:val="1"/>
          <w:color w:val="auto"/>
        </w:rPr>
      </w:pPr>
      <w:r>
        <w:rPr>
          <w:rFonts w:ascii="Arial" w:cs="Arial" w:eastAsia="Arial" w:hAnsi="Arial"/>
          <w:sz w:val="15"/>
          <w:szCs w:val="15"/>
          <w:color w:val="auto"/>
        </w:rPr>
        <w:t>The fact and date of the execution by any such Person of any instrument may be proved in any reasonable manner acceptable to the Trustee</w:t>
      </w:r>
    </w:p>
    <w:p>
      <w:pPr>
        <w:spacing w:after="0" w:line="170" w:lineRule="exact"/>
        <w:rPr>
          <w:rFonts w:ascii="Arial" w:cs="Arial" w:eastAsia="Arial" w:hAnsi="Arial"/>
          <w:sz w:val="15"/>
          <w:szCs w:val="15"/>
          <w:b w:val="1"/>
          <w:bCs w:val="1"/>
          <w:color w:val="auto"/>
        </w:rPr>
      </w:pPr>
    </w:p>
    <w:p>
      <w:pPr>
        <w:ind w:right="980" w:firstLine="1294"/>
        <w:spacing w:after="0" w:line="470" w:lineRule="auto"/>
        <w:tabs>
          <w:tab w:leader="none" w:pos="1548" w:val="left"/>
        </w:tabs>
        <w:numPr>
          <w:ilvl w:val="0"/>
          <w:numId w:val="73"/>
        </w:numPr>
        <w:rPr>
          <w:rFonts w:ascii="Arial" w:cs="Arial" w:eastAsia="Arial" w:hAnsi="Arial"/>
          <w:sz w:val="16"/>
          <w:szCs w:val="16"/>
          <w:b w:val="1"/>
          <w:bCs w:val="1"/>
          <w:color w:val="auto"/>
        </w:rPr>
      </w:pPr>
      <w:r>
        <w:rPr>
          <w:rFonts w:ascii="Arial" w:cs="Arial" w:eastAsia="Arial" w:hAnsi="Arial"/>
          <w:sz w:val="16"/>
          <w:szCs w:val="16"/>
          <w:color w:val="auto"/>
        </w:rPr>
        <w:t>The ownership of Securities shall be proved by the Security Register of such Securities or by a certificate of the Security Registrar thereof. The Trustee may require such additional proof of any matter referred to in this Section as it shall deem necessary.</w:t>
      </w: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74" w:name="page75"/>
    <w:bookmarkEnd w:id="74"/>
    <w:p>
      <w:pPr>
        <w:ind w:left="660"/>
        <w:spacing w:after="0"/>
        <w:rPr>
          <w:sz w:val="20"/>
          <w:szCs w:val="20"/>
          <w:color w:val="auto"/>
        </w:rPr>
      </w:pPr>
      <w:r>
        <w:rPr>
          <w:rFonts w:ascii="Arial" w:cs="Arial" w:eastAsia="Arial" w:hAnsi="Arial"/>
          <w:sz w:val="16"/>
          <w:szCs w:val="16"/>
          <w:b w:val="1"/>
          <w:bCs w:val="1"/>
          <w:color w:val="auto"/>
        </w:rPr>
        <w:t>Section 8.03 Who May be Deemed Owners</w:t>
      </w:r>
      <w:r>
        <w:rPr>
          <w:rFonts w:ascii="Arial" w:cs="Arial" w:eastAsia="Arial" w:hAnsi="Arial"/>
          <w:sz w:val="16"/>
          <w:szCs w:val="16"/>
          <w:color w:val="auto"/>
        </w:rPr>
        <w:t>.</w:t>
      </w:r>
    </w:p>
    <w:p>
      <w:pPr>
        <w:spacing w:after="0" w:line="17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8.04 Certain Securities Owned by Company Disregarded</w:t>
      </w:r>
      <w:r>
        <w:rPr>
          <w:rFonts w:ascii="Arial" w:cs="Arial" w:eastAsia="Arial" w:hAnsi="Arial"/>
          <w:sz w:val="16"/>
          <w:szCs w:val="16"/>
          <w:color w:val="auto"/>
        </w:rPr>
        <w:t>.</w:t>
      </w:r>
    </w:p>
    <w:p>
      <w:pPr>
        <w:spacing w:after="0" w:line="174"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3"/>
          <w:szCs w:val="13"/>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8.05 Actions Binding on Future Securityholders</w:t>
      </w:r>
      <w:r>
        <w:rPr>
          <w:rFonts w:ascii="Arial" w:cs="Arial" w:eastAsia="Arial" w:hAnsi="Arial"/>
          <w:sz w:val="16"/>
          <w:szCs w:val="16"/>
          <w:color w:val="auto"/>
        </w:rPr>
        <w:t>.</w:t>
      </w:r>
    </w:p>
    <w:p>
      <w:pPr>
        <w:spacing w:after="0" w:line="174"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5"/>
          <w:szCs w:val="15"/>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75" w:name="page76"/>
    <w:bookmarkEnd w:id="75"/>
    <w:p>
      <w:pPr>
        <w:jc w:val="center"/>
        <w:ind w:right="-4"/>
        <w:spacing w:after="0"/>
        <w:rPr>
          <w:sz w:val="20"/>
          <w:szCs w:val="20"/>
          <w:color w:val="auto"/>
        </w:rPr>
      </w:pPr>
      <w:r>
        <w:rPr>
          <w:rFonts w:ascii="Arial" w:cs="Arial" w:eastAsia="Arial" w:hAnsi="Arial"/>
          <w:sz w:val="16"/>
          <w:szCs w:val="16"/>
          <w:b w:val="1"/>
          <w:bCs w:val="1"/>
          <w:color w:val="auto"/>
        </w:rPr>
        <w:t>ARTICLE 9</w:t>
      </w:r>
    </w:p>
    <w:p>
      <w:pPr>
        <w:spacing w:after="0" w:line="170" w:lineRule="exact"/>
        <w:rPr>
          <w:sz w:val="20"/>
          <w:szCs w:val="20"/>
          <w:color w:val="auto"/>
        </w:rPr>
      </w:pPr>
    </w:p>
    <w:p>
      <w:pPr>
        <w:ind w:left="4285"/>
        <w:spacing w:after="0"/>
        <w:rPr>
          <w:sz w:val="20"/>
          <w:szCs w:val="20"/>
          <w:color w:val="auto"/>
        </w:rPr>
      </w:pPr>
      <w:r>
        <w:rPr>
          <w:rFonts w:ascii="Arial" w:cs="Arial" w:eastAsia="Arial" w:hAnsi="Arial"/>
          <w:sz w:val="16"/>
          <w:szCs w:val="16"/>
          <w:b w:val="1"/>
          <w:bCs w:val="1"/>
          <w:color w:val="auto"/>
        </w:rPr>
        <w:t>SUPPLEMENTAL INDENTURES</w:t>
      </w:r>
    </w:p>
    <w:p>
      <w:pPr>
        <w:spacing w:after="0" w:line="170" w:lineRule="exact"/>
        <w:rPr>
          <w:sz w:val="20"/>
          <w:szCs w:val="20"/>
          <w:color w:val="auto"/>
        </w:rPr>
      </w:pPr>
    </w:p>
    <w:p>
      <w:pPr>
        <w:ind w:left="665"/>
        <w:spacing w:after="0"/>
        <w:rPr>
          <w:sz w:val="20"/>
          <w:szCs w:val="20"/>
          <w:color w:val="auto"/>
        </w:rPr>
      </w:pPr>
      <w:r>
        <w:rPr>
          <w:rFonts w:ascii="Arial" w:cs="Arial" w:eastAsia="Arial" w:hAnsi="Arial"/>
          <w:sz w:val="16"/>
          <w:szCs w:val="16"/>
          <w:b w:val="1"/>
          <w:bCs w:val="1"/>
          <w:color w:val="auto"/>
        </w:rPr>
        <w:t>Section 9.01 Supplemental Indentures Without the Consent of Securityholders</w:t>
      </w:r>
      <w:r>
        <w:rPr>
          <w:rFonts w:ascii="Arial" w:cs="Arial" w:eastAsia="Arial" w:hAnsi="Arial"/>
          <w:sz w:val="16"/>
          <w:szCs w:val="16"/>
          <w:color w:val="auto"/>
        </w:rPr>
        <w:t>.</w:t>
      </w:r>
    </w:p>
    <w:p>
      <w:pPr>
        <w:spacing w:after="0" w:line="174" w:lineRule="exact"/>
        <w:rPr>
          <w:sz w:val="20"/>
          <w:szCs w:val="20"/>
          <w:color w:val="auto"/>
        </w:rPr>
      </w:pPr>
    </w:p>
    <w:p>
      <w:pPr>
        <w:jc w:val="both"/>
        <w:ind w:left="5" w:firstLine="648"/>
        <w:spacing w:after="0" w:line="257" w:lineRule="auto"/>
        <w:rPr>
          <w:sz w:val="20"/>
          <w:szCs w:val="20"/>
          <w:color w:val="auto"/>
        </w:rPr>
      </w:pPr>
      <w:r>
        <w:rPr>
          <w:rFonts w:ascii="Arial" w:cs="Arial" w:eastAsia="Arial" w:hAnsi="Arial"/>
          <w:sz w:val="16"/>
          <w:szCs w:val="16"/>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18" w:lineRule="exact"/>
        <w:rPr>
          <w:sz w:val="20"/>
          <w:szCs w:val="20"/>
          <w:color w:val="auto"/>
        </w:rPr>
      </w:pPr>
    </w:p>
    <w:p>
      <w:pPr>
        <w:ind w:left="1545" w:hanging="246"/>
        <w:spacing w:after="0"/>
        <w:tabs>
          <w:tab w:leader="none" w:pos="1545" w:val="left"/>
        </w:tabs>
        <w:numPr>
          <w:ilvl w:val="1"/>
          <w:numId w:val="74"/>
        </w:numPr>
        <w:rPr>
          <w:rFonts w:ascii="Arial" w:cs="Arial" w:eastAsia="Arial" w:hAnsi="Arial"/>
          <w:sz w:val="16"/>
          <w:szCs w:val="16"/>
          <w:b w:val="1"/>
          <w:bCs w:val="1"/>
          <w:color w:val="auto"/>
        </w:rPr>
      </w:pPr>
      <w:r>
        <w:rPr>
          <w:rFonts w:ascii="Arial" w:cs="Arial" w:eastAsia="Arial" w:hAnsi="Arial"/>
          <w:sz w:val="16"/>
          <w:szCs w:val="16"/>
          <w:color w:val="auto"/>
        </w:rPr>
        <w:t>to cure any ambiguity, defect, or inconsistency herein or in the Securities of any series;</w:t>
      </w:r>
    </w:p>
    <w:p>
      <w:pPr>
        <w:spacing w:after="0" w:line="170" w:lineRule="exact"/>
        <w:rPr>
          <w:rFonts w:ascii="Arial" w:cs="Arial" w:eastAsia="Arial" w:hAnsi="Arial"/>
          <w:sz w:val="16"/>
          <w:szCs w:val="16"/>
          <w:b w:val="1"/>
          <w:bCs w:val="1"/>
          <w:color w:val="auto"/>
        </w:rPr>
      </w:pPr>
    </w:p>
    <w:p>
      <w:pPr>
        <w:ind w:left="1545" w:hanging="246"/>
        <w:spacing w:after="0"/>
        <w:tabs>
          <w:tab w:leader="none" w:pos="1545" w:val="left"/>
        </w:tabs>
        <w:numPr>
          <w:ilvl w:val="1"/>
          <w:numId w:val="74"/>
        </w:numPr>
        <w:rPr>
          <w:rFonts w:ascii="Arial" w:cs="Arial" w:eastAsia="Arial" w:hAnsi="Arial"/>
          <w:sz w:val="16"/>
          <w:szCs w:val="16"/>
          <w:b w:val="1"/>
          <w:bCs w:val="1"/>
          <w:color w:val="auto"/>
        </w:rPr>
      </w:pPr>
      <w:r>
        <w:rPr>
          <w:rFonts w:ascii="Arial" w:cs="Arial" w:eastAsia="Arial" w:hAnsi="Arial"/>
          <w:sz w:val="16"/>
          <w:szCs w:val="16"/>
          <w:color w:val="auto"/>
        </w:rPr>
        <w:t>to comply with Article Ten;</w:t>
      </w:r>
    </w:p>
    <w:p>
      <w:pPr>
        <w:spacing w:after="0" w:line="170" w:lineRule="exact"/>
        <w:rPr>
          <w:rFonts w:ascii="Arial" w:cs="Arial" w:eastAsia="Arial" w:hAnsi="Arial"/>
          <w:sz w:val="16"/>
          <w:szCs w:val="16"/>
          <w:b w:val="1"/>
          <w:bCs w:val="1"/>
          <w:color w:val="auto"/>
        </w:rPr>
      </w:pPr>
    </w:p>
    <w:p>
      <w:pPr>
        <w:ind w:left="1545" w:hanging="246"/>
        <w:spacing w:after="0"/>
        <w:tabs>
          <w:tab w:leader="none" w:pos="1545" w:val="left"/>
        </w:tabs>
        <w:numPr>
          <w:ilvl w:val="1"/>
          <w:numId w:val="74"/>
        </w:numPr>
        <w:rPr>
          <w:rFonts w:ascii="Arial" w:cs="Arial" w:eastAsia="Arial" w:hAnsi="Arial"/>
          <w:sz w:val="16"/>
          <w:szCs w:val="16"/>
          <w:b w:val="1"/>
          <w:bCs w:val="1"/>
          <w:color w:val="auto"/>
        </w:rPr>
      </w:pPr>
      <w:r>
        <w:rPr>
          <w:rFonts w:ascii="Arial" w:cs="Arial" w:eastAsia="Arial" w:hAnsi="Arial"/>
          <w:sz w:val="16"/>
          <w:szCs w:val="16"/>
          <w:color w:val="auto"/>
        </w:rPr>
        <w:t>to provide for uncertificated Securities in addition to or in place of certificated Securities;</w:t>
      </w:r>
    </w:p>
    <w:p>
      <w:pPr>
        <w:spacing w:after="0" w:line="170" w:lineRule="exact"/>
        <w:rPr>
          <w:rFonts w:ascii="Arial" w:cs="Arial" w:eastAsia="Arial" w:hAnsi="Arial"/>
          <w:sz w:val="16"/>
          <w:szCs w:val="16"/>
          <w:b w:val="1"/>
          <w:bCs w:val="1"/>
          <w:color w:val="auto"/>
        </w:rPr>
      </w:pPr>
    </w:p>
    <w:p>
      <w:pPr>
        <w:jc w:val="both"/>
        <w:ind w:left="5" w:firstLine="1301"/>
        <w:spacing w:after="0" w:line="330" w:lineRule="auto"/>
        <w:tabs>
          <w:tab w:leader="none" w:pos="2732" w:val="left"/>
        </w:tabs>
        <w:numPr>
          <w:ilvl w:val="1"/>
          <w:numId w:val="74"/>
        </w:numPr>
        <w:rPr>
          <w:rFonts w:ascii="Arial" w:cs="Arial" w:eastAsia="Arial" w:hAnsi="Arial"/>
          <w:sz w:val="13"/>
          <w:szCs w:val="13"/>
          <w:b w:val="1"/>
          <w:bCs w:val="1"/>
          <w:color w:val="auto"/>
        </w:rPr>
      </w:pPr>
      <w:r>
        <w:rPr>
          <w:rFonts w:ascii="Arial" w:cs="Arial" w:eastAsia="Arial" w:hAnsi="Arial"/>
          <w:sz w:val="13"/>
          <w:szCs w:val="13"/>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75" w:lineRule="exact"/>
        <w:rPr>
          <w:rFonts w:ascii="Arial" w:cs="Arial" w:eastAsia="Arial" w:hAnsi="Arial"/>
          <w:sz w:val="13"/>
          <w:szCs w:val="13"/>
          <w:b w:val="1"/>
          <w:bCs w:val="1"/>
          <w:color w:val="auto"/>
        </w:rPr>
      </w:pPr>
    </w:p>
    <w:p>
      <w:pPr>
        <w:ind w:left="5" w:right="420" w:firstLine="1301"/>
        <w:spacing w:after="0" w:line="267" w:lineRule="auto"/>
        <w:tabs>
          <w:tab w:leader="none" w:pos="2699" w:val="left"/>
        </w:tabs>
        <w:numPr>
          <w:ilvl w:val="1"/>
          <w:numId w:val="74"/>
        </w:numPr>
        <w:rPr>
          <w:rFonts w:ascii="Arial" w:cs="Arial" w:eastAsia="Arial" w:hAnsi="Arial"/>
          <w:sz w:val="16"/>
          <w:szCs w:val="16"/>
          <w:b w:val="1"/>
          <w:bCs w:val="1"/>
          <w:color w:val="auto"/>
        </w:rPr>
      </w:pPr>
      <w:r>
        <w:rPr>
          <w:rFonts w:ascii="Arial" w:cs="Arial" w:eastAsia="Arial" w:hAnsi="Arial"/>
          <w:sz w:val="16"/>
          <w:szCs w:val="16"/>
          <w:color w:val="auto"/>
        </w:rPr>
        <w:t>to add to, delete from, or revise the conditions, limitations, and restrictions on the authorized amount, terms, or purposes of issue, authentication, and delivery of Securities, as herein set forth;</w:t>
      </w:r>
    </w:p>
    <w:p>
      <w:pPr>
        <w:spacing w:after="0" w:line="86" w:lineRule="exact"/>
        <w:rPr>
          <w:rFonts w:ascii="Arial" w:cs="Arial" w:eastAsia="Arial" w:hAnsi="Arial"/>
          <w:sz w:val="16"/>
          <w:szCs w:val="16"/>
          <w:b w:val="1"/>
          <w:bCs w:val="1"/>
          <w:color w:val="auto"/>
        </w:rPr>
      </w:pPr>
    </w:p>
    <w:p>
      <w:pPr>
        <w:ind w:left="1505" w:hanging="206"/>
        <w:spacing w:after="0"/>
        <w:tabs>
          <w:tab w:leader="none" w:pos="1505" w:val="left"/>
        </w:tabs>
        <w:numPr>
          <w:ilvl w:val="1"/>
          <w:numId w:val="74"/>
        </w:numPr>
        <w:rPr>
          <w:rFonts w:ascii="Arial" w:cs="Arial" w:eastAsia="Arial" w:hAnsi="Arial"/>
          <w:sz w:val="16"/>
          <w:szCs w:val="16"/>
          <w:b w:val="1"/>
          <w:bCs w:val="1"/>
          <w:color w:val="auto"/>
        </w:rPr>
      </w:pPr>
      <w:r>
        <w:rPr>
          <w:rFonts w:ascii="Arial" w:cs="Arial" w:eastAsia="Arial" w:hAnsi="Arial"/>
          <w:sz w:val="16"/>
          <w:szCs w:val="16"/>
          <w:color w:val="auto"/>
        </w:rPr>
        <w:t>to make any change that does not adversely affect the rights of any Securityholder in any material respect;</w:t>
      </w:r>
    </w:p>
    <w:p>
      <w:pPr>
        <w:spacing w:after="0" w:line="170" w:lineRule="exact"/>
        <w:rPr>
          <w:rFonts w:ascii="Arial" w:cs="Arial" w:eastAsia="Arial" w:hAnsi="Arial"/>
          <w:sz w:val="16"/>
          <w:szCs w:val="16"/>
          <w:b w:val="1"/>
          <w:bCs w:val="1"/>
          <w:color w:val="auto"/>
        </w:rPr>
      </w:pPr>
    </w:p>
    <w:p>
      <w:pPr>
        <w:jc w:val="both"/>
        <w:ind w:left="5" w:right="20" w:firstLine="1301"/>
        <w:spacing w:after="0" w:line="257" w:lineRule="auto"/>
        <w:tabs>
          <w:tab w:leader="none" w:pos="2708" w:val="left"/>
        </w:tabs>
        <w:numPr>
          <w:ilvl w:val="1"/>
          <w:numId w:val="74"/>
        </w:numPr>
        <w:rPr>
          <w:rFonts w:ascii="Arial" w:cs="Arial" w:eastAsia="Arial" w:hAnsi="Arial"/>
          <w:sz w:val="16"/>
          <w:szCs w:val="16"/>
          <w:b w:val="1"/>
          <w:bCs w:val="1"/>
          <w:color w:val="auto"/>
        </w:rPr>
      </w:pPr>
      <w:r>
        <w:rPr>
          <w:rFonts w:ascii="Arial" w:cs="Arial" w:eastAsia="Arial" w:hAnsi="Arial"/>
          <w:sz w:val="16"/>
          <w:szCs w:val="16"/>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spacing w:after="0" w:line="117" w:lineRule="exact"/>
        <w:rPr>
          <w:rFonts w:ascii="Arial" w:cs="Arial" w:eastAsia="Arial" w:hAnsi="Arial"/>
          <w:sz w:val="16"/>
          <w:szCs w:val="16"/>
          <w:b w:val="1"/>
          <w:bCs w:val="1"/>
          <w:color w:val="auto"/>
        </w:rPr>
      </w:pPr>
    </w:p>
    <w:p>
      <w:pPr>
        <w:ind w:left="1545" w:hanging="246"/>
        <w:spacing w:after="0"/>
        <w:tabs>
          <w:tab w:leader="none" w:pos="1545" w:val="left"/>
        </w:tabs>
        <w:numPr>
          <w:ilvl w:val="1"/>
          <w:numId w:val="74"/>
        </w:numPr>
        <w:rPr>
          <w:rFonts w:ascii="Arial" w:cs="Arial" w:eastAsia="Arial" w:hAnsi="Arial"/>
          <w:sz w:val="16"/>
          <w:szCs w:val="16"/>
          <w:b w:val="1"/>
          <w:bCs w:val="1"/>
          <w:color w:val="auto"/>
        </w:rPr>
      </w:pPr>
      <w:r>
        <w:rPr>
          <w:rFonts w:ascii="Arial" w:cs="Arial" w:eastAsia="Arial" w:hAnsi="Arial"/>
          <w:sz w:val="16"/>
          <w:szCs w:val="16"/>
          <w:color w:val="auto"/>
        </w:rPr>
        <w:t>to evidence and provide for the acceptance of appointment hereunder by a successor trustee; or</w:t>
      </w:r>
    </w:p>
    <w:p>
      <w:pPr>
        <w:spacing w:after="0" w:line="190" w:lineRule="exact"/>
        <w:rPr>
          <w:rFonts w:ascii="Arial" w:cs="Arial" w:eastAsia="Arial" w:hAnsi="Arial"/>
          <w:sz w:val="16"/>
          <w:szCs w:val="16"/>
          <w:b w:val="1"/>
          <w:bCs w:val="1"/>
          <w:color w:val="auto"/>
        </w:rPr>
      </w:pPr>
    </w:p>
    <w:p>
      <w:pPr>
        <w:ind w:left="1385" w:hanging="1385"/>
        <w:spacing w:after="0"/>
        <w:tabs>
          <w:tab w:leader="none" w:pos="1385" w:val="left"/>
        </w:tabs>
        <w:numPr>
          <w:ilvl w:val="0"/>
          <w:numId w:val="75"/>
        </w:numPr>
        <w:rPr>
          <w:rFonts w:ascii="Arial" w:cs="Arial" w:eastAsia="Arial" w:hAnsi="Arial"/>
          <w:sz w:val="13"/>
          <w:szCs w:val="13"/>
          <w:b w:val="1"/>
          <w:bCs w:val="1"/>
          <w:color w:val="auto"/>
        </w:rPr>
      </w:pPr>
      <w:r>
        <w:rPr>
          <w:rFonts w:ascii="Arial" w:cs="Arial" w:eastAsia="Arial" w:hAnsi="Arial"/>
          <w:sz w:val="13"/>
          <w:szCs w:val="13"/>
          <w:b w:val="1"/>
          <w:bCs w:val="1"/>
          <w:color w:val="auto"/>
        </w:rPr>
        <w:t>t</w:t>
      </w:r>
      <w:r>
        <w:rPr>
          <w:rFonts w:ascii="Arial" w:cs="Arial" w:eastAsia="Arial" w:hAnsi="Arial"/>
          <w:sz w:val="13"/>
          <w:szCs w:val="13"/>
          <w:color w:val="auto"/>
        </w:rPr>
        <w:t>o comply with any requirements of the Commission or any successor in connection with the qualification of this Indenture under the Trust Indenture Act.</w:t>
      </w:r>
    </w:p>
    <w:p>
      <w:pPr>
        <w:spacing w:after="0" w:line="386"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446405</wp:posOffset>
            </wp:positionV>
            <wp:extent cx="7164705"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11430</wp:posOffset>
            </wp:positionV>
            <wp:extent cx="561149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5"/>
          </w:cols>
          <w:pgMar w:left="315" w:top="324" w:right="319" w:bottom="1440" w:gutter="0" w:footer="0" w:header="0"/>
        </w:sectPr>
      </w:pPr>
    </w:p>
    <w:bookmarkStart w:id="76" w:name="page77"/>
    <w:bookmarkEnd w:id="76"/>
    <w:p>
      <w:pPr>
        <w:jc w:val="both"/>
        <w:ind w:right="20" w:firstLine="648"/>
        <w:spacing w:after="0" w:line="257" w:lineRule="auto"/>
        <w:rPr>
          <w:sz w:val="20"/>
          <w:szCs w:val="20"/>
          <w:color w:val="auto"/>
        </w:rPr>
      </w:pPr>
      <w:r>
        <w:rPr>
          <w:rFonts w:ascii="Arial" w:cs="Arial" w:eastAsia="Arial" w:hAnsi="Arial"/>
          <w:sz w:val="16"/>
          <w:szCs w:val="16"/>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18"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16"/>
          <w:szCs w:val="16"/>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9.02 Supplemental Indentures With Consent of Securityholders</w:t>
      </w:r>
      <w:r>
        <w:rPr>
          <w:rFonts w:ascii="Arial" w:cs="Arial" w:eastAsia="Arial" w:hAnsi="Arial"/>
          <w:sz w:val="16"/>
          <w:szCs w:val="16"/>
          <w:color w:val="auto"/>
        </w:rPr>
        <w:t>.</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13"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16"/>
          <w:szCs w:val="16"/>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9.03 Effect of Supplemental Indentures</w:t>
      </w:r>
      <w:r>
        <w:rPr>
          <w:rFonts w:ascii="Arial" w:cs="Arial" w:eastAsia="Arial" w:hAnsi="Arial"/>
          <w:sz w:val="16"/>
          <w:szCs w:val="16"/>
          <w:color w:val="auto"/>
        </w:rPr>
        <w:t>.</w:t>
      </w:r>
    </w:p>
    <w:p>
      <w:pPr>
        <w:spacing w:after="0" w:line="17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77" w:name="page78"/>
    <w:bookmarkEnd w:id="77"/>
    <w:p>
      <w:pPr>
        <w:ind w:left="660"/>
        <w:spacing w:after="0"/>
        <w:rPr>
          <w:sz w:val="20"/>
          <w:szCs w:val="20"/>
          <w:color w:val="auto"/>
        </w:rPr>
      </w:pPr>
      <w:r>
        <w:rPr>
          <w:rFonts w:ascii="Arial" w:cs="Arial" w:eastAsia="Arial" w:hAnsi="Arial"/>
          <w:sz w:val="16"/>
          <w:szCs w:val="16"/>
          <w:b w:val="1"/>
          <w:bCs w:val="1"/>
          <w:color w:val="auto"/>
        </w:rPr>
        <w:t>Section 9.04 Securities Affected by Supplemental Indentures</w:t>
      </w:r>
      <w:r>
        <w:rPr>
          <w:rFonts w:ascii="Arial" w:cs="Arial" w:eastAsia="Arial" w:hAnsi="Arial"/>
          <w:sz w:val="16"/>
          <w:szCs w:val="16"/>
          <w:color w:val="auto"/>
        </w:rPr>
        <w:t>.</w:t>
      </w:r>
    </w:p>
    <w:p>
      <w:pPr>
        <w:spacing w:after="0" w:line="17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9.05 Execution of Supplemental Indentures</w:t>
      </w:r>
      <w:r>
        <w:rPr>
          <w:rFonts w:ascii="Arial" w:cs="Arial" w:eastAsia="Arial" w:hAnsi="Arial"/>
          <w:sz w:val="16"/>
          <w:szCs w:val="16"/>
          <w:color w:val="auto"/>
        </w:rPr>
        <w:t>.</w:t>
      </w:r>
    </w:p>
    <w:p>
      <w:pPr>
        <w:spacing w:after="0" w:line="174"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3"/>
          <w:szCs w:val="13"/>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spacing w:after="0" w:line="5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Promptly after the execution by the Company and the Trustee of any supplemental indenture pursuant to the provisions of this Section, the Company shall (or shall direct the Trustee to) send a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SUCCESSOR ENTITY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10.01 Company May Consolidate, Etc.</w:t>
      </w:r>
    </w:p>
    <w:p>
      <w:pPr>
        <w:spacing w:after="0" w:line="174"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3"/>
          <w:szCs w:val="13"/>
          <w:color w:val="auto"/>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or merger (in each case, if the Company is not the survivor of such transaction) or 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78" w:name="page79"/>
    <w:bookmarkEnd w:id="78"/>
    <w:p>
      <w:pPr>
        <w:ind w:left="660"/>
        <w:spacing w:after="0"/>
        <w:rPr>
          <w:sz w:val="20"/>
          <w:szCs w:val="20"/>
          <w:color w:val="auto"/>
        </w:rPr>
      </w:pPr>
      <w:r>
        <w:rPr>
          <w:rFonts w:ascii="Arial" w:cs="Arial" w:eastAsia="Arial" w:hAnsi="Arial"/>
          <w:sz w:val="16"/>
          <w:szCs w:val="16"/>
          <w:b w:val="1"/>
          <w:bCs w:val="1"/>
          <w:color w:val="auto"/>
        </w:rPr>
        <w:t>Section 10.02 Successor Entity Substituted</w:t>
      </w:r>
      <w:r>
        <w:rPr>
          <w:rFonts w:ascii="Arial" w:cs="Arial" w:eastAsia="Arial" w:hAnsi="Arial"/>
          <w:sz w:val="16"/>
          <w:szCs w:val="16"/>
          <w:color w:val="auto"/>
        </w:rPr>
        <w:t>.</w:t>
      </w:r>
    </w:p>
    <w:p>
      <w:pPr>
        <w:spacing w:after="0" w:line="174" w:lineRule="exact"/>
        <w:rPr>
          <w:sz w:val="20"/>
          <w:szCs w:val="20"/>
          <w:color w:val="auto"/>
        </w:rPr>
      </w:pPr>
    </w:p>
    <w:p>
      <w:pPr>
        <w:jc w:val="both"/>
        <w:ind w:firstLine="1301"/>
        <w:spacing w:after="0" w:line="275" w:lineRule="auto"/>
        <w:tabs>
          <w:tab w:leader="none" w:pos="2702" w:val="left"/>
        </w:tabs>
        <w:numPr>
          <w:ilvl w:val="0"/>
          <w:numId w:val="76"/>
        </w:numPr>
        <w:rPr>
          <w:rFonts w:ascii="Arial" w:cs="Arial" w:eastAsia="Arial" w:hAnsi="Arial"/>
          <w:sz w:val="15"/>
          <w:szCs w:val="15"/>
          <w:b w:val="1"/>
          <w:bCs w:val="1"/>
          <w:color w:val="auto"/>
        </w:rPr>
      </w:pPr>
      <w:r>
        <w:rPr>
          <w:rFonts w:ascii="Arial" w:cs="Arial" w:eastAsia="Arial" w:hAnsi="Arial"/>
          <w:sz w:val="15"/>
          <w:szCs w:val="15"/>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07" w:lineRule="exact"/>
        <w:rPr>
          <w:rFonts w:ascii="Arial" w:cs="Arial" w:eastAsia="Arial" w:hAnsi="Arial"/>
          <w:sz w:val="15"/>
          <w:szCs w:val="15"/>
          <w:b w:val="1"/>
          <w:bCs w:val="1"/>
          <w:color w:val="auto"/>
        </w:rPr>
      </w:pPr>
    </w:p>
    <w:p>
      <w:pPr>
        <w:ind w:right="160" w:firstLine="1301"/>
        <w:spacing w:after="0" w:line="267" w:lineRule="auto"/>
        <w:tabs>
          <w:tab w:leader="none" w:pos="2727" w:val="left"/>
        </w:tabs>
        <w:numPr>
          <w:ilvl w:val="0"/>
          <w:numId w:val="76"/>
        </w:numPr>
        <w:rPr>
          <w:rFonts w:ascii="Arial" w:cs="Arial" w:eastAsia="Arial" w:hAnsi="Arial"/>
          <w:sz w:val="16"/>
          <w:szCs w:val="16"/>
          <w:b w:val="1"/>
          <w:bCs w:val="1"/>
          <w:color w:val="auto"/>
        </w:rPr>
      </w:pPr>
      <w:r>
        <w:rPr>
          <w:rFonts w:ascii="Arial" w:cs="Arial" w:eastAsia="Arial" w:hAnsi="Arial"/>
          <w:sz w:val="16"/>
          <w:szCs w:val="16"/>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86" w:lineRule="exact"/>
        <w:rPr>
          <w:rFonts w:ascii="Arial" w:cs="Arial" w:eastAsia="Arial" w:hAnsi="Arial"/>
          <w:sz w:val="16"/>
          <w:szCs w:val="16"/>
          <w:b w:val="1"/>
          <w:bCs w:val="1"/>
          <w:color w:val="auto"/>
        </w:rPr>
      </w:pPr>
    </w:p>
    <w:p>
      <w:pPr>
        <w:jc w:val="both"/>
        <w:ind w:right="20" w:firstLine="1301"/>
        <w:spacing w:after="0" w:line="257" w:lineRule="auto"/>
        <w:tabs>
          <w:tab w:leader="none" w:pos="2693" w:val="left"/>
        </w:tabs>
        <w:numPr>
          <w:ilvl w:val="0"/>
          <w:numId w:val="76"/>
        </w:numPr>
        <w:rPr>
          <w:rFonts w:ascii="Arial" w:cs="Arial" w:eastAsia="Arial" w:hAnsi="Arial"/>
          <w:sz w:val="16"/>
          <w:szCs w:val="16"/>
          <w:b w:val="1"/>
          <w:bCs w:val="1"/>
          <w:color w:val="auto"/>
        </w:rPr>
      </w:pPr>
      <w:r>
        <w:rPr>
          <w:rFonts w:ascii="Arial" w:cs="Arial" w:eastAsia="Arial" w:hAnsi="Arial"/>
          <w:sz w:val="16"/>
          <w:szCs w:val="16"/>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11</w:t>
      </w:r>
    </w:p>
    <w:p>
      <w:pPr>
        <w:spacing w:after="0" w:line="170" w:lineRule="exact"/>
        <w:rPr>
          <w:sz w:val="20"/>
          <w:szCs w:val="20"/>
          <w:color w:val="auto"/>
        </w:rPr>
      </w:pPr>
    </w:p>
    <w:p>
      <w:pPr>
        <w:ind w:left="4180"/>
        <w:spacing w:after="0"/>
        <w:rPr>
          <w:sz w:val="20"/>
          <w:szCs w:val="20"/>
          <w:color w:val="auto"/>
        </w:rPr>
      </w:pPr>
      <w:r>
        <w:rPr>
          <w:rFonts w:ascii="Arial" w:cs="Arial" w:eastAsia="Arial" w:hAnsi="Arial"/>
          <w:sz w:val="16"/>
          <w:szCs w:val="16"/>
          <w:b w:val="1"/>
          <w:bCs w:val="1"/>
          <w:color w:val="auto"/>
        </w:rPr>
        <w:t>SATISFACTION AND DISCHARGE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11.01 Satisfaction and Discharge of Indenture</w:t>
      </w:r>
      <w:r>
        <w:rPr>
          <w:rFonts w:ascii="Arial" w:cs="Arial" w:eastAsia="Arial" w:hAnsi="Arial"/>
          <w:sz w:val="16"/>
          <w:szCs w:val="16"/>
          <w:color w:val="auto"/>
        </w:rPr>
        <w:t>.</w:t>
      </w:r>
    </w:p>
    <w:p>
      <w:pPr>
        <w:spacing w:after="0" w:line="174"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3"/>
          <w:szCs w:val="13"/>
          <w:color w:val="auto"/>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11.05 and 13.04,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4">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79" w:name="page80"/>
    <w:bookmarkEnd w:id="79"/>
    <w:p>
      <w:pPr>
        <w:ind w:left="660"/>
        <w:spacing w:after="0"/>
        <w:rPr>
          <w:sz w:val="20"/>
          <w:szCs w:val="20"/>
          <w:color w:val="auto"/>
        </w:rPr>
      </w:pPr>
      <w:r>
        <w:rPr>
          <w:rFonts w:ascii="Arial" w:cs="Arial" w:eastAsia="Arial" w:hAnsi="Arial"/>
          <w:sz w:val="16"/>
          <w:szCs w:val="16"/>
          <w:b w:val="1"/>
          <w:bCs w:val="1"/>
          <w:color w:val="auto"/>
        </w:rPr>
        <w:t>Section 11.02 Discharge of Obligations</w:t>
      </w:r>
      <w:r>
        <w:rPr>
          <w:rFonts w:ascii="Arial" w:cs="Arial" w:eastAsia="Arial" w:hAnsi="Arial"/>
          <w:sz w:val="16"/>
          <w:szCs w:val="16"/>
          <w:color w:val="auto"/>
        </w:rPr>
        <w:t>.</w:t>
      </w:r>
    </w:p>
    <w:p>
      <w:pPr>
        <w:spacing w:after="0" w:line="17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Thereafter, Sections 7.06 and 11.05 shall survive.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11.03 Deposited Moneys to be Held in Trust</w:t>
      </w:r>
      <w:r>
        <w:rPr>
          <w:rFonts w:ascii="Arial" w:cs="Arial" w:eastAsia="Arial" w:hAnsi="Arial"/>
          <w:sz w:val="16"/>
          <w:szCs w:val="16"/>
          <w:color w:val="auto"/>
        </w:rPr>
        <w:t>.</w:t>
      </w:r>
    </w:p>
    <w:p>
      <w:pPr>
        <w:spacing w:after="0" w:line="1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7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11.04 Payment of Moneys Held by Paying Agents</w:t>
      </w:r>
      <w:r>
        <w:rPr>
          <w:rFonts w:ascii="Arial" w:cs="Arial" w:eastAsia="Arial" w:hAnsi="Arial"/>
          <w:sz w:val="16"/>
          <w:szCs w:val="16"/>
          <w:color w:val="auto"/>
        </w:rPr>
        <w:t>.</w:t>
      </w:r>
    </w:p>
    <w:p>
      <w:pPr>
        <w:spacing w:after="0" w:line="174"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6"/>
          <w:szCs w:val="16"/>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7">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80" w:name="page81"/>
    <w:bookmarkEnd w:id="80"/>
    <w:p>
      <w:pPr>
        <w:ind w:left="660"/>
        <w:spacing w:after="0"/>
        <w:rPr>
          <w:sz w:val="20"/>
          <w:szCs w:val="20"/>
          <w:color w:val="auto"/>
        </w:rPr>
      </w:pPr>
      <w:r>
        <w:rPr>
          <w:rFonts w:ascii="Arial" w:cs="Arial" w:eastAsia="Arial" w:hAnsi="Arial"/>
          <w:sz w:val="16"/>
          <w:szCs w:val="16"/>
          <w:b w:val="1"/>
          <w:bCs w:val="1"/>
          <w:color w:val="auto"/>
        </w:rPr>
        <w:t>Section 11.05 Repayment to Company</w:t>
      </w:r>
      <w:r>
        <w:rPr>
          <w:rFonts w:ascii="Arial" w:cs="Arial" w:eastAsia="Arial" w:hAnsi="Arial"/>
          <w:sz w:val="16"/>
          <w:szCs w:val="16"/>
          <w:color w:val="auto"/>
        </w:rPr>
        <w:t>.</w:t>
      </w:r>
    </w:p>
    <w:p>
      <w:pPr>
        <w:spacing w:after="0" w:line="17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12</w:t>
      </w:r>
    </w:p>
    <w:p>
      <w:pPr>
        <w:spacing w:after="0" w:line="170"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IMMUNITY OF INCORPORATORS, SHAREHOLDER, OFFICERS AND DIRECTORS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12.01 No Recourse</w:t>
      </w:r>
      <w:r>
        <w:rPr>
          <w:rFonts w:ascii="Arial" w:cs="Arial" w:eastAsia="Arial" w:hAnsi="Arial"/>
          <w:sz w:val="16"/>
          <w:szCs w:val="16"/>
          <w:color w:val="auto"/>
        </w:rPr>
        <w:t>.</w:t>
      </w:r>
    </w:p>
    <w:p>
      <w:pPr>
        <w:spacing w:after="0" w:line="174"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3"/>
          <w:szCs w:val="13"/>
          <w:color w:val="auto"/>
        </w:rPr>
        <w:t>No recourse under or upon any obligation, covenant or agreement of this Indenture, or of any Security, or for any claim based thereon or otherwise in respect thereof, shall be had against any incorporator, shareholder,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shareholder,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shareholder,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81" w:name="page82"/>
    <w:bookmarkEnd w:id="81"/>
    <w:p>
      <w:pPr>
        <w:jc w:val="center"/>
        <w:spacing w:after="0"/>
        <w:rPr>
          <w:sz w:val="20"/>
          <w:szCs w:val="20"/>
          <w:color w:val="auto"/>
        </w:rPr>
      </w:pPr>
      <w:r>
        <w:rPr>
          <w:rFonts w:ascii="Arial" w:cs="Arial" w:eastAsia="Arial" w:hAnsi="Arial"/>
          <w:sz w:val="16"/>
          <w:szCs w:val="16"/>
          <w:b w:val="1"/>
          <w:bCs w:val="1"/>
          <w:color w:val="auto"/>
        </w:rPr>
        <w:t>ARTICLE 13</w:t>
      </w:r>
    </w:p>
    <w:p>
      <w:pPr>
        <w:spacing w:after="0" w:line="170"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MISCELLANEOUS PROVISIONS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13.01 Effect on Successors and Assigns</w:t>
      </w:r>
      <w:r>
        <w:rPr>
          <w:rFonts w:ascii="Arial" w:cs="Arial" w:eastAsia="Arial" w:hAnsi="Arial"/>
          <w:sz w:val="16"/>
          <w:szCs w:val="16"/>
          <w:color w:val="auto"/>
        </w:rPr>
        <w:t>.</w:t>
      </w:r>
    </w:p>
    <w:p>
      <w:pPr>
        <w:spacing w:after="0" w:line="174"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16"/>
          <w:szCs w:val="16"/>
          <w:color w:val="auto"/>
        </w:rPr>
        <w:t>All the covenants, stipulations, promises and agreements in this Indenture made by or on behalf of the Company shall bind its successors and assigns, whether so expressed or not.</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13.02 Actions by Successor</w:t>
      </w:r>
      <w:r>
        <w:rPr>
          <w:rFonts w:ascii="Arial" w:cs="Arial" w:eastAsia="Arial" w:hAnsi="Arial"/>
          <w:sz w:val="16"/>
          <w:szCs w:val="16"/>
          <w:color w:val="auto"/>
        </w:rPr>
        <w:t>.</w:t>
      </w:r>
    </w:p>
    <w:p>
      <w:pPr>
        <w:spacing w:after="0" w:line="174"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6"/>
          <w:szCs w:val="16"/>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13.03 Surrender of Company Powers</w:t>
      </w:r>
      <w:r>
        <w:rPr>
          <w:rFonts w:ascii="Arial" w:cs="Arial" w:eastAsia="Arial" w:hAnsi="Arial"/>
          <w:sz w:val="16"/>
          <w:szCs w:val="16"/>
          <w:color w:val="auto"/>
        </w:rPr>
        <w:t>.</w:t>
      </w:r>
    </w:p>
    <w:p>
      <w:pPr>
        <w:spacing w:after="0" w:line="174" w:lineRule="exact"/>
        <w:rPr>
          <w:sz w:val="20"/>
          <w:szCs w:val="20"/>
          <w:color w:val="auto"/>
        </w:rPr>
      </w:pPr>
    </w:p>
    <w:p>
      <w:pPr>
        <w:ind w:right="40" w:firstLine="647"/>
        <w:spacing w:after="0" w:line="267" w:lineRule="auto"/>
        <w:rPr>
          <w:sz w:val="20"/>
          <w:szCs w:val="20"/>
          <w:color w:val="auto"/>
        </w:rPr>
      </w:pPr>
      <w:r>
        <w:rPr>
          <w:rFonts w:ascii="Arial" w:cs="Arial" w:eastAsia="Arial" w:hAnsi="Arial"/>
          <w:sz w:val="16"/>
          <w:szCs w:val="16"/>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13.04 Notices</w:t>
      </w:r>
      <w:r>
        <w:rPr>
          <w:rFonts w:ascii="Arial" w:cs="Arial" w:eastAsia="Arial" w:hAnsi="Arial"/>
          <w:sz w:val="16"/>
          <w:szCs w:val="16"/>
          <w:color w:val="auto"/>
        </w:rPr>
        <w:t>.</w:t>
      </w:r>
    </w:p>
    <w:p>
      <w:pPr>
        <w:spacing w:after="0" w:line="1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 (until another address is filed in writing by the Company with the Trustee), as follows: Destination XL Group, Inc., 555 Turnpike Street, Canton, MA 02021, Attn: Chief Financial Officer. Any notice, election, request or demand by the Company or any Security holder or by any other Person pursuant to this Indenture to or upon the Trustee shall be deemed to have been sufficiently given or made, for all purposes, if given or made in writing at the Corporate Trust Office of the Trustee.</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13.05 Governing Law; Jury Trial Waiver</w:t>
      </w:r>
      <w:r>
        <w:rPr>
          <w:rFonts w:ascii="Arial" w:cs="Arial" w:eastAsia="Arial" w:hAnsi="Arial"/>
          <w:sz w:val="16"/>
          <w:szCs w:val="16"/>
          <w:color w:val="auto"/>
        </w:rPr>
        <w:t>.</w:t>
      </w:r>
    </w:p>
    <w:p>
      <w:pPr>
        <w:spacing w:after="0" w:line="174" w:lineRule="exact"/>
        <w:rPr>
          <w:sz w:val="20"/>
          <w:szCs w:val="20"/>
          <w:color w:val="auto"/>
        </w:rPr>
      </w:pPr>
    </w:p>
    <w:p>
      <w:pPr>
        <w:ind w:right="40" w:firstLine="647"/>
        <w:spacing w:after="0" w:line="267" w:lineRule="auto"/>
        <w:rPr>
          <w:sz w:val="20"/>
          <w:szCs w:val="20"/>
          <w:color w:val="auto"/>
        </w:rPr>
      </w:pPr>
      <w:r>
        <w:rPr>
          <w:rFonts w:ascii="Arial" w:cs="Arial" w:eastAsia="Arial" w:hAnsi="Arial"/>
          <w:sz w:val="16"/>
          <w:szCs w:val="16"/>
          <w:color w:val="auto"/>
        </w:rPr>
        <w:t>This Indenture and each Security shall be governed by, and construed in accordance with, the internal laws of the State of New York, except to the extent that the Trust Indenture Act is applicable.</w:t>
      </w:r>
    </w:p>
    <w:p>
      <w:pPr>
        <w:spacing w:after="0" w:line="87"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6"/>
          <w:szCs w:val="16"/>
          <w:color w:val="auto"/>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1">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82" w:name="page83"/>
    <w:bookmarkEnd w:id="82"/>
    <w:p>
      <w:pPr>
        <w:ind w:left="665"/>
        <w:spacing w:after="0"/>
        <w:rPr>
          <w:sz w:val="20"/>
          <w:szCs w:val="20"/>
          <w:color w:val="auto"/>
        </w:rPr>
      </w:pPr>
      <w:r>
        <w:rPr>
          <w:rFonts w:ascii="Arial" w:cs="Arial" w:eastAsia="Arial" w:hAnsi="Arial"/>
          <w:sz w:val="16"/>
          <w:szCs w:val="16"/>
          <w:b w:val="1"/>
          <w:bCs w:val="1"/>
          <w:color w:val="auto"/>
        </w:rPr>
        <w:t>Section 13.06 Treatment of Securities as Debt</w:t>
      </w:r>
      <w:r>
        <w:rPr>
          <w:rFonts w:ascii="Arial" w:cs="Arial" w:eastAsia="Arial" w:hAnsi="Arial"/>
          <w:sz w:val="16"/>
          <w:szCs w:val="16"/>
          <w:color w:val="auto"/>
        </w:rPr>
        <w:t>.</w:t>
      </w:r>
    </w:p>
    <w:p>
      <w:pPr>
        <w:spacing w:after="0" w:line="174" w:lineRule="exact"/>
        <w:rPr>
          <w:sz w:val="20"/>
          <w:szCs w:val="20"/>
          <w:color w:val="auto"/>
        </w:rPr>
      </w:pPr>
    </w:p>
    <w:p>
      <w:pPr>
        <w:ind w:left="5" w:right="20" w:firstLine="648"/>
        <w:spacing w:after="0" w:line="267" w:lineRule="auto"/>
        <w:rPr>
          <w:sz w:val="20"/>
          <w:szCs w:val="20"/>
          <w:color w:val="auto"/>
        </w:rPr>
      </w:pPr>
      <w:r>
        <w:rPr>
          <w:rFonts w:ascii="Arial" w:cs="Arial" w:eastAsia="Arial" w:hAnsi="Arial"/>
          <w:sz w:val="16"/>
          <w:szCs w:val="16"/>
          <w:color w:val="auto"/>
        </w:rPr>
        <w:t>It is intended that the Securities will be treated as indebtedness and not as equity for federal income tax purposes. The provisions of this Indenture shall be interpreted to further this intention.</w:t>
      </w:r>
    </w:p>
    <w:p>
      <w:pPr>
        <w:spacing w:after="0" w:line="83" w:lineRule="exact"/>
        <w:rPr>
          <w:sz w:val="20"/>
          <w:szCs w:val="20"/>
          <w:color w:val="auto"/>
        </w:rPr>
      </w:pPr>
    </w:p>
    <w:p>
      <w:pPr>
        <w:ind w:left="665"/>
        <w:spacing w:after="0"/>
        <w:rPr>
          <w:sz w:val="20"/>
          <w:szCs w:val="20"/>
          <w:color w:val="auto"/>
        </w:rPr>
      </w:pPr>
      <w:r>
        <w:rPr>
          <w:rFonts w:ascii="Arial" w:cs="Arial" w:eastAsia="Arial" w:hAnsi="Arial"/>
          <w:sz w:val="16"/>
          <w:szCs w:val="16"/>
          <w:b w:val="1"/>
          <w:bCs w:val="1"/>
          <w:color w:val="auto"/>
        </w:rPr>
        <w:t>Section 13.07 Certificates and Opinions as to Conditions Precedent</w:t>
      </w:r>
      <w:r>
        <w:rPr>
          <w:rFonts w:ascii="Arial" w:cs="Arial" w:eastAsia="Arial" w:hAnsi="Arial"/>
          <w:sz w:val="16"/>
          <w:szCs w:val="16"/>
          <w:color w:val="auto"/>
        </w:rPr>
        <w:t>.</w:t>
      </w:r>
    </w:p>
    <w:p>
      <w:pPr>
        <w:spacing w:after="0" w:line="174" w:lineRule="exact"/>
        <w:rPr>
          <w:sz w:val="20"/>
          <w:szCs w:val="20"/>
          <w:color w:val="auto"/>
        </w:rPr>
      </w:pPr>
    </w:p>
    <w:p>
      <w:pPr>
        <w:jc w:val="both"/>
        <w:ind w:left="5" w:right="20" w:firstLine="1301"/>
        <w:spacing w:after="0" w:line="272" w:lineRule="auto"/>
        <w:tabs>
          <w:tab w:leader="none" w:pos="2708" w:val="left"/>
        </w:tabs>
        <w:numPr>
          <w:ilvl w:val="1"/>
          <w:numId w:val="77"/>
        </w:numPr>
        <w:rPr>
          <w:rFonts w:ascii="Arial" w:cs="Arial" w:eastAsia="Arial" w:hAnsi="Arial"/>
          <w:sz w:val="15"/>
          <w:szCs w:val="15"/>
          <w:b w:val="1"/>
          <w:bCs w:val="1"/>
          <w:color w:val="auto"/>
        </w:rPr>
      </w:pPr>
      <w:r>
        <w:rPr>
          <w:rFonts w:ascii="Arial" w:cs="Arial" w:eastAsia="Arial" w:hAnsi="Arial"/>
          <w:sz w:val="15"/>
          <w:szCs w:val="15"/>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09" w:lineRule="exact"/>
        <w:rPr>
          <w:rFonts w:ascii="Arial" w:cs="Arial" w:eastAsia="Arial" w:hAnsi="Arial"/>
          <w:sz w:val="15"/>
          <w:szCs w:val="15"/>
          <w:b w:val="1"/>
          <w:bCs w:val="1"/>
          <w:color w:val="auto"/>
        </w:rPr>
      </w:pPr>
    </w:p>
    <w:p>
      <w:pPr>
        <w:jc w:val="both"/>
        <w:ind w:left="5" w:firstLine="1301"/>
        <w:spacing w:after="0" w:line="307" w:lineRule="auto"/>
        <w:tabs>
          <w:tab w:leader="none" w:pos="2732" w:val="left"/>
        </w:tabs>
        <w:numPr>
          <w:ilvl w:val="1"/>
          <w:numId w:val="77"/>
        </w:numPr>
        <w:rPr>
          <w:rFonts w:ascii="Arial" w:cs="Arial" w:eastAsia="Arial" w:hAnsi="Arial"/>
          <w:sz w:val="13"/>
          <w:szCs w:val="13"/>
          <w:b w:val="1"/>
          <w:bCs w:val="1"/>
          <w:color w:val="auto"/>
        </w:rPr>
      </w:pPr>
      <w:r>
        <w:rPr>
          <w:rFonts w:ascii="Arial" w:cs="Arial" w:eastAsia="Arial" w:hAnsi="Arial"/>
          <w:sz w:val="13"/>
          <w:szCs w:val="13"/>
          <w:color w:val="auto"/>
        </w:rPr>
        <w:t>Each certificate or opinion provided for in this Indenture and delivered to the Trustee with respect to compliance with a condition or covenant in this Indenture (other than the 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w:t>
      </w:r>
    </w:p>
    <w:p>
      <w:pPr>
        <w:ind w:left="265" w:hanging="265"/>
        <w:spacing w:after="0"/>
        <w:tabs>
          <w:tab w:leader="none" w:pos="265" w:val="left"/>
        </w:tabs>
        <w:numPr>
          <w:ilvl w:val="0"/>
          <w:numId w:val="78"/>
        </w:numPr>
        <w:rPr>
          <w:rFonts w:ascii="Arial" w:cs="Arial" w:eastAsia="Arial" w:hAnsi="Arial"/>
          <w:sz w:val="16"/>
          <w:szCs w:val="16"/>
          <w:color w:val="auto"/>
        </w:rPr>
      </w:pPr>
      <w:r>
        <w:rPr>
          <w:rFonts w:ascii="Arial" w:cs="Arial" w:eastAsia="Arial" w:hAnsi="Arial"/>
          <w:sz w:val="16"/>
          <w:szCs w:val="16"/>
          <w:color w:val="auto"/>
        </w:rPr>
        <w:t>a statement as to whether or not, in the opinion of such Person, such condition or covenant has been complied with.</w:t>
      </w:r>
    </w:p>
    <w:p>
      <w:pPr>
        <w:spacing w:after="0" w:line="108" w:lineRule="exact"/>
        <w:rPr>
          <w:sz w:val="20"/>
          <w:szCs w:val="20"/>
          <w:color w:val="auto"/>
        </w:rPr>
      </w:pPr>
    </w:p>
    <w:p>
      <w:pPr>
        <w:ind w:left="665"/>
        <w:spacing w:after="0"/>
        <w:rPr>
          <w:sz w:val="20"/>
          <w:szCs w:val="20"/>
          <w:color w:val="auto"/>
        </w:rPr>
      </w:pPr>
      <w:r>
        <w:rPr>
          <w:rFonts w:ascii="Arial" w:cs="Arial" w:eastAsia="Arial" w:hAnsi="Arial"/>
          <w:sz w:val="16"/>
          <w:szCs w:val="16"/>
          <w:b w:val="1"/>
          <w:bCs w:val="1"/>
          <w:color w:val="auto"/>
        </w:rPr>
        <w:t>Section 13.08 Payments on Business Days</w:t>
      </w:r>
      <w:r>
        <w:rPr>
          <w:rFonts w:ascii="Arial" w:cs="Arial" w:eastAsia="Arial" w:hAnsi="Arial"/>
          <w:sz w:val="16"/>
          <w:szCs w:val="16"/>
          <w:color w:val="auto"/>
        </w:rPr>
        <w:t>.</w:t>
      </w:r>
    </w:p>
    <w:p>
      <w:pPr>
        <w:spacing w:after="0" w:line="174" w:lineRule="exact"/>
        <w:rPr>
          <w:sz w:val="20"/>
          <w:szCs w:val="20"/>
          <w:color w:val="auto"/>
        </w:rPr>
      </w:pPr>
    </w:p>
    <w:p>
      <w:pPr>
        <w:jc w:val="both"/>
        <w:ind w:left="5" w:right="20" w:firstLine="648"/>
        <w:spacing w:after="0" w:line="253" w:lineRule="auto"/>
        <w:rPr>
          <w:sz w:val="20"/>
          <w:szCs w:val="20"/>
          <w:color w:val="auto"/>
        </w:rPr>
      </w:pPr>
      <w:r>
        <w:rPr>
          <w:rFonts w:ascii="Arial" w:cs="Arial" w:eastAsia="Arial" w:hAnsi="Arial"/>
          <w:sz w:val="16"/>
          <w:szCs w:val="16"/>
          <w:color w:val="auto"/>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87"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446405</wp:posOffset>
            </wp:positionV>
            <wp:extent cx="7164705"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2">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11430</wp:posOffset>
            </wp:positionV>
            <wp:extent cx="561149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5"/>
          </w:cols>
          <w:pgMar w:left="315" w:top="324" w:right="319" w:bottom="1440" w:gutter="0" w:footer="0" w:header="0"/>
        </w:sectPr>
      </w:pPr>
    </w:p>
    <w:bookmarkStart w:id="83" w:name="page84"/>
    <w:bookmarkEnd w:id="83"/>
    <w:p>
      <w:pPr>
        <w:ind w:left="660"/>
        <w:spacing w:after="0"/>
        <w:rPr>
          <w:sz w:val="20"/>
          <w:szCs w:val="20"/>
          <w:color w:val="auto"/>
        </w:rPr>
      </w:pPr>
      <w:r>
        <w:rPr>
          <w:rFonts w:ascii="Arial" w:cs="Arial" w:eastAsia="Arial" w:hAnsi="Arial"/>
          <w:sz w:val="16"/>
          <w:szCs w:val="16"/>
          <w:b w:val="1"/>
          <w:bCs w:val="1"/>
          <w:color w:val="auto"/>
        </w:rPr>
        <w:t>Section 13.09 Conflict with Trust Indenture Act</w:t>
      </w:r>
      <w:r>
        <w:rPr>
          <w:rFonts w:ascii="Arial" w:cs="Arial" w:eastAsia="Arial" w:hAnsi="Arial"/>
          <w:sz w:val="16"/>
          <w:szCs w:val="16"/>
          <w:color w:val="auto"/>
        </w:rPr>
        <w:t>.</w:t>
      </w:r>
    </w:p>
    <w:p>
      <w:pPr>
        <w:spacing w:after="0" w:line="174" w:lineRule="exact"/>
        <w:rPr>
          <w:sz w:val="20"/>
          <w:szCs w:val="20"/>
          <w:color w:val="auto"/>
        </w:rPr>
      </w:pPr>
    </w:p>
    <w:p>
      <w:pPr>
        <w:ind w:right="40" w:firstLine="647"/>
        <w:spacing w:after="0" w:line="267" w:lineRule="auto"/>
        <w:rPr>
          <w:sz w:val="20"/>
          <w:szCs w:val="20"/>
          <w:color w:val="auto"/>
        </w:rPr>
      </w:pPr>
      <w:r>
        <w:rPr>
          <w:rFonts w:ascii="Arial" w:cs="Arial" w:eastAsia="Arial" w:hAnsi="Arial"/>
          <w:sz w:val="16"/>
          <w:szCs w:val="16"/>
          <w:color w:val="auto"/>
        </w:rPr>
        <w:t>If and to the extent that any provision of this Indenture limits, qualifies or conflicts with the duties imposed by Section 318(c) of the Trust Indenture Act, such imposed duties shall control.</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13.10 Counterparts</w:t>
      </w:r>
      <w:r>
        <w:rPr>
          <w:rFonts w:ascii="Arial" w:cs="Arial" w:eastAsia="Arial" w:hAnsi="Arial"/>
          <w:sz w:val="16"/>
          <w:szCs w:val="16"/>
          <w:color w:val="auto"/>
        </w:rPr>
        <w:t>.</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13.11 Separability</w:t>
      </w:r>
      <w:r>
        <w:rPr>
          <w:rFonts w:ascii="Arial" w:cs="Arial" w:eastAsia="Arial" w:hAnsi="Arial"/>
          <w:sz w:val="16"/>
          <w:szCs w:val="16"/>
          <w:color w:val="auto"/>
        </w:rPr>
        <w:t>.</w:t>
      </w:r>
    </w:p>
    <w:p>
      <w:pPr>
        <w:spacing w:after="0" w:line="174"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6"/>
          <w:szCs w:val="16"/>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13.12 Compliance Certificates</w:t>
      </w:r>
      <w:r>
        <w:rPr>
          <w:rFonts w:ascii="Arial" w:cs="Arial" w:eastAsia="Arial" w:hAnsi="Arial"/>
          <w:sz w:val="16"/>
          <w:szCs w:val="16"/>
          <w:color w:val="auto"/>
        </w:rPr>
        <w:t>.</w:t>
      </w:r>
    </w:p>
    <w:p>
      <w:pPr>
        <w:spacing w:after="0" w:line="1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13.13 U.S.A Patriot Act</w:t>
      </w:r>
      <w:r>
        <w:rPr>
          <w:rFonts w:ascii="Arial" w:cs="Arial" w:eastAsia="Arial" w:hAnsi="Arial"/>
          <w:sz w:val="16"/>
          <w:szCs w:val="16"/>
          <w:color w:val="auto"/>
        </w:rPr>
        <w:t>.</w:t>
      </w:r>
    </w:p>
    <w:p>
      <w:pPr>
        <w:spacing w:after="0" w:line="174"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13.14 Force Majeure</w:t>
      </w:r>
      <w:r>
        <w:rPr>
          <w:rFonts w:ascii="Arial" w:cs="Arial" w:eastAsia="Arial" w:hAnsi="Arial"/>
          <w:sz w:val="16"/>
          <w:szCs w:val="16"/>
          <w:color w:val="auto"/>
        </w:rPr>
        <w:t>.</w:t>
      </w:r>
    </w:p>
    <w:p>
      <w:pPr>
        <w:spacing w:after="0" w:line="174"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3"/>
          <w:szCs w:val="13"/>
          <w:color w:val="auto"/>
        </w:rPr>
        <w:t>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13.15 Table of Contents; Headings.</w:t>
      </w:r>
    </w:p>
    <w:p>
      <w:pPr>
        <w:spacing w:after="0" w:line="174"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16"/>
          <w:szCs w:val="16"/>
          <w:color w:val="auto"/>
        </w:rPr>
        <w:t>The table of contents and headings of the articles and sections of this Indenture have been inserted for convenience of reference only, are not intended to be considered a part hereof, and will not modify or restrict any of the terms or provisions hereof.</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64705"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561149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5611495" cy="7620"/>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84" w:name="page85"/>
    <w:bookmarkEnd w:id="84"/>
    <w:p>
      <w:pPr>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parties hereto have caused this Indenture to be duly executed all as of the day and year first above written.</w:t>
      </w:r>
    </w:p>
    <w:p>
      <w:pPr>
        <w:spacing w:after="0" w:line="237" w:lineRule="exact"/>
        <w:rPr>
          <w:sz w:val="20"/>
          <w:szCs w:val="20"/>
          <w:color w:val="auto"/>
        </w:rPr>
      </w:pPr>
    </w:p>
    <w:p>
      <w:pPr>
        <w:ind w:left="5880"/>
        <w:spacing w:after="0"/>
        <w:rPr>
          <w:sz w:val="20"/>
          <w:szCs w:val="20"/>
          <w:color w:val="auto"/>
        </w:rPr>
      </w:pPr>
      <w:r>
        <w:rPr>
          <w:rFonts w:ascii="Arial" w:cs="Arial" w:eastAsia="Arial" w:hAnsi="Arial"/>
          <w:sz w:val="14"/>
          <w:szCs w:val="14"/>
          <w:color w:val="auto"/>
        </w:rPr>
        <w:t>Destination XL Group, Inc.</w:t>
      </w:r>
    </w:p>
    <w:p>
      <w:pPr>
        <w:spacing w:after="0" w:line="182" w:lineRule="exact"/>
        <w:rPr>
          <w:sz w:val="20"/>
          <w:szCs w:val="20"/>
          <w:color w:val="auto"/>
        </w:rPr>
      </w:pPr>
    </w:p>
    <w:p>
      <w:pPr>
        <w:ind w:left="5880"/>
        <w:spacing w:after="0"/>
        <w:rPr>
          <w:sz w:val="20"/>
          <w:szCs w:val="20"/>
          <w:color w:val="auto"/>
        </w:rPr>
      </w:pPr>
      <w:r>
        <w:rPr>
          <w:rFonts w:ascii="Arial" w:cs="Arial" w:eastAsia="Arial" w:hAnsi="Arial"/>
          <w:sz w:val="14"/>
          <w:szCs w:val="14"/>
          <w:color w:val="auto"/>
        </w:rPr>
        <w:t>By:</w:t>
      </w:r>
    </w:p>
    <w:p>
      <w:pPr>
        <w:spacing w:after="0" w:line="28" w:lineRule="exact"/>
        <w:rPr>
          <w:sz w:val="20"/>
          <w:szCs w:val="20"/>
          <w:color w:val="auto"/>
        </w:rPr>
      </w:pPr>
    </w:p>
    <w:p>
      <w:pPr>
        <w:ind w:left="588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252095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2520950" cy="7620"/>
                    </a:xfrm>
                    <a:prstGeom prst="rect">
                      <a:avLst/>
                    </a:prstGeom>
                    <a:noFill/>
                  </pic:spPr>
                </pic:pic>
              </a:graphicData>
            </a:graphic>
          </wp:anchor>
        </w:drawing>
      </w:r>
    </w:p>
    <w:p>
      <w:pPr>
        <w:spacing w:after="0" w:line="8" w:lineRule="exact"/>
        <w:rPr>
          <w:sz w:val="20"/>
          <w:szCs w:val="20"/>
          <w:color w:val="auto"/>
        </w:rPr>
      </w:pPr>
    </w:p>
    <w:p>
      <w:pPr>
        <w:ind w:left="588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504126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5041265" cy="7620"/>
                    </a:xfrm>
                    <a:prstGeom prst="rect">
                      <a:avLst/>
                    </a:prstGeom>
                    <a:noFill/>
                  </pic:spPr>
                </pic:pic>
              </a:graphicData>
            </a:graphic>
          </wp:anchor>
        </w:drawing>
      </w:r>
    </w:p>
    <w:p>
      <w:pPr>
        <w:spacing w:after="0" w:line="197" w:lineRule="exact"/>
        <w:rPr>
          <w:sz w:val="20"/>
          <w:szCs w:val="20"/>
          <w:color w:val="auto"/>
        </w:rPr>
      </w:pPr>
    </w:p>
    <w:p>
      <w:pPr>
        <w:ind w:left="5880"/>
        <w:spacing w:after="0"/>
        <w:rPr>
          <w:sz w:val="20"/>
          <w:szCs w:val="20"/>
          <w:color w:val="auto"/>
        </w:rPr>
      </w:pPr>
      <w:r>
        <w:rPr>
          <w:rFonts w:ascii="Arial" w:cs="Arial" w:eastAsia="Arial" w:hAnsi="Arial"/>
          <w:sz w:val="14"/>
          <w:szCs w:val="14"/>
          <w:color w:val="auto"/>
        </w:rPr>
        <w:t>[TRUSTEE], as Trustee</w:t>
      </w:r>
    </w:p>
    <w:p>
      <w:pPr>
        <w:spacing w:after="0" w:line="182" w:lineRule="exact"/>
        <w:rPr>
          <w:sz w:val="20"/>
          <w:szCs w:val="20"/>
          <w:color w:val="auto"/>
        </w:rPr>
      </w:pPr>
    </w:p>
    <w:p>
      <w:pPr>
        <w:ind w:left="5880"/>
        <w:spacing w:after="0"/>
        <w:rPr>
          <w:sz w:val="20"/>
          <w:szCs w:val="20"/>
          <w:color w:val="auto"/>
        </w:rPr>
      </w:pPr>
      <w:r>
        <w:rPr>
          <w:rFonts w:ascii="Arial" w:cs="Arial" w:eastAsia="Arial" w:hAnsi="Arial"/>
          <w:sz w:val="14"/>
          <w:szCs w:val="14"/>
          <w:color w:val="auto"/>
        </w:rPr>
        <w:t>By:</w:t>
      </w:r>
    </w:p>
    <w:p>
      <w:pPr>
        <w:spacing w:after="0" w:line="28" w:lineRule="exact"/>
        <w:rPr>
          <w:sz w:val="20"/>
          <w:szCs w:val="20"/>
          <w:color w:val="auto"/>
        </w:rPr>
      </w:pPr>
    </w:p>
    <w:p>
      <w:pPr>
        <w:ind w:left="588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252095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8">
                      <a:extLst>
                        <a:ext uri="{28A0092B-C50C-407E-A947-70E740481C1C}"/>
                      </a:extLst>
                    </a:blip>
                    <a:srcRect/>
                    <a:stretch>
                      <a:fillRect/>
                    </a:stretch>
                  </pic:blipFill>
                  <pic:spPr bwMode="auto">
                    <a:xfrm>
                      <a:off x="0" y="0"/>
                      <a:ext cx="2520950" cy="7620"/>
                    </a:xfrm>
                    <a:prstGeom prst="rect">
                      <a:avLst/>
                    </a:prstGeom>
                    <a:noFill/>
                  </pic:spPr>
                </pic:pic>
              </a:graphicData>
            </a:graphic>
          </wp:anchor>
        </w:drawing>
      </w:r>
    </w:p>
    <w:p>
      <w:pPr>
        <w:spacing w:after="0" w:line="8" w:lineRule="exact"/>
        <w:rPr>
          <w:sz w:val="20"/>
          <w:szCs w:val="20"/>
          <w:color w:val="auto"/>
        </w:rPr>
      </w:pPr>
    </w:p>
    <w:p>
      <w:pPr>
        <w:ind w:left="588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578485</wp:posOffset>
            </wp:positionV>
            <wp:extent cx="7164705"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9">
                      <a:extLst>
                        <a:ext uri="{28A0092B-C50C-407E-A947-70E740481C1C}"/>
                      </a:extLst>
                    </a:blip>
                    <a:srcRect/>
                    <a:stretch>
                      <a:fillRect/>
                    </a:stretch>
                  </pic:blipFill>
                  <pic:spPr bwMode="auto">
                    <a:xfrm>
                      <a:off x="0" y="0"/>
                      <a:ext cx="716470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504126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0">
                      <a:extLst>
                        <a:ext uri="{28A0092B-C50C-407E-A947-70E740481C1C}"/>
                      </a:extLst>
                    </a:blip>
                    <a:srcRect/>
                    <a:stretch>
                      <a:fillRect/>
                    </a:stretch>
                  </pic:blipFill>
                  <pic:spPr bwMode="auto">
                    <a:xfrm>
                      <a:off x="0" y="0"/>
                      <a:ext cx="5041265" cy="7620"/>
                    </a:xfrm>
                    <a:prstGeom prst="rect">
                      <a:avLst/>
                    </a:prstGeom>
                    <a:noFill/>
                  </pic:spPr>
                </pic:pic>
              </a:graphicData>
            </a:graphic>
          </wp:anchor>
        </w:drawing>
      </w:r>
    </w:p>
    <w:p>
      <w:pPr>
        <w:sectPr>
          <w:pgSz w:w="11900" w:h="16838" w:orient="portrait"/>
          <w:cols w:equalWidth="0" w:num="1">
            <w:col w:w="10139"/>
          </w:cols>
          <w:pgMar w:left="320" w:top="324" w:right="1440"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88"/>
        </w:trPr>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CROSS-REFERENCE TABLE (1)</w:t>
            </w:r>
          </w:p>
        </w:tc>
        <w:tc>
          <w:tcPr>
            <w:tcW w:w="4340" w:type="dxa"/>
            <w:vAlign w:val="bottom"/>
          </w:tcPr>
          <w:p>
            <w:pPr>
              <w:spacing w:after="0"/>
              <w:rPr>
                <w:sz w:val="16"/>
                <w:szCs w:val="16"/>
                <w:color w:val="auto"/>
              </w:rPr>
            </w:pPr>
          </w:p>
        </w:tc>
      </w:tr>
      <w:tr>
        <w:trPr>
          <w:trHeight w:val="348"/>
        </w:trPr>
        <w:tc>
          <w:tcPr>
            <w:tcW w:w="4500" w:type="dxa"/>
            <w:vAlign w:val="bottom"/>
            <w:gridSpan w:val="2"/>
          </w:tcPr>
          <w:p>
            <w:pPr>
              <w:ind w:left="600"/>
              <w:spacing w:after="0"/>
              <w:rPr>
                <w:sz w:val="20"/>
                <w:szCs w:val="20"/>
                <w:color w:val="auto"/>
              </w:rPr>
            </w:pPr>
            <w:r>
              <w:rPr>
                <w:rFonts w:ascii="Arial" w:cs="Arial" w:eastAsia="Arial" w:hAnsi="Arial"/>
                <w:sz w:val="14"/>
                <w:szCs w:val="14"/>
                <w:b w:val="1"/>
                <w:bCs w:val="1"/>
                <w:color w:val="auto"/>
              </w:rPr>
              <w:t>Section of Trust Indenture Act of 1939, as Amended</w:t>
            </w:r>
          </w:p>
        </w:tc>
        <w:tc>
          <w:tcPr>
            <w:tcW w:w="4340" w:type="dxa"/>
            <w:vAlign w:val="bottom"/>
          </w:tcPr>
          <w:p>
            <w:pPr>
              <w:ind w:left="1560"/>
              <w:spacing w:after="0"/>
              <w:rPr>
                <w:sz w:val="20"/>
                <w:szCs w:val="20"/>
                <w:color w:val="auto"/>
              </w:rPr>
            </w:pPr>
            <w:r>
              <w:rPr>
                <w:rFonts w:ascii="Arial" w:cs="Arial" w:eastAsia="Arial" w:hAnsi="Arial"/>
                <w:sz w:val="14"/>
                <w:szCs w:val="14"/>
                <w:b w:val="1"/>
                <w:bCs w:val="1"/>
                <w:color w:val="auto"/>
              </w:rPr>
              <w:t>Section of Indenture</w:t>
            </w:r>
          </w:p>
        </w:tc>
      </w:tr>
      <w:tr>
        <w:trPr>
          <w:trHeight w:val="147"/>
        </w:trPr>
        <w:tc>
          <w:tcPr>
            <w:tcW w:w="434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310(a)</w:t>
            </w:r>
          </w:p>
        </w:tc>
        <w:tc>
          <w:tcPr>
            <w:tcW w:w="160" w:type="dxa"/>
            <w:vAlign w:val="bottom"/>
          </w:tcPr>
          <w:p>
            <w:pPr>
              <w:spacing w:after="0"/>
              <w:rPr>
                <w:sz w:val="12"/>
                <w:szCs w:val="12"/>
                <w:color w:val="auto"/>
              </w:rPr>
            </w:pPr>
          </w:p>
        </w:tc>
        <w:tc>
          <w:tcPr>
            <w:tcW w:w="434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7.09</w:t>
            </w:r>
          </w:p>
        </w:tc>
      </w:tr>
      <w:tr>
        <w:trPr>
          <w:trHeight w:val="170"/>
        </w:trPr>
        <w:tc>
          <w:tcPr>
            <w:tcW w:w="4500" w:type="dxa"/>
            <w:vAlign w:val="bottom"/>
            <w:gridSpan w:val="2"/>
          </w:tcPr>
          <w:p>
            <w:pPr>
              <w:spacing w:after="0"/>
              <w:rPr>
                <w:sz w:val="20"/>
                <w:szCs w:val="20"/>
                <w:color w:val="auto"/>
              </w:rPr>
            </w:pPr>
            <w:r>
              <w:rPr>
                <w:rFonts w:ascii="Arial" w:cs="Arial" w:eastAsia="Arial" w:hAnsi="Arial"/>
                <w:sz w:val="14"/>
                <w:szCs w:val="14"/>
                <w:color w:val="auto"/>
              </w:rPr>
              <w:t>310(b)</w:t>
            </w:r>
          </w:p>
        </w:tc>
        <w:tc>
          <w:tcPr>
            <w:tcW w:w="4340" w:type="dxa"/>
            <w:vAlign w:val="bottom"/>
          </w:tcPr>
          <w:p>
            <w:pPr>
              <w:ind w:left="20"/>
              <w:spacing w:after="0"/>
              <w:rPr>
                <w:sz w:val="20"/>
                <w:szCs w:val="20"/>
                <w:color w:val="auto"/>
              </w:rPr>
            </w:pPr>
            <w:r>
              <w:rPr>
                <w:rFonts w:ascii="Arial" w:cs="Arial" w:eastAsia="Arial" w:hAnsi="Arial"/>
                <w:sz w:val="14"/>
                <w:szCs w:val="14"/>
                <w:color w:val="auto"/>
              </w:rPr>
              <w:t>7.08</w:t>
            </w:r>
          </w:p>
        </w:tc>
      </w:tr>
      <w:tr>
        <w:trPr>
          <w:trHeight w:val="172"/>
        </w:trPr>
        <w:tc>
          <w:tcPr>
            <w:tcW w:w="4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40" w:type="dxa"/>
            <w:vAlign w:val="bottom"/>
          </w:tcPr>
          <w:p>
            <w:pPr>
              <w:ind w:left="20"/>
              <w:spacing w:after="0"/>
              <w:rPr>
                <w:sz w:val="20"/>
                <w:szCs w:val="20"/>
                <w:color w:val="auto"/>
              </w:rPr>
            </w:pPr>
            <w:r>
              <w:rPr>
                <w:rFonts w:ascii="Arial" w:cs="Arial" w:eastAsia="Arial" w:hAnsi="Arial"/>
                <w:sz w:val="14"/>
                <w:szCs w:val="14"/>
                <w:color w:val="auto"/>
              </w:rPr>
              <w:t>7.10</w:t>
            </w:r>
          </w:p>
        </w:tc>
      </w:tr>
      <w:tr>
        <w:trPr>
          <w:trHeight w:val="165"/>
        </w:trPr>
        <w:tc>
          <w:tcPr>
            <w:tcW w:w="4500" w:type="dxa"/>
            <w:vAlign w:val="bottom"/>
            <w:gridSpan w:val="2"/>
          </w:tcPr>
          <w:p>
            <w:pPr>
              <w:spacing w:after="0"/>
              <w:rPr>
                <w:sz w:val="20"/>
                <w:szCs w:val="20"/>
                <w:color w:val="auto"/>
              </w:rPr>
            </w:pPr>
            <w:r>
              <w:rPr>
                <w:rFonts w:ascii="Arial" w:cs="Arial" w:eastAsia="Arial" w:hAnsi="Arial"/>
                <w:sz w:val="14"/>
                <w:szCs w:val="14"/>
                <w:color w:val="auto"/>
              </w:rPr>
              <w:t>310(c)</w:t>
            </w:r>
          </w:p>
        </w:tc>
        <w:tc>
          <w:tcPr>
            <w:tcW w:w="4340" w:type="dxa"/>
            <w:vAlign w:val="bottom"/>
          </w:tcPr>
          <w:p>
            <w:pPr>
              <w:ind w:left="20"/>
              <w:spacing w:after="0"/>
              <w:rPr>
                <w:sz w:val="20"/>
                <w:szCs w:val="20"/>
                <w:color w:val="auto"/>
              </w:rPr>
            </w:pPr>
            <w:r>
              <w:rPr>
                <w:rFonts w:ascii="Arial" w:cs="Arial" w:eastAsia="Arial" w:hAnsi="Arial"/>
                <w:sz w:val="14"/>
                <w:szCs w:val="14"/>
                <w:color w:val="auto"/>
              </w:rPr>
              <w:t>Inapplicable</w:t>
            </w:r>
          </w:p>
        </w:tc>
      </w:tr>
      <w:tr>
        <w:trPr>
          <w:trHeight w:val="165"/>
        </w:trPr>
        <w:tc>
          <w:tcPr>
            <w:tcW w:w="4500" w:type="dxa"/>
            <w:vAlign w:val="bottom"/>
            <w:gridSpan w:val="2"/>
          </w:tcPr>
          <w:p>
            <w:pPr>
              <w:spacing w:after="0"/>
              <w:rPr>
                <w:sz w:val="20"/>
                <w:szCs w:val="20"/>
                <w:color w:val="auto"/>
              </w:rPr>
            </w:pPr>
            <w:r>
              <w:rPr>
                <w:rFonts w:ascii="Arial" w:cs="Arial" w:eastAsia="Arial" w:hAnsi="Arial"/>
                <w:sz w:val="14"/>
                <w:szCs w:val="14"/>
                <w:color w:val="auto"/>
              </w:rPr>
              <w:t>311(a)</w:t>
            </w:r>
          </w:p>
        </w:tc>
        <w:tc>
          <w:tcPr>
            <w:tcW w:w="4340" w:type="dxa"/>
            <w:vAlign w:val="bottom"/>
          </w:tcPr>
          <w:p>
            <w:pPr>
              <w:ind w:left="20"/>
              <w:spacing w:after="0"/>
              <w:rPr>
                <w:sz w:val="20"/>
                <w:szCs w:val="20"/>
                <w:color w:val="auto"/>
              </w:rPr>
            </w:pPr>
            <w:r>
              <w:rPr>
                <w:rFonts w:ascii="Arial" w:cs="Arial" w:eastAsia="Arial" w:hAnsi="Arial"/>
                <w:sz w:val="14"/>
                <w:szCs w:val="14"/>
                <w:color w:val="auto"/>
              </w:rPr>
              <w:t>7.13</w:t>
            </w:r>
          </w:p>
        </w:tc>
      </w:tr>
      <w:tr>
        <w:trPr>
          <w:trHeight w:val="165"/>
        </w:trPr>
        <w:tc>
          <w:tcPr>
            <w:tcW w:w="4500" w:type="dxa"/>
            <w:vAlign w:val="bottom"/>
            <w:gridSpan w:val="2"/>
          </w:tcPr>
          <w:p>
            <w:pPr>
              <w:spacing w:after="0"/>
              <w:rPr>
                <w:sz w:val="20"/>
                <w:szCs w:val="20"/>
                <w:color w:val="auto"/>
              </w:rPr>
            </w:pPr>
            <w:r>
              <w:rPr>
                <w:rFonts w:ascii="Arial" w:cs="Arial" w:eastAsia="Arial" w:hAnsi="Arial"/>
                <w:sz w:val="14"/>
                <w:szCs w:val="14"/>
                <w:color w:val="auto"/>
              </w:rPr>
              <w:t>311(b)</w:t>
            </w:r>
          </w:p>
        </w:tc>
        <w:tc>
          <w:tcPr>
            <w:tcW w:w="4340" w:type="dxa"/>
            <w:vAlign w:val="bottom"/>
          </w:tcPr>
          <w:p>
            <w:pPr>
              <w:ind w:left="20"/>
              <w:spacing w:after="0"/>
              <w:rPr>
                <w:sz w:val="20"/>
                <w:szCs w:val="20"/>
                <w:color w:val="auto"/>
              </w:rPr>
            </w:pPr>
            <w:r>
              <w:rPr>
                <w:rFonts w:ascii="Arial" w:cs="Arial" w:eastAsia="Arial" w:hAnsi="Arial"/>
                <w:sz w:val="14"/>
                <w:szCs w:val="14"/>
                <w:color w:val="auto"/>
              </w:rPr>
              <w:t>7.13</w:t>
            </w:r>
          </w:p>
        </w:tc>
      </w:tr>
      <w:tr>
        <w:trPr>
          <w:trHeight w:val="165"/>
        </w:trPr>
        <w:tc>
          <w:tcPr>
            <w:tcW w:w="4500" w:type="dxa"/>
            <w:vAlign w:val="bottom"/>
            <w:gridSpan w:val="2"/>
          </w:tcPr>
          <w:p>
            <w:pPr>
              <w:spacing w:after="0"/>
              <w:rPr>
                <w:sz w:val="20"/>
                <w:szCs w:val="20"/>
                <w:color w:val="auto"/>
              </w:rPr>
            </w:pPr>
            <w:r>
              <w:rPr>
                <w:rFonts w:ascii="Arial" w:cs="Arial" w:eastAsia="Arial" w:hAnsi="Arial"/>
                <w:sz w:val="14"/>
                <w:szCs w:val="14"/>
                <w:color w:val="auto"/>
              </w:rPr>
              <w:t>311(c)</w:t>
            </w:r>
          </w:p>
        </w:tc>
        <w:tc>
          <w:tcPr>
            <w:tcW w:w="4340" w:type="dxa"/>
            <w:vAlign w:val="bottom"/>
          </w:tcPr>
          <w:p>
            <w:pPr>
              <w:ind w:left="20"/>
              <w:spacing w:after="0"/>
              <w:rPr>
                <w:sz w:val="20"/>
                <w:szCs w:val="20"/>
                <w:color w:val="auto"/>
              </w:rPr>
            </w:pPr>
            <w:r>
              <w:rPr>
                <w:rFonts w:ascii="Arial" w:cs="Arial" w:eastAsia="Arial" w:hAnsi="Arial"/>
                <w:sz w:val="14"/>
                <w:szCs w:val="14"/>
                <w:color w:val="auto"/>
              </w:rPr>
              <w:t>Inapplicable</w:t>
            </w:r>
          </w:p>
        </w:tc>
      </w:tr>
      <w:tr>
        <w:trPr>
          <w:trHeight w:val="170"/>
        </w:trPr>
        <w:tc>
          <w:tcPr>
            <w:tcW w:w="4500" w:type="dxa"/>
            <w:vAlign w:val="bottom"/>
            <w:gridSpan w:val="2"/>
          </w:tcPr>
          <w:p>
            <w:pPr>
              <w:spacing w:after="0"/>
              <w:rPr>
                <w:sz w:val="20"/>
                <w:szCs w:val="20"/>
                <w:color w:val="auto"/>
              </w:rPr>
            </w:pPr>
            <w:r>
              <w:rPr>
                <w:rFonts w:ascii="Arial" w:cs="Arial" w:eastAsia="Arial" w:hAnsi="Arial"/>
                <w:sz w:val="14"/>
                <w:szCs w:val="14"/>
                <w:color w:val="auto"/>
              </w:rPr>
              <w:t>312(a)</w:t>
            </w:r>
          </w:p>
        </w:tc>
        <w:tc>
          <w:tcPr>
            <w:tcW w:w="4340" w:type="dxa"/>
            <w:vAlign w:val="bottom"/>
          </w:tcPr>
          <w:p>
            <w:pPr>
              <w:ind w:left="20"/>
              <w:spacing w:after="0"/>
              <w:rPr>
                <w:sz w:val="20"/>
                <w:szCs w:val="20"/>
                <w:color w:val="auto"/>
              </w:rPr>
            </w:pPr>
            <w:r>
              <w:rPr>
                <w:rFonts w:ascii="Arial" w:cs="Arial" w:eastAsia="Arial" w:hAnsi="Arial"/>
                <w:sz w:val="14"/>
                <w:szCs w:val="14"/>
                <w:color w:val="auto"/>
              </w:rPr>
              <w:t>5.01</w:t>
            </w:r>
          </w:p>
        </w:tc>
      </w:tr>
      <w:tr>
        <w:trPr>
          <w:trHeight w:val="172"/>
        </w:trPr>
        <w:tc>
          <w:tcPr>
            <w:tcW w:w="4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40" w:type="dxa"/>
            <w:vAlign w:val="bottom"/>
          </w:tcPr>
          <w:p>
            <w:pPr>
              <w:ind w:left="20"/>
              <w:spacing w:after="0"/>
              <w:rPr>
                <w:sz w:val="20"/>
                <w:szCs w:val="20"/>
                <w:color w:val="auto"/>
              </w:rPr>
            </w:pPr>
            <w:r>
              <w:rPr>
                <w:rFonts w:ascii="Arial" w:cs="Arial" w:eastAsia="Arial" w:hAnsi="Arial"/>
                <w:sz w:val="14"/>
                <w:szCs w:val="14"/>
                <w:color w:val="auto"/>
              </w:rPr>
              <w:t>5.02(a)</w:t>
            </w:r>
          </w:p>
        </w:tc>
      </w:tr>
      <w:tr>
        <w:trPr>
          <w:trHeight w:val="165"/>
        </w:trPr>
        <w:tc>
          <w:tcPr>
            <w:tcW w:w="4500" w:type="dxa"/>
            <w:vAlign w:val="bottom"/>
            <w:gridSpan w:val="2"/>
          </w:tcPr>
          <w:p>
            <w:pPr>
              <w:spacing w:after="0"/>
              <w:rPr>
                <w:sz w:val="20"/>
                <w:szCs w:val="20"/>
                <w:color w:val="auto"/>
              </w:rPr>
            </w:pPr>
            <w:r>
              <w:rPr>
                <w:rFonts w:ascii="Arial" w:cs="Arial" w:eastAsia="Arial" w:hAnsi="Arial"/>
                <w:sz w:val="14"/>
                <w:szCs w:val="14"/>
                <w:color w:val="auto"/>
              </w:rPr>
              <w:t>312(b)</w:t>
            </w:r>
          </w:p>
        </w:tc>
        <w:tc>
          <w:tcPr>
            <w:tcW w:w="4340" w:type="dxa"/>
            <w:vAlign w:val="bottom"/>
          </w:tcPr>
          <w:p>
            <w:pPr>
              <w:ind w:left="20"/>
              <w:spacing w:after="0"/>
              <w:rPr>
                <w:sz w:val="20"/>
                <w:szCs w:val="20"/>
                <w:color w:val="auto"/>
              </w:rPr>
            </w:pPr>
            <w:r>
              <w:rPr>
                <w:rFonts w:ascii="Arial" w:cs="Arial" w:eastAsia="Arial" w:hAnsi="Arial"/>
                <w:sz w:val="14"/>
                <w:szCs w:val="14"/>
                <w:color w:val="auto"/>
              </w:rPr>
              <w:t>5.02(c)</w:t>
            </w:r>
          </w:p>
        </w:tc>
      </w:tr>
      <w:tr>
        <w:trPr>
          <w:trHeight w:val="165"/>
        </w:trPr>
        <w:tc>
          <w:tcPr>
            <w:tcW w:w="4500" w:type="dxa"/>
            <w:vAlign w:val="bottom"/>
            <w:gridSpan w:val="2"/>
          </w:tcPr>
          <w:p>
            <w:pPr>
              <w:spacing w:after="0"/>
              <w:rPr>
                <w:sz w:val="20"/>
                <w:szCs w:val="20"/>
                <w:color w:val="auto"/>
              </w:rPr>
            </w:pPr>
            <w:r>
              <w:rPr>
                <w:rFonts w:ascii="Arial" w:cs="Arial" w:eastAsia="Arial" w:hAnsi="Arial"/>
                <w:sz w:val="14"/>
                <w:szCs w:val="14"/>
                <w:color w:val="auto"/>
              </w:rPr>
              <w:t>312(c)</w:t>
            </w:r>
          </w:p>
        </w:tc>
        <w:tc>
          <w:tcPr>
            <w:tcW w:w="4340" w:type="dxa"/>
            <w:vAlign w:val="bottom"/>
          </w:tcPr>
          <w:p>
            <w:pPr>
              <w:ind w:left="20"/>
              <w:spacing w:after="0"/>
              <w:rPr>
                <w:sz w:val="20"/>
                <w:szCs w:val="20"/>
                <w:color w:val="auto"/>
              </w:rPr>
            </w:pPr>
            <w:r>
              <w:rPr>
                <w:rFonts w:ascii="Arial" w:cs="Arial" w:eastAsia="Arial" w:hAnsi="Arial"/>
                <w:sz w:val="14"/>
                <w:szCs w:val="14"/>
                <w:color w:val="auto"/>
              </w:rPr>
              <w:t>5.02(c)</w:t>
            </w:r>
          </w:p>
        </w:tc>
      </w:tr>
      <w:tr>
        <w:trPr>
          <w:trHeight w:val="165"/>
        </w:trPr>
        <w:tc>
          <w:tcPr>
            <w:tcW w:w="4500" w:type="dxa"/>
            <w:vAlign w:val="bottom"/>
            <w:gridSpan w:val="2"/>
          </w:tcPr>
          <w:p>
            <w:pPr>
              <w:spacing w:after="0"/>
              <w:rPr>
                <w:sz w:val="20"/>
                <w:szCs w:val="20"/>
                <w:color w:val="auto"/>
              </w:rPr>
            </w:pPr>
            <w:r>
              <w:rPr>
                <w:rFonts w:ascii="Arial" w:cs="Arial" w:eastAsia="Arial" w:hAnsi="Arial"/>
                <w:sz w:val="14"/>
                <w:szCs w:val="14"/>
                <w:color w:val="auto"/>
              </w:rPr>
              <w:t>313(a)</w:t>
            </w:r>
          </w:p>
        </w:tc>
        <w:tc>
          <w:tcPr>
            <w:tcW w:w="4340" w:type="dxa"/>
            <w:vAlign w:val="bottom"/>
          </w:tcPr>
          <w:p>
            <w:pPr>
              <w:ind w:left="20"/>
              <w:spacing w:after="0"/>
              <w:rPr>
                <w:sz w:val="20"/>
                <w:szCs w:val="20"/>
                <w:color w:val="auto"/>
              </w:rPr>
            </w:pPr>
            <w:r>
              <w:rPr>
                <w:rFonts w:ascii="Arial" w:cs="Arial" w:eastAsia="Arial" w:hAnsi="Arial"/>
                <w:sz w:val="14"/>
                <w:szCs w:val="14"/>
                <w:color w:val="auto"/>
              </w:rPr>
              <w:t>5.04(a)</w:t>
            </w:r>
          </w:p>
        </w:tc>
      </w:tr>
      <w:tr>
        <w:trPr>
          <w:trHeight w:val="165"/>
        </w:trPr>
        <w:tc>
          <w:tcPr>
            <w:tcW w:w="4500" w:type="dxa"/>
            <w:vAlign w:val="bottom"/>
            <w:gridSpan w:val="2"/>
          </w:tcPr>
          <w:p>
            <w:pPr>
              <w:spacing w:after="0"/>
              <w:rPr>
                <w:sz w:val="20"/>
                <w:szCs w:val="20"/>
                <w:color w:val="auto"/>
              </w:rPr>
            </w:pPr>
            <w:r>
              <w:rPr>
                <w:rFonts w:ascii="Arial" w:cs="Arial" w:eastAsia="Arial" w:hAnsi="Arial"/>
                <w:sz w:val="14"/>
                <w:szCs w:val="14"/>
                <w:color w:val="auto"/>
              </w:rPr>
              <w:t>313(b)</w:t>
            </w:r>
          </w:p>
        </w:tc>
        <w:tc>
          <w:tcPr>
            <w:tcW w:w="4340" w:type="dxa"/>
            <w:vAlign w:val="bottom"/>
          </w:tcPr>
          <w:p>
            <w:pPr>
              <w:ind w:left="20"/>
              <w:spacing w:after="0"/>
              <w:rPr>
                <w:sz w:val="20"/>
                <w:szCs w:val="20"/>
                <w:color w:val="auto"/>
              </w:rPr>
            </w:pPr>
            <w:r>
              <w:rPr>
                <w:rFonts w:ascii="Arial" w:cs="Arial" w:eastAsia="Arial" w:hAnsi="Arial"/>
                <w:sz w:val="14"/>
                <w:szCs w:val="14"/>
                <w:color w:val="auto"/>
              </w:rPr>
              <w:t>5.04(b)</w:t>
            </w:r>
          </w:p>
        </w:tc>
      </w:tr>
      <w:tr>
        <w:trPr>
          <w:trHeight w:val="170"/>
        </w:trPr>
        <w:tc>
          <w:tcPr>
            <w:tcW w:w="4500" w:type="dxa"/>
            <w:vAlign w:val="bottom"/>
            <w:gridSpan w:val="2"/>
          </w:tcPr>
          <w:p>
            <w:pPr>
              <w:spacing w:after="0"/>
              <w:rPr>
                <w:sz w:val="20"/>
                <w:szCs w:val="20"/>
                <w:color w:val="auto"/>
              </w:rPr>
            </w:pPr>
            <w:r>
              <w:rPr>
                <w:rFonts w:ascii="Arial" w:cs="Arial" w:eastAsia="Arial" w:hAnsi="Arial"/>
                <w:sz w:val="14"/>
                <w:szCs w:val="14"/>
                <w:color w:val="auto"/>
              </w:rPr>
              <w:t>313(c)</w:t>
            </w:r>
          </w:p>
        </w:tc>
        <w:tc>
          <w:tcPr>
            <w:tcW w:w="4340" w:type="dxa"/>
            <w:vAlign w:val="bottom"/>
          </w:tcPr>
          <w:p>
            <w:pPr>
              <w:ind w:left="20"/>
              <w:spacing w:after="0"/>
              <w:rPr>
                <w:sz w:val="20"/>
                <w:szCs w:val="20"/>
                <w:color w:val="auto"/>
              </w:rPr>
            </w:pPr>
            <w:r>
              <w:rPr>
                <w:rFonts w:ascii="Arial" w:cs="Arial" w:eastAsia="Arial" w:hAnsi="Arial"/>
                <w:sz w:val="14"/>
                <w:szCs w:val="14"/>
                <w:color w:val="auto"/>
              </w:rPr>
              <w:t>5.04(a)</w:t>
            </w:r>
          </w:p>
        </w:tc>
      </w:tr>
      <w:tr>
        <w:trPr>
          <w:trHeight w:val="172"/>
        </w:trPr>
        <w:tc>
          <w:tcPr>
            <w:tcW w:w="4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40" w:type="dxa"/>
            <w:vAlign w:val="bottom"/>
          </w:tcPr>
          <w:p>
            <w:pPr>
              <w:ind w:left="20"/>
              <w:spacing w:after="0"/>
              <w:rPr>
                <w:sz w:val="20"/>
                <w:szCs w:val="20"/>
                <w:color w:val="auto"/>
              </w:rPr>
            </w:pPr>
            <w:r>
              <w:rPr>
                <w:rFonts w:ascii="Arial" w:cs="Arial" w:eastAsia="Arial" w:hAnsi="Arial"/>
                <w:sz w:val="14"/>
                <w:szCs w:val="14"/>
                <w:color w:val="auto"/>
              </w:rPr>
              <w:t>5.04(b)</w:t>
            </w:r>
          </w:p>
        </w:tc>
      </w:tr>
      <w:tr>
        <w:trPr>
          <w:trHeight w:val="165"/>
        </w:trPr>
        <w:tc>
          <w:tcPr>
            <w:tcW w:w="4500" w:type="dxa"/>
            <w:vAlign w:val="bottom"/>
            <w:gridSpan w:val="2"/>
          </w:tcPr>
          <w:p>
            <w:pPr>
              <w:spacing w:after="0"/>
              <w:rPr>
                <w:sz w:val="20"/>
                <w:szCs w:val="20"/>
                <w:color w:val="auto"/>
              </w:rPr>
            </w:pPr>
            <w:r>
              <w:rPr>
                <w:rFonts w:ascii="Arial" w:cs="Arial" w:eastAsia="Arial" w:hAnsi="Arial"/>
                <w:sz w:val="14"/>
                <w:szCs w:val="14"/>
                <w:color w:val="auto"/>
              </w:rPr>
              <w:t>313(d)</w:t>
            </w:r>
          </w:p>
        </w:tc>
        <w:tc>
          <w:tcPr>
            <w:tcW w:w="4340" w:type="dxa"/>
            <w:vAlign w:val="bottom"/>
          </w:tcPr>
          <w:p>
            <w:pPr>
              <w:ind w:left="20"/>
              <w:spacing w:after="0"/>
              <w:rPr>
                <w:sz w:val="20"/>
                <w:szCs w:val="20"/>
                <w:color w:val="auto"/>
              </w:rPr>
            </w:pPr>
            <w:r>
              <w:rPr>
                <w:rFonts w:ascii="Arial" w:cs="Arial" w:eastAsia="Arial" w:hAnsi="Arial"/>
                <w:sz w:val="14"/>
                <w:szCs w:val="14"/>
                <w:color w:val="auto"/>
              </w:rPr>
              <w:t>5.04(c)</w:t>
            </w:r>
          </w:p>
        </w:tc>
      </w:tr>
      <w:tr>
        <w:trPr>
          <w:trHeight w:val="170"/>
        </w:trPr>
        <w:tc>
          <w:tcPr>
            <w:tcW w:w="4500" w:type="dxa"/>
            <w:vAlign w:val="bottom"/>
            <w:gridSpan w:val="2"/>
          </w:tcPr>
          <w:p>
            <w:pPr>
              <w:spacing w:after="0"/>
              <w:rPr>
                <w:sz w:val="20"/>
                <w:szCs w:val="20"/>
                <w:color w:val="auto"/>
              </w:rPr>
            </w:pPr>
            <w:r>
              <w:rPr>
                <w:rFonts w:ascii="Arial" w:cs="Arial" w:eastAsia="Arial" w:hAnsi="Arial"/>
                <w:sz w:val="14"/>
                <w:szCs w:val="14"/>
                <w:color w:val="auto"/>
              </w:rPr>
              <w:t>314(a)</w:t>
            </w:r>
          </w:p>
        </w:tc>
        <w:tc>
          <w:tcPr>
            <w:tcW w:w="4340" w:type="dxa"/>
            <w:vAlign w:val="bottom"/>
          </w:tcPr>
          <w:p>
            <w:pPr>
              <w:ind w:left="20"/>
              <w:spacing w:after="0"/>
              <w:rPr>
                <w:sz w:val="20"/>
                <w:szCs w:val="20"/>
                <w:color w:val="auto"/>
              </w:rPr>
            </w:pPr>
            <w:r>
              <w:rPr>
                <w:rFonts w:ascii="Arial" w:cs="Arial" w:eastAsia="Arial" w:hAnsi="Arial"/>
                <w:sz w:val="14"/>
                <w:szCs w:val="14"/>
                <w:color w:val="auto"/>
              </w:rPr>
              <w:t>5.03</w:t>
            </w:r>
          </w:p>
        </w:tc>
      </w:tr>
      <w:tr>
        <w:trPr>
          <w:trHeight w:val="172"/>
        </w:trPr>
        <w:tc>
          <w:tcPr>
            <w:tcW w:w="4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40" w:type="dxa"/>
            <w:vAlign w:val="bottom"/>
          </w:tcPr>
          <w:p>
            <w:pPr>
              <w:ind w:left="20"/>
              <w:spacing w:after="0"/>
              <w:rPr>
                <w:sz w:val="20"/>
                <w:szCs w:val="20"/>
                <w:color w:val="auto"/>
              </w:rPr>
            </w:pPr>
            <w:r>
              <w:rPr>
                <w:rFonts w:ascii="Arial" w:cs="Arial" w:eastAsia="Arial" w:hAnsi="Arial"/>
                <w:sz w:val="14"/>
                <w:szCs w:val="14"/>
                <w:color w:val="auto"/>
              </w:rPr>
              <w:t>13.12</w:t>
            </w:r>
          </w:p>
        </w:tc>
      </w:tr>
      <w:tr>
        <w:trPr>
          <w:trHeight w:val="165"/>
        </w:trPr>
        <w:tc>
          <w:tcPr>
            <w:tcW w:w="4500" w:type="dxa"/>
            <w:vAlign w:val="bottom"/>
            <w:gridSpan w:val="2"/>
          </w:tcPr>
          <w:p>
            <w:pPr>
              <w:spacing w:after="0"/>
              <w:rPr>
                <w:sz w:val="20"/>
                <w:szCs w:val="20"/>
                <w:color w:val="auto"/>
              </w:rPr>
            </w:pPr>
            <w:r>
              <w:rPr>
                <w:rFonts w:ascii="Arial" w:cs="Arial" w:eastAsia="Arial" w:hAnsi="Arial"/>
                <w:sz w:val="14"/>
                <w:szCs w:val="14"/>
                <w:color w:val="auto"/>
              </w:rPr>
              <w:t>314(b)</w:t>
            </w:r>
          </w:p>
        </w:tc>
        <w:tc>
          <w:tcPr>
            <w:tcW w:w="4340" w:type="dxa"/>
            <w:vAlign w:val="bottom"/>
          </w:tcPr>
          <w:p>
            <w:pPr>
              <w:ind w:left="20"/>
              <w:spacing w:after="0"/>
              <w:rPr>
                <w:sz w:val="20"/>
                <w:szCs w:val="20"/>
                <w:color w:val="auto"/>
              </w:rPr>
            </w:pPr>
            <w:r>
              <w:rPr>
                <w:rFonts w:ascii="Arial" w:cs="Arial" w:eastAsia="Arial" w:hAnsi="Arial"/>
                <w:sz w:val="14"/>
                <w:szCs w:val="14"/>
                <w:color w:val="auto"/>
              </w:rPr>
              <w:t>Inapplicable</w:t>
            </w:r>
          </w:p>
        </w:tc>
      </w:tr>
      <w:tr>
        <w:trPr>
          <w:trHeight w:val="165"/>
        </w:trPr>
        <w:tc>
          <w:tcPr>
            <w:tcW w:w="4500" w:type="dxa"/>
            <w:vAlign w:val="bottom"/>
            <w:gridSpan w:val="2"/>
          </w:tcPr>
          <w:p>
            <w:pPr>
              <w:spacing w:after="0"/>
              <w:rPr>
                <w:sz w:val="20"/>
                <w:szCs w:val="20"/>
                <w:color w:val="auto"/>
              </w:rPr>
            </w:pPr>
            <w:r>
              <w:rPr>
                <w:rFonts w:ascii="Arial" w:cs="Arial" w:eastAsia="Arial" w:hAnsi="Arial"/>
                <w:sz w:val="14"/>
                <w:szCs w:val="14"/>
                <w:color w:val="auto"/>
              </w:rPr>
              <w:t>314(c)</w:t>
            </w:r>
          </w:p>
        </w:tc>
        <w:tc>
          <w:tcPr>
            <w:tcW w:w="4340" w:type="dxa"/>
            <w:vAlign w:val="bottom"/>
          </w:tcPr>
          <w:p>
            <w:pPr>
              <w:ind w:left="20"/>
              <w:spacing w:after="0"/>
              <w:rPr>
                <w:sz w:val="20"/>
                <w:szCs w:val="20"/>
                <w:color w:val="auto"/>
              </w:rPr>
            </w:pPr>
            <w:r>
              <w:rPr>
                <w:rFonts w:ascii="Arial" w:cs="Arial" w:eastAsia="Arial" w:hAnsi="Arial"/>
                <w:sz w:val="14"/>
                <w:szCs w:val="14"/>
                <w:color w:val="auto"/>
              </w:rPr>
              <w:t>13.07(a)</w:t>
            </w:r>
          </w:p>
        </w:tc>
      </w:tr>
      <w:tr>
        <w:trPr>
          <w:trHeight w:val="165"/>
        </w:trPr>
        <w:tc>
          <w:tcPr>
            <w:tcW w:w="4500" w:type="dxa"/>
            <w:vAlign w:val="bottom"/>
            <w:gridSpan w:val="2"/>
          </w:tcPr>
          <w:p>
            <w:pPr>
              <w:spacing w:after="0"/>
              <w:rPr>
                <w:sz w:val="20"/>
                <w:szCs w:val="20"/>
                <w:color w:val="auto"/>
              </w:rPr>
            </w:pPr>
            <w:r>
              <w:rPr>
                <w:rFonts w:ascii="Arial" w:cs="Arial" w:eastAsia="Arial" w:hAnsi="Arial"/>
                <w:sz w:val="14"/>
                <w:szCs w:val="14"/>
                <w:color w:val="auto"/>
              </w:rPr>
              <w:t>314(d)</w:t>
            </w:r>
          </w:p>
        </w:tc>
        <w:tc>
          <w:tcPr>
            <w:tcW w:w="4340" w:type="dxa"/>
            <w:vAlign w:val="bottom"/>
          </w:tcPr>
          <w:p>
            <w:pPr>
              <w:ind w:left="20"/>
              <w:spacing w:after="0"/>
              <w:rPr>
                <w:sz w:val="20"/>
                <w:szCs w:val="20"/>
                <w:color w:val="auto"/>
              </w:rPr>
            </w:pPr>
            <w:r>
              <w:rPr>
                <w:rFonts w:ascii="Arial" w:cs="Arial" w:eastAsia="Arial" w:hAnsi="Arial"/>
                <w:sz w:val="14"/>
                <w:szCs w:val="14"/>
                <w:color w:val="auto"/>
              </w:rPr>
              <w:t>Inapplicable</w:t>
            </w:r>
          </w:p>
        </w:tc>
      </w:tr>
      <w:tr>
        <w:trPr>
          <w:trHeight w:val="165"/>
        </w:trPr>
        <w:tc>
          <w:tcPr>
            <w:tcW w:w="4500" w:type="dxa"/>
            <w:vAlign w:val="bottom"/>
            <w:gridSpan w:val="2"/>
          </w:tcPr>
          <w:p>
            <w:pPr>
              <w:spacing w:after="0"/>
              <w:rPr>
                <w:sz w:val="20"/>
                <w:szCs w:val="20"/>
                <w:color w:val="auto"/>
              </w:rPr>
            </w:pPr>
            <w:r>
              <w:rPr>
                <w:rFonts w:ascii="Arial" w:cs="Arial" w:eastAsia="Arial" w:hAnsi="Arial"/>
                <w:sz w:val="14"/>
                <w:szCs w:val="14"/>
                <w:color w:val="auto"/>
              </w:rPr>
              <w:t>314(e)</w:t>
            </w:r>
          </w:p>
        </w:tc>
        <w:tc>
          <w:tcPr>
            <w:tcW w:w="4340" w:type="dxa"/>
            <w:vAlign w:val="bottom"/>
          </w:tcPr>
          <w:p>
            <w:pPr>
              <w:ind w:left="20"/>
              <w:spacing w:after="0"/>
              <w:rPr>
                <w:sz w:val="20"/>
                <w:szCs w:val="20"/>
                <w:color w:val="auto"/>
              </w:rPr>
            </w:pPr>
            <w:r>
              <w:rPr>
                <w:rFonts w:ascii="Arial" w:cs="Arial" w:eastAsia="Arial" w:hAnsi="Arial"/>
                <w:sz w:val="14"/>
                <w:szCs w:val="14"/>
                <w:color w:val="auto"/>
              </w:rPr>
              <w:t>13.07(b)</w:t>
            </w:r>
          </w:p>
        </w:tc>
      </w:tr>
      <w:tr>
        <w:trPr>
          <w:trHeight w:val="165"/>
        </w:trPr>
        <w:tc>
          <w:tcPr>
            <w:tcW w:w="4500" w:type="dxa"/>
            <w:vAlign w:val="bottom"/>
            <w:gridSpan w:val="2"/>
          </w:tcPr>
          <w:p>
            <w:pPr>
              <w:spacing w:after="0"/>
              <w:rPr>
                <w:sz w:val="20"/>
                <w:szCs w:val="20"/>
                <w:color w:val="auto"/>
              </w:rPr>
            </w:pPr>
            <w:r>
              <w:rPr>
                <w:rFonts w:ascii="Arial" w:cs="Arial" w:eastAsia="Arial" w:hAnsi="Arial"/>
                <w:sz w:val="14"/>
                <w:szCs w:val="14"/>
                <w:color w:val="auto"/>
              </w:rPr>
              <w:t>314(f)</w:t>
            </w:r>
          </w:p>
        </w:tc>
        <w:tc>
          <w:tcPr>
            <w:tcW w:w="4340" w:type="dxa"/>
            <w:vAlign w:val="bottom"/>
          </w:tcPr>
          <w:p>
            <w:pPr>
              <w:ind w:left="20"/>
              <w:spacing w:after="0"/>
              <w:rPr>
                <w:sz w:val="20"/>
                <w:szCs w:val="20"/>
                <w:color w:val="auto"/>
              </w:rPr>
            </w:pPr>
            <w:r>
              <w:rPr>
                <w:rFonts w:ascii="Arial" w:cs="Arial" w:eastAsia="Arial" w:hAnsi="Arial"/>
                <w:sz w:val="14"/>
                <w:szCs w:val="14"/>
                <w:color w:val="auto"/>
              </w:rPr>
              <w:t>Inapplicable</w:t>
            </w:r>
          </w:p>
        </w:tc>
      </w:tr>
      <w:tr>
        <w:trPr>
          <w:trHeight w:val="170"/>
        </w:trPr>
        <w:tc>
          <w:tcPr>
            <w:tcW w:w="4500" w:type="dxa"/>
            <w:vAlign w:val="bottom"/>
            <w:gridSpan w:val="2"/>
          </w:tcPr>
          <w:p>
            <w:pPr>
              <w:spacing w:after="0"/>
              <w:rPr>
                <w:sz w:val="20"/>
                <w:szCs w:val="20"/>
                <w:color w:val="auto"/>
              </w:rPr>
            </w:pPr>
            <w:r>
              <w:rPr>
                <w:rFonts w:ascii="Arial" w:cs="Arial" w:eastAsia="Arial" w:hAnsi="Arial"/>
                <w:sz w:val="14"/>
                <w:szCs w:val="14"/>
                <w:color w:val="auto"/>
              </w:rPr>
              <w:t>315(a)</w:t>
            </w:r>
          </w:p>
        </w:tc>
        <w:tc>
          <w:tcPr>
            <w:tcW w:w="4340" w:type="dxa"/>
            <w:vAlign w:val="bottom"/>
          </w:tcPr>
          <w:p>
            <w:pPr>
              <w:ind w:left="20"/>
              <w:spacing w:after="0"/>
              <w:rPr>
                <w:sz w:val="20"/>
                <w:szCs w:val="20"/>
                <w:color w:val="auto"/>
              </w:rPr>
            </w:pPr>
            <w:r>
              <w:rPr>
                <w:rFonts w:ascii="Arial" w:cs="Arial" w:eastAsia="Arial" w:hAnsi="Arial"/>
                <w:sz w:val="14"/>
                <w:szCs w:val="14"/>
                <w:color w:val="auto"/>
              </w:rPr>
              <w:t>7.01(a)</w:t>
            </w:r>
          </w:p>
        </w:tc>
      </w:tr>
      <w:tr>
        <w:trPr>
          <w:trHeight w:val="172"/>
        </w:trPr>
        <w:tc>
          <w:tcPr>
            <w:tcW w:w="4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40" w:type="dxa"/>
            <w:vAlign w:val="bottom"/>
          </w:tcPr>
          <w:p>
            <w:pPr>
              <w:ind w:left="20"/>
              <w:spacing w:after="0"/>
              <w:rPr>
                <w:sz w:val="20"/>
                <w:szCs w:val="20"/>
                <w:color w:val="auto"/>
              </w:rPr>
            </w:pPr>
            <w:r>
              <w:rPr>
                <w:rFonts w:ascii="Arial" w:cs="Arial" w:eastAsia="Arial" w:hAnsi="Arial"/>
                <w:sz w:val="14"/>
                <w:szCs w:val="14"/>
                <w:color w:val="auto"/>
              </w:rPr>
              <w:t>7.01(b)</w:t>
            </w:r>
          </w:p>
        </w:tc>
      </w:tr>
      <w:tr>
        <w:trPr>
          <w:trHeight w:val="165"/>
        </w:trPr>
        <w:tc>
          <w:tcPr>
            <w:tcW w:w="4500" w:type="dxa"/>
            <w:vAlign w:val="bottom"/>
            <w:gridSpan w:val="2"/>
          </w:tcPr>
          <w:p>
            <w:pPr>
              <w:spacing w:after="0"/>
              <w:rPr>
                <w:sz w:val="20"/>
                <w:szCs w:val="20"/>
                <w:color w:val="auto"/>
              </w:rPr>
            </w:pPr>
            <w:r>
              <w:rPr>
                <w:rFonts w:ascii="Arial" w:cs="Arial" w:eastAsia="Arial" w:hAnsi="Arial"/>
                <w:sz w:val="14"/>
                <w:szCs w:val="14"/>
                <w:color w:val="auto"/>
              </w:rPr>
              <w:t>315(b)</w:t>
            </w:r>
          </w:p>
        </w:tc>
        <w:tc>
          <w:tcPr>
            <w:tcW w:w="4340" w:type="dxa"/>
            <w:vAlign w:val="bottom"/>
          </w:tcPr>
          <w:p>
            <w:pPr>
              <w:ind w:left="20"/>
              <w:spacing w:after="0"/>
              <w:rPr>
                <w:sz w:val="20"/>
                <w:szCs w:val="20"/>
                <w:color w:val="auto"/>
              </w:rPr>
            </w:pPr>
            <w:r>
              <w:rPr>
                <w:rFonts w:ascii="Arial" w:cs="Arial" w:eastAsia="Arial" w:hAnsi="Arial"/>
                <w:sz w:val="14"/>
                <w:szCs w:val="14"/>
                <w:color w:val="auto"/>
              </w:rPr>
              <w:t>7.14</w:t>
            </w:r>
          </w:p>
        </w:tc>
      </w:tr>
      <w:tr>
        <w:trPr>
          <w:trHeight w:val="165"/>
        </w:trPr>
        <w:tc>
          <w:tcPr>
            <w:tcW w:w="4500" w:type="dxa"/>
            <w:vAlign w:val="bottom"/>
            <w:gridSpan w:val="2"/>
          </w:tcPr>
          <w:p>
            <w:pPr>
              <w:spacing w:after="0"/>
              <w:rPr>
                <w:sz w:val="20"/>
                <w:szCs w:val="20"/>
                <w:color w:val="auto"/>
              </w:rPr>
            </w:pPr>
            <w:r>
              <w:rPr>
                <w:rFonts w:ascii="Arial" w:cs="Arial" w:eastAsia="Arial" w:hAnsi="Arial"/>
                <w:sz w:val="14"/>
                <w:szCs w:val="14"/>
                <w:color w:val="auto"/>
              </w:rPr>
              <w:t>315(c)</w:t>
            </w:r>
          </w:p>
        </w:tc>
        <w:tc>
          <w:tcPr>
            <w:tcW w:w="4340" w:type="dxa"/>
            <w:vAlign w:val="bottom"/>
          </w:tcPr>
          <w:p>
            <w:pPr>
              <w:ind w:left="20"/>
              <w:spacing w:after="0"/>
              <w:rPr>
                <w:sz w:val="20"/>
                <w:szCs w:val="20"/>
                <w:color w:val="auto"/>
              </w:rPr>
            </w:pPr>
            <w:r>
              <w:rPr>
                <w:rFonts w:ascii="Arial" w:cs="Arial" w:eastAsia="Arial" w:hAnsi="Arial"/>
                <w:sz w:val="14"/>
                <w:szCs w:val="14"/>
                <w:color w:val="auto"/>
              </w:rPr>
              <w:t>7.01</w:t>
            </w:r>
          </w:p>
        </w:tc>
      </w:tr>
      <w:tr>
        <w:trPr>
          <w:trHeight w:val="165"/>
        </w:trPr>
        <w:tc>
          <w:tcPr>
            <w:tcW w:w="4500" w:type="dxa"/>
            <w:vAlign w:val="bottom"/>
            <w:gridSpan w:val="2"/>
          </w:tcPr>
          <w:p>
            <w:pPr>
              <w:spacing w:after="0"/>
              <w:rPr>
                <w:sz w:val="20"/>
                <w:szCs w:val="20"/>
                <w:color w:val="auto"/>
              </w:rPr>
            </w:pPr>
            <w:r>
              <w:rPr>
                <w:rFonts w:ascii="Arial" w:cs="Arial" w:eastAsia="Arial" w:hAnsi="Arial"/>
                <w:sz w:val="14"/>
                <w:szCs w:val="14"/>
                <w:color w:val="auto"/>
              </w:rPr>
              <w:t>315(d)</w:t>
            </w:r>
          </w:p>
        </w:tc>
        <w:tc>
          <w:tcPr>
            <w:tcW w:w="4340" w:type="dxa"/>
            <w:vAlign w:val="bottom"/>
          </w:tcPr>
          <w:p>
            <w:pPr>
              <w:ind w:left="20"/>
              <w:spacing w:after="0"/>
              <w:rPr>
                <w:sz w:val="20"/>
                <w:szCs w:val="20"/>
                <w:color w:val="auto"/>
              </w:rPr>
            </w:pPr>
            <w:r>
              <w:rPr>
                <w:rFonts w:ascii="Arial" w:cs="Arial" w:eastAsia="Arial" w:hAnsi="Arial"/>
                <w:sz w:val="14"/>
                <w:szCs w:val="14"/>
                <w:color w:val="auto"/>
              </w:rPr>
              <w:t>7.01(b)</w:t>
            </w:r>
          </w:p>
        </w:tc>
      </w:tr>
      <w:tr>
        <w:trPr>
          <w:trHeight w:val="165"/>
        </w:trPr>
        <w:tc>
          <w:tcPr>
            <w:tcW w:w="4500" w:type="dxa"/>
            <w:vAlign w:val="bottom"/>
            <w:gridSpan w:val="2"/>
          </w:tcPr>
          <w:p>
            <w:pPr>
              <w:spacing w:after="0"/>
              <w:rPr>
                <w:sz w:val="20"/>
                <w:szCs w:val="20"/>
                <w:color w:val="auto"/>
              </w:rPr>
            </w:pPr>
            <w:r>
              <w:rPr>
                <w:rFonts w:ascii="Arial" w:cs="Arial" w:eastAsia="Arial" w:hAnsi="Arial"/>
                <w:sz w:val="14"/>
                <w:szCs w:val="14"/>
                <w:color w:val="auto"/>
              </w:rPr>
              <w:t>315(e)</w:t>
            </w:r>
          </w:p>
        </w:tc>
        <w:tc>
          <w:tcPr>
            <w:tcW w:w="4340" w:type="dxa"/>
            <w:vAlign w:val="bottom"/>
          </w:tcPr>
          <w:p>
            <w:pPr>
              <w:ind w:left="20"/>
              <w:spacing w:after="0"/>
              <w:rPr>
                <w:sz w:val="20"/>
                <w:szCs w:val="20"/>
                <w:color w:val="auto"/>
              </w:rPr>
            </w:pPr>
            <w:r>
              <w:rPr>
                <w:rFonts w:ascii="Arial" w:cs="Arial" w:eastAsia="Arial" w:hAnsi="Arial"/>
                <w:sz w:val="14"/>
                <w:szCs w:val="14"/>
                <w:color w:val="auto"/>
              </w:rPr>
              <w:t>6.07</w:t>
            </w:r>
          </w:p>
        </w:tc>
      </w:tr>
      <w:tr>
        <w:trPr>
          <w:trHeight w:val="170"/>
        </w:trPr>
        <w:tc>
          <w:tcPr>
            <w:tcW w:w="4500" w:type="dxa"/>
            <w:vAlign w:val="bottom"/>
            <w:gridSpan w:val="2"/>
          </w:tcPr>
          <w:p>
            <w:pPr>
              <w:spacing w:after="0"/>
              <w:rPr>
                <w:sz w:val="20"/>
                <w:szCs w:val="20"/>
                <w:color w:val="auto"/>
              </w:rPr>
            </w:pPr>
            <w:r>
              <w:rPr>
                <w:rFonts w:ascii="Arial" w:cs="Arial" w:eastAsia="Arial" w:hAnsi="Arial"/>
                <w:sz w:val="14"/>
                <w:szCs w:val="14"/>
                <w:color w:val="auto"/>
              </w:rPr>
              <w:t>316(a)</w:t>
            </w:r>
          </w:p>
        </w:tc>
        <w:tc>
          <w:tcPr>
            <w:tcW w:w="4340" w:type="dxa"/>
            <w:vAlign w:val="bottom"/>
          </w:tcPr>
          <w:p>
            <w:pPr>
              <w:ind w:left="20"/>
              <w:spacing w:after="0"/>
              <w:rPr>
                <w:sz w:val="20"/>
                <w:szCs w:val="20"/>
                <w:color w:val="auto"/>
              </w:rPr>
            </w:pPr>
            <w:r>
              <w:rPr>
                <w:rFonts w:ascii="Arial" w:cs="Arial" w:eastAsia="Arial" w:hAnsi="Arial"/>
                <w:sz w:val="14"/>
                <w:szCs w:val="14"/>
                <w:color w:val="auto"/>
              </w:rPr>
              <w:t>6.06</w:t>
            </w:r>
          </w:p>
        </w:tc>
      </w:tr>
      <w:tr>
        <w:trPr>
          <w:trHeight w:val="172"/>
        </w:trPr>
        <w:tc>
          <w:tcPr>
            <w:tcW w:w="4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40" w:type="dxa"/>
            <w:vAlign w:val="bottom"/>
          </w:tcPr>
          <w:p>
            <w:pPr>
              <w:ind w:left="20"/>
              <w:spacing w:after="0"/>
              <w:rPr>
                <w:sz w:val="20"/>
                <w:szCs w:val="20"/>
                <w:color w:val="auto"/>
              </w:rPr>
            </w:pPr>
            <w:r>
              <w:rPr>
                <w:rFonts w:ascii="Arial" w:cs="Arial" w:eastAsia="Arial" w:hAnsi="Arial"/>
                <w:sz w:val="14"/>
                <w:szCs w:val="14"/>
                <w:color w:val="auto"/>
              </w:rPr>
              <w:t>8.04</w:t>
            </w:r>
          </w:p>
        </w:tc>
      </w:tr>
      <w:tr>
        <w:trPr>
          <w:trHeight w:val="165"/>
        </w:trPr>
        <w:tc>
          <w:tcPr>
            <w:tcW w:w="4500" w:type="dxa"/>
            <w:vAlign w:val="bottom"/>
            <w:gridSpan w:val="2"/>
          </w:tcPr>
          <w:p>
            <w:pPr>
              <w:spacing w:after="0"/>
              <w:rPr>
                <w:sz w:val="20"/>
                <w:szCs w:val="20"/>
                <w:color w:val="auto"/>
              </w:rPr>
            </w:pPr>
            <w:r>
              <w:rPr>
                <w:rFonts w:ascii="Arial" w:cs="Arial" w:eastAsia="Arial" w:hAnsi="Arial"/>
                <w:sz w:val="14"/>
                <w:szCs w:val="14"/>
                <w:color w:val="auto"/>
              </w:rPr>
              <w:t>316(b)</w:t>
            </w:r>
          </w:p>
        </w:tc>
        <w:tc>
          <w:tcPr>
            <w:tcW w:w="4340" w:type="dxa"/>
            <w:vAlign w:val="bottom"/>
          </w:tcPr>
          <w:p>
            <w:pPr>
              <w:ind w:left="20"/>
              <w:spacing w:after="0"/>
              <w:rPr>
                <w:sz w:val="20"/>
                <w:szCs w:val="20"/>
                <w:color w:val="auto"/>
              </w:rPr>
            </w:pPr>
            <w:r>
              <w:rPr>
                <w:rFonts w:ascii="Arial" w:cs="Arial" w:eastAsia="Arial" w:hAnsi="Arial"/>
                <w:sz w:val="14"/>
                <w:szCs w:val="14"/>
                <w:color w:val="auto"/>
              </w:rPr>
              <w:t>6.04</w:t>
            </w:r>
          </w:p>
        </w:tc>
      </w:tr>
      <w:tr>
        <w:trPr>
          <w:trHeight w:val="165"/>
        </w:trPr>
        <w:tc>
          <w:tcPr>
            <w:tcW w:w="4500" w:type="dxa"/>
            <w:vAlign w:val="bottom"/>
            <w:gridSpan w:val="2"/>
          </w:tcPr>
          <w:p>
            <w:pPr>
              <w:spacing w:after="0"/>
              <w:rPr>
                <w:sz w:val="20"/>
                <w:szCs w:val="20"/>
                <w:color w:val="auto"/>
              </w:rPr>
            </w:pPr>
            <w:r>
              <w:rPr>
                <w:rFonts w:ascii="Arial" w:cs="Arial" w:eastAsia="Arial" w:hAnsi="Arial"/>
                <w:sz w:val="14"/>
                <w:szCs w:val="14"/>
                <w:color w:val="auto"/>
              </w:rPr>
              <w:t>316(c)</w:t>
            </w:r>
          </w:p>
        </w:tc>
        <w:tc>
          <w:tcPr>
            <w:tcW w:w="4340" w:type="dxa"/>
            <w:vAlign w:val="bottom"/>
          </w:tcPr>
          <w:p>
            <w:pPr>
              <w:ind w:left="20"/>
              <w:spacing w:after="0"/>
              <w:rPr>
                <w:sz w:val="20"/>
                <w:szCs w:val="20"/>
                <w:color w:val="auto"/>
              </w:rPr>
            </w:pPr>
            <w:r>
              <w:rPr>
                <w:rFonts w:ascii="Arial" w:cs="Arial" w:eastAsia="Arial" w:hAnsi="Arial"/>
                <w:sz w:val="14"/>
                <w:szCs w:val="14"/>
                <w:color w:val="auto"/>
              </w:rPr>
              <w:t>8.01</w:t>
            </w:r>
          </w:p>
        </w:tc>
      </w:tr>
      <w:tr>
        <w:trPr>
          <w:trHeight w:val="165"/>
        </w:trPr>
        <w:tc>
          <w:tcPr>
            <w:tcW w:w="4500" w:type="dxa"/>
            <w:vAlign w:val="bottom"/>
            <w:gridSpan w:val="2"/>
          </w:tcPr>
          <w:p>
            <w:pPr>
              <w:spacing w:after="0"/>
              <w:rPr>
                <w:sz w:val="20"/>
                <w:szCs w:val="20"/>
                <w:color w:val="auto"/>
              </w:rPr>
            </w:pPr>
            <w:r>
              <w:rPr>
                <w:rFonts w:ascii="Arial" w:cs="Arial" w:eastAsia="Arial" w:hAnsi="Arial"/>
                <w:sz w:val="14"/>
                <w:szCs w:val="14"/>
                <w:color w:val="auto"/>
              </w:rPr>
              <w:t>317(a)</w:t>
            </w:r>
          </w:p>
        </w:tc>
        <w:tc>
          <w:tcPr>
            <w:tcW w:w="4340" w:type="dxa"/>
            <w:vAlign w:val="bottom"/>
          </w:tcPr>
          <w:p>
            <w:pPr>
              <w:ind w:left="20"/>
              <w:spacing w:after="0"/>
              <w:rPr>
                <w:sz w:val="20"/>
                <w:szCs w:val="20"/>
                <w:color w:val="auto"/>
              </w:rPr>
            </w:pPr>
            <w:r>
              <w:rPr>
                <w:rFonts w:ascii="Arial" w:cs="Arial" w:eastAsia="Arial" w:hAnsi="Arial"/>
                <w:sz w:val="14"/>
                <w:szCs w:val="14"/>
                <w:color w:val="auto"/>
              </w:rPr>
              <w:t>6.02</w:t>
            </w:r>
          </w:p>
        </w:tc>
      </w:tr>
      <w:tr>
        <w:trPr>
          <w:trHeight w:val="170"/>
        </w:trPr>
        <w:tc>
          <w:tcPr>
            <w:tcW w:w="4500" w:type="dxa"/>
            <w:vAlign w:val="bottom"/>
            <w:gridSpan w:val="2"/>
          </w:tcPr>
          <w:p>
            <w:pPr>
              <w:spacing w:after="0"/>
              <w:rPr>
                <w:sz w:val="20"/>
                <w:szCs w:val="20"/>
                <w:color w:val="auto"/>
              </w:rPr>
            </w:pPr>
            <w:r>
              <w:rPr>
                <w:rFonts w:ascii="Arial" w:cs="Arial" w:eastAsia="Arial" w:hAnsi="Arial"/>
                <w:sz w:val="14"/>
                <w:szCs w:val="14"/>
                <w:color w:val="auto"/>
              </w:rPr>
              <w:t>317(b)</w:t>
            </w:r>
          </w:p>
        </w:tc>
        <w:tc>
          <w:tcPr>
            <w:tcW w:w="4340" w:type="dxa"/>
            <w:vAlign w:val="bottom"/>
          </w:tcPr>
          <w:p>
            <w:pPr>
              <w:ind w:left="20"/>
              <w:spacing w:after="0"/>
              <w:rPr>
                <w:sz w:val="20"/>
                <w:szCs w:val="20"/>
                <w:color w:val="auto"/>
              </w:rPr>
            </w:pPr>
            <w:r>
              <w:rPr>
                <w:rFonts w:ascii="Arial" w:cs="Arial" w:eastAsia="Arial" w:hAnsi="Arial"/>
                <w:sz w:val="14"/>
                <w:szCs w:val="14"/>
                <w:color w:val="auto"/>
              </w:rPr>
              <w:t>4.03</w:t>
            </w:r>
          </w:p>
        </w:tc>
      </w:tr>
      <w:tr>
        <w:trPr>
          <w:trHeight w:val="177"/>
        </w:trPr>
        <w:tc>
          <w:tcPr>
            <w:tcW w:w="4500" w:type="dxa"/>
            <w:vAlign w:val="bottom"/>
            <w:gridSpan w:val="2"/>
          </w:tcPr>
          <w:p>
            <w:pPr>
              <w:spacing w:after="0"/>
              <w:rPr>
                <w:sz w:val="20"/>
                <w:szCs w:val="20"/>
                <w:color w:val="auto"/>
              </w:rPr>
            </w:pPr>
            <w:r>
              <w:rPr>
                <w:rFonts w:ascii="Arial" w:cs="Arial" w:eastAsia="Arial" w:hAnsi="Arial"/>
                <w:sz w:val="14"/>
                <w:szCs w:val="14"/>
                <w:color w:val="auto"/>
              </w:rPr>
              <w:t>318(a)</w:t>
            </w:r>
          </w:p>
        </w:tc>
        <w:tc>
          <w:tcPr>
            <w:tcW w:w="4340" w:type="dxa"/>
            <w:vAlign w:val="bottom"/>
          </w:tcPr>
          <w:p>
            <w:pPr>
              <w:ind w:left="20"/>
              <w:spacing w:after="0"/>
              <w:rPr>
                <w:sz w:val="20"/>
                <w:szCs w:val="20"/>
                <w:color w:val="auto"/>
              </w:rPr>
            </w:pPr>
            <w:r>
              <w:rPr>
                <w:rFonts w:ascii="Arial" w:cs="Arial" w:eastAsia="Arial" w:hAnsi="Arial"/>
                <w:sz w:val="14"/>
                <w:szCs w:val="14"/>
                <w:color w:val="auto"/>
              </w:rPr>
              <w:t>13.09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wp:posOffset>
            </wp:positionV>
            <wp:extent cx="140271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1402715" cy="7620"/>
                    </a:xfrm>
                    <a:prstGeom prst="rect">
                      <a:avLst/>
                    </a:prstGeom>
                    <a:noFill/>
                  </pic:spPr>
                </pic:pic>
              </a:graphicData>
            </a:graphic>
          </wp:anchor>
        </w:drawing>
      </w:r>
    </w:p>
    <w:p>
      <w:pPr>
        <w:spacing w:after="0" w:line="304" w:lineRule="exact"/>
        <w:rPr>
          <w:sz w:val="20"/>
          <w:szCs w:val="20"/>
          <w:color w:val="auto"/>
        </w:rPr>
      </w:pPr>
    </w:p>
    <w:p>
      <w:pPr>
        <w:ind w:left="380" w:hanging="377"/>
        <w:spacing w:after="0"/>
        <w:tabs>
          <w:tab w:leader="none" w:pos="380" w:val="left"/>
        </w:tabs>
        <w:numPr>
          <w:ilvl w:val="0"/>
          <w:numId w:val="79"/>
        </w:numPr>
        <w:rPr>
          <w:rFonts w:ascii="Arial" w:cs="Arial" w:eastAsia="Arial" w:hAnsi="Arial"/>
          <w:sz w:val="16"/>
          <w:szCs w:val="16"/>
          <w:color w:val="auto"/>
        </w:rPr>
      </w:pPr>
      <w:r>
        <w:rPr>
          <w:rFonts w:ascii="Arial" w:cs="Arial" w:eastAsia="Arial" w:hAnsi="Arial"/>
          <w:sz w:val="14"/>
          <w:szCs w:val="14"/>
          <w:color w:val="auto"/>
        </w:rPr>
        <w:t>This Cross-Reference Table does not constitute part of the Indenture and shall not have any bearing on the interpretation of any of its terms or provisions.</w:t>
      </w:r>
    </w:p>
    <w:p>
      <w:pPr>
        <w:sectPr>
          <w:pgSz w:w="11900" w:h="16838" w:orient="portrait"/>
          <w:cols w:equalWidth="0" w:num="1">
            <w:col w:w="10139"/>
          </w:cols>
          <w:pgMar w:left="320" w:top="348" w:right="1440" w:bottom="1440" w:gutter="0" w:footer="0" w:header="0"/>
        </w:sectPr>
      </w:pPr>
    </w:p>
    <w:bookmarkStart w:id="86" w:name="page87"/>
    <w:bookmarkEnd w:id="86"/>
    <w:p>
      <w:pPr>
        <w:ind w:left="10480"/>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200025</wp:posOffset>
            </wp:positionH>
            <wp:positionV relativeFrom="page">
              <wp:posOffset>96520</wp:posOffset>
            </wp:positionV>
            <wp:extent cx="1778000" cy="2851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1778000" cy="285115"/>
                    </a:xfrm>
                    <a:prstGeom prst="rect">
                      <a:avLst/>
                    </a:prstGeom>
                    <a:noFill/>
                  </pic:spPr>
                </pic:pic>
              </a:graphicData>
            </a:graphic>
          </wp:anchor>
        </w:drawing>
        <w:t>Exhibit 5.1</w:t>
      </w:r>
    </w:p>
    <w:p>
      <w:pPr>
        <w:sectPr>
          <w:pgSz w:w="11900" w:h="16838" w:orient="portrait"/>
          <w:cols w:equalWidth="0" w:num="1">
            <w:col w:w="11260"/>
          </w:cols>
          <w:pgMar w:left="320" w:top="585" w:right="31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June 4, 2020</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Destination XL Group, Inc.</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555 Turnpike Street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Canton, Massachusetts 02021</w:t>
      </w:r>
    </w:p>
    <w:p>
      <w:pPr>
        <w:spacing w:after="0" w:line="86" w:lineRule="exact"/>
        <w:rPr>
          <w:sz w:val="20"/>
          <w:szCs w:val="20"/>
          <w:color w:val="auto"/>
        </w:rPr>
      </w:pPr>
    </w:p>
    <w:p>
      <w:pPr>
        <w:ind w:left="860"/>
        <w:spacing w:after="0"/>
        <w:tabs>
          <w:tab w:leader="none" w:pos="1640"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7"/>
          <w:szCs w:val="17"/>
          <w:color w:val="auto"/>
        </w:rPr>
        <w:t>Registration Statement on Form S-3</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194" w:lineRule="exact"/>
        <w:rPr>
          <w:sz w:val="20"/>
          <w:szCs w:val="20"/>
          <w:color w:val="auto"/>
        </w:rPr>
      </w:pPr>
    </w:p>
    <w:p>
      <w:pPr>
        <w:jc w:val="both"/>
        <w:ind w:right="20"/>
        <w:spacing w:after="0" w:line="261" w:lineRule="auto"/>
        <w:rPr>
          <w:sz w:val="20"/>
          <w:szCs w:val="20"/>
          <w:color w:val="auto"/>
        </w:rPr>
      </w:pPr>
      <w:r>
        <w:rPr>
          <w:rFonts w:ascii="Arial" w:cs="Arial" w:eastAsia="Arial" w:hAnsi="Arial"/>
          <w:sz w:val="17"/>
          <w:szCs w:val="17"/>
          <w:color w:val="auto"/>
        </w:rPr>
        <w:t>We have acted as legal counsel to Destination XL, Inc., a Delaware corporation (the “Company”), in connection with the registration statement on Form S-3 (the “Registration Statement”) being filed by the Company with the Securities and Exchange Commission (the “Commission”) under the Securities Act of 1933, as amended (the “Act”), on the date hereof.</w:t>
      </w:r>
    </w:p>
    <w:p>
      <w:pPr>
        <w:spacing w:after="0" w:line="15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You have provided us with a draft of the Registration Statement in the form in which it will be filed with the Commission. The Registration Statement includes a base prospectus (the “Prospectus”), which provides that it will be supplemented in the future by one or more supplements to the Prospectus (each, a “Prospectus Supplement”). The Prospectus provides for the offering of the following securities: (i) shares of the Company’s common stock, $0.01 par value per share (“Common Stock”), (ii) shares of the Company’s preferred stock, $0.01 par value per share (“Preferred Stock”), (iii) warrants to purchase Common Stock, Preferred Stock, Depositary Shares or Units (each as defined below) (“Warrants”), (iv) one or more series of the Company’s debt securities (collectively, “Debt Securities”), which may be issued pursuant to an indenture between the Company, as issuer, and a trustee to be named therein (the “Trustee”), in the form attached as Exhibit 4.1 to the Registration Statement (as such indenture may be amended or supplemented from time to time, the “Indenture”), (v) purchase contracts covering the purchase of Common Stock, Preferred Stock, Depositary Shares or Warrants (“Purchase Contracts”), (vi) depositary shares representing fractional shares of Preferred Stock (“Depositary Shares”), (vii) rights to purchase Common Stock, Preferred Stock, Depositary Shares or Warrants (“Rights”), and (viii) units comprised of two or more of the foregoing (“Units”). The Common Stock, Preferred Stock, Warrants, Debt Securities, Purchase Contracts, Depositary Shares, Rights and Units are collectively referred to as the “Securities.” The Securities may be offered and sold from time to time pursuant to Rule 415 promulgated under the Act, in amounts, at prices and on terms to be determined at the time of the offering thereof, at an aggregate initial offering price not to exceed $25,000,000.</w:t>
      </w:r>
    </w:p>
    <w:p>
      <w:pPr>
        <w:spacing w:after="0" w:line="15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have made such legal and factual examinations and inquiries, including an examination of originals or copies certified or otherwise identified to our satisfaction of such documents, corporate records and instruments, as we have deemed necessary or appropriate for purposes of this opinion. In our examination, we have assumed the genuineness of all signatures, the authenticity of all documents submitted to us as originals and the conformity to authentic original documents of all documents submitted to us as copies. As to facts material to the opinions, statements and assumptions expressed herein, we have, with your consent, relied upon oral or written statements and representations of officers and other representatives of the Company and others. We have not independently verified such factual matters.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In expressing our opinions below, we have assumed, with your consent, that:</w:t>
      </w:r>
    </w:p>
    <w:p>
      <w:pPr>
        <w:spacing w:after="0" w:line="194" w:lineRule="exact"/>
        <w:rPr>
          <w:sz w:val="20"/>
          <w:szCs w:val="20"/>
          <w:color w:val="auto"/>
        </w:rPr>
      </w:pPr>
    </w:p>
    <w:p>
      <w:pPr>
        <w:ind w:right="20" w:firstLine="860"/>
        <w:spacing w:after="0" w:line="277" w:lineRule="auto"/>
        <w:tabs>
          <w:tab w:leader="none" w:pos="1625"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Registration Statement (including any and all required post-effective amendments thereto) will have become effective under the Act and will comply with all applicable laws;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b w:val="1"/>
          <w:bCs w:val="1"/>
          <w:color w:val="4A4A4A"/>
        </w:rPr>
        <w:t>Greenberg Traurig, LLP | Attorneys at Law</w:t>
      </w:r>
    </w:p>
    <w:p>
      <w:pPr>
        <w:spacing w:after="0" w:line="300" w:lineRule="exact"/>
        <w:rPr>
          <w:sz w:val="20"/>
          <w:szCs w:val="20"/>
          <w:color w:val="auto"/>
        </w:rPr>
      </w:pPr>
    </w:p>
    <w:p>
      <w:pPr>
        <w:spacing w:after="0"/>
        <w:rPr>
          <w:sz w:val="20"/>
          <w:szCs w:val="20"/>
          <w:color w:val="auto"/>
        </w:rPr>
      </w:pPr>
      <w:r>
        <w:rPr>
          <w:rFonts w:ascii="Arial" w:cs="Arial" w:eastAsia="Arial" w:hAnsi="Arial"/>
          <w:sz w:val="19"/>
          <w:szCs w:val="19"/>
          <w:color w:val="auto"/>
        </w:rPr>
        <w:t>One International Place | Suite 2000 | Boston, Massachusetts 02110 | T +1 617.310.6000 | F +1 617.310.6001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128270</wp:posOffset>
            </wp:positionV>
            <wp:extent cx="720407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3">
                      <a:extLst>
                        <a:ext uri="{28A0092B-C50C-407E-A947-70E740481C1C}"/>
                      </a:extLst>
                    </a:blip>
                    <a:srcRect/>
                    <a:stretch>
                      <a:fillRect/>
                    </a:stretch>
                  </pic:blipFill>
                  <pic:spPr bwMode="auto">
                    <a:xfrm>
                      <a:off x="0" y="0"/>
                      <a:ext cx="720407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413385</wp:posOffset>
            </wp:positionV>
            <wp:extent cx="7164705"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4">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585" w:right="31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7"/>
          <w:szCs w:val="17"/>
          <w:color w:val="auto"/>
        </w:rPr>
        <w:t>June 4, 2020</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Page 2</w:t>
      </w:r>
    </w:p>
    <w:p>
      <w:pPr>
        <w:spacing w:after="0" w:line="287" w:lineRule="exact"/>
        <w:rPr>
          <w:sz w:val="20"/>
          <w:szCs w:val="20"/>
          <w:color w:val="auto"/>
        </w:rPr>
      </w:pPr>
    </w:p>
    <w:p>
      <w:pPr>
        <w:jc w:val="both"/>
        <w:ind w:right="20" w:firstLine="860"/>
        <w:spacing w:after="0" w:line="261" w:lineRule="auto"/>
        <w:tabs>
          <w:tab w:leader="none" w:pos="1635"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Registration Statement (including any and all required post-effective amendments thereto) will be effective under the Act and will comply with all applicable laws at the time the Securities are offered or sold as contemplated by the Registration Statement (including any and all required post-effective amendments thereto), the Prospectus and the applicable Prospectus Supplement(s);</w:t>
      </w:r>
    </w:p>
    <w:p>
      <w:pPr>
        <w:spacing w:after="0" w:line="153" w:lineRule="exact"/>
        <w:rPr>
          <w:rFonts w:ascii="Arial" w:cs="Arial" w:eastAsia="Arial" w:hAnsi="Arial"/>
          <w:sz w:val="17"/>
          <w:szCs w:val="17"/>
          <w:color w:val="auto"/>
        </w:rPr>
      </w:pPr>
    </w:p>
    <w:p>
      <w:pPr>
        <w:ind w:right="20" w:firstLine="860"/>
        <w:spacing w:after="0" w:line="277" w:lineRule="auto"/>
        <w:tabs>
          <w:tab w:leader="none" w:pos="1625" w:val="left"/>
        </w:tabs>
        <w:numPr>
          <w:ilvl w:val="0"/>
          <w:numId w:val="81"/>
        </w:numPr>
        <w:rPr>
          <w:rFonts w:ascii="Arial" w:cs="Arial" w:eastAsia="Arial" w:hAnsi="Arial"/>
          <w:sz w:val="17"/>
          <w:szCs w:val="17"/>
          <w:color w:val="auto"/>
        </w:rPr>
      </w:pPr>
      <w:r>
        <w:rPr>
          <w:rFonts w:ascii="Arial" w:cs="Arial" w:eastAsia="Arial" w:hAnsi="Arial"/>
          <w:sz w:val="17"/>
          <w:szCs w:val="17"/>
          <w:color w:val="auto"/>
        </w:rPr>
        <w:t>no stop order suspending the effectiveness of the Registration Statement (including any and all required post-effective amendments thereto) will have been issued and remain in effect;</w:t>
      </w:r>
    </w:p>
    <w:p>
      <w:pPr>
        <w:spacing w:after="0" w:line="139" w:lineRule="exact"/>
        <w:rPr>
          <w:rFonts w:ascii="Arial" w:cs="Arial" w:eastAsia="Arial" w:hAnsi="Arial"/>
          <w:sz w:val="17"/>
          <w:szCs w:val="17"/>
          <w:color w:val="auto"/>
        </w:rPr>
      </w:pPr>
    </w:p>
    <w:p>
      <w:pPr>
        <w:ind w:right="20" w:firstLine="860"/>
        <w:spacing w:after="0" w:line="277" w:lineRule="auto"/>
        <w:tabs>
          <w:tab w:leader="none" w:pos="1635" w:val="left"/>
        </w:tabs>
        <w:numPr>
          <w:ilvl w:val="0"/>
          <w:numId w:val="81"/>
        </w:numPr>
        <w:rPr>
          <w:rFonts w:ascii="Arial" w:cs="Arial" w:eastAsia="Arial" w:hAnsi="Arial"/>
          <w:sz w:val="17"/>
          <w:szCs w:val="17"/>
          <w:color w:val="auto"/>
        </w:rPr>
      </w:pPr>
      <w:r>
        <w:rPr>
          <w:rFonts w:ascii="Arial" w:cs="Arial" w:eastAsia="Arial" w:hAnsi="Arial"/>
          <w:sz w:val="17"/>
          <w:szCs w:val="17"/>
          <w:color w:val="auto"/>
        </w:rPr>
        <w:t>a Prospectus Supplement describing the Securities offered thereby and the offering thereof and complying with all applicable laws will have been prepared and filed with the Commission;</w:t>
      </w:r>
    </w:p>
    <w:p>
      <w:pPr>
        <w:spacing w:after="0" w:line="139" w:lineRule="exact"/>
        <w:rPr>
          <w:rFonts w:ascii="Arial" w:cs="Arial" w:eastAsia="Arial" w:hAnsi="Arial"/>
          <w:sz w:val="17"/>
          <w:szCs w:val="17"/>
          <w:color w:val="auto"/>
        </w:rPr>
      </w:pPr>
    </w:p>
    <w:p>
      <w:pPr>
        <w:jc w:val="both"/>
        <w:ind w:right="20" w:firstLine="860"/>
        <w:spacing w:after="0" w:line="346" w:lineRule="auto"/>
        <w:tabs>
          <w:tab w:leader="none" w:pos="1625"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Securities will be offered and sold in the form and with the terms set forth in the Registration Statement (including any and all required post-effective amendments thereto), the Prospectus and the applicable Prospectus Supplement(s) and the organizational documents of the Company, as applicable;</w:t>
      </w:r>
    </w:p>
    <w:p>
      <w:pPr>
        <w:spacing w:after="0" w:line="93" w:lineRule="exact"/>
        <w:rPr>
          <w:rFonts w:ascii="Arial" w:cs="Arial" w:eastAsia="Arial" w:hAnsi="Arial"/>
          <w:sz w:val="15"/>
          <w:szCs w:val="15"/>
          <w:color w:val="auto"/>
        </w:rPr>
      </w:pPr>
    </w:p>
    <w:p>
      <w:pPr>
        <w:ind w:firstLine="860"/>
        <w:spacing w:after="0" w:line="309" w:lineRule="auto"/>
        <w:tabs>
          <w:tab w:leader="none" w:pos="1606"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Securities will be offered and sold in compliance with all applicable federal and state securities laws and in the manner stated in the Registration Statement (including any and all required post-effective amendments thereto), the Prospectus and the applicable Prospectus Supplement(s);</w:t>
      </w:r>
    </w:p>
    <w:p>
      <w:pPr>
        <w:spacing w:after="0" w:line="116" w:lineRule="exact"/>
        <w:rPr>
          <w:rFonts w:ascii="Arial" w:cs="Arial" w:eastAsia="Arial" w:hAnsi="Arial"/>
          <w:sz w:val="16"/>
          <w:szCs w:val="16"/>
          <w:color w:val="auto"/>
        </w:rPr>
      </w:pPr>
    </w:p>
    <w:p>
      <w:pPr>
        <w:jc w:val="both"/>
        <w:ind w:firstLine="860"/>
        <w:spacing w:after="0" w:line="261" w:lineRule="auto"/>
        <w:tabs>
          <w:tab w:leader="none" w:pos="1635"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Indenture, as executed and delivered, will comply in all applicable respects with the Trust Indenture Act of 1939 (the “Trust Indenture Act”) and the rules and regulations promulgated thereunder, and the Indenture will have been duly qualified under the Trust Indenture Act prior to the offering and sale of Debt Securities;</w:t>
      </w:r>
    </w:p>
    <w:p>
      <w:pPr>
        <w:spacing w:after="0" w:line="153" w:lineRule="exact"/>
        <w:rPr>
          <w:rFonts w:ascii="Arial" w:cs="Arial" w:eastAsia="Arial" w:hAnsi="Arial"/>
          <w:sz w:val="17"/>
          <w:szCs w:val="17"/>
          <w:color w:val="auto"/>
        </w:rPr>
      </w:pPr>
    </w:p>
    <w:p>
      <w:pPr>
        <w:ind w:right="20" w:firstLine="860"/>
        <w:spacing w:after="0" w:line="309" w:lineRule="auto"/>
        <w:tabs>
          <w:tab w:leader="none" w:pos="1635"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Securities offered and sold and the terms of the Indenture, as executed and delivered, do not and will not violate any applicable law or the organizational documents of the Company or result in a default under or breach of any agreement or instrument binding upon the Company;</w:t>
      </w:r>
    </w:p>
    <w:p>
      <w:pPr>
        <w:spacing w:after="0" w:line="116" w:lineRule="exact"/>
        <w:rPr>
          <w:rFonts w:ascii="Arial" w:cs="Arial" w:eastAsia="Arial" w:hAnsi="Arial"/>
          <w:sz w:val="16"/>
          <w:szCs w:val="16"/>
          <w:color w:val="auto"/>
        </w:rPr>
      </w:pPr>
    </w:p>
    <w:p>
      <w:pPr>
        <w:ind w:right="20" w:firstLine="860"/>
        <w:spacing w:after="0" w:line="346" w:lineRule="auto"/>
        <w:tabs>
          <w:tab w:leader="none" w:pos="1596"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Company will have obtained any and all legally required consents, approvals, authorizations and other orders of the Commission and any and all other regulatory authorities and other third parties necessary to offer and sell the Securities being offered and to execute and deliver the Indenture;</w:t>
      </w:r>
    </w:p>
    <w:p>
      <w:pPr>
        <w:spacing w:after="0" w:line="93" w:lineRule="exact"/>
        <w:rPr>
          <w:rFonts w:ascii="Arial" w:cs="Arial" w:eastAsia="Arial" w:hAnsi="Arial"/>
          <w:sz w:val="15"/>
          <w:szCs w:val="15"/>
          <w:color w:val="auto"/>
        </w:rPr>
      </w:pPr>
    </w:p>
    <w:p>
      <w:pPr>
        <w:ind w:right="20" w:firstLine="860"/>
        <w:spacing w:after="0" w:line="309" w:lineRule="auto"/>
        <w:tabs>
          <w:tab w:leader="none" w:pos="1596"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Securities offered and sold and the terms of the Indenture, as executed and delivered, comply with all requirements and restrictions, if any, applicable to the Company, whether imposed by any court or governmental or regulatory body having jurisdiction over the Company;</w:t>
      </w:r>
    </w:p>
    <w:p>
      <w:pPr>
        <w:spacing w:after="0" w:line="116" w:lineRule="exact"/>
        <w:rPr>
          <w:rFonts w:ascii="Arial" w:cs="Arial" w:eastAsia="Arial" w:hAnsi="Arial"/>
          <w:sz w:val="16"/>
          <w:szCs w:val="16"/>
          <w:color w:val="auto"/>
        </w:rPr>
      </w:pPr>
    </w:p>
    <w:p>
      <w:pPr>
        <w:ind w:firstLine="860"/>
        <w:spacing w:after="0" w:line="277" w:lineRule="auto"/>
        <w:tabs>
          <w:tab w:leader="none" w:pos="1635" w:val="left"/>
        </w:tabs>
        <w:numPr>
          <w:ilvl w:val="0"/>
          <w:numId w:val="81"/>
        </w:numPr>
        <w:rPr>
          <w:rFonts w:ascii="Arial" w:cs="Arial" w:eastAsia="Arial" w:hAnsi="Arial"/>
          <w:sz w:val="17"/>
          <w:szCs w:val="17"/>
          <w:color w:val="auto"/>
        </w:rPr>
      </w:pPr>
      <w:r>
        <w:rPr>
          <w:rFonts w:ascii="Arial" w:cs="Arial" w:eastAsia="Arial" w:hAnsi="Arial"/>
          <w:sz w:val="17"/>
          <w:szCs w:val="17"/>
          <w:color w:val="auto"/>
        </w:rPr>
        <w:t>a definitive purchase, underwriting, sales or similar agreement (each a “Purchase Agreement”) with respect to any Securities offered and sold will have been duly authorized and validly executed and delivered by the Company and the other parties thereto; and</w:t>
      </w:r>
    </w:p>
    <w:p>
      <w:pPr>
        <w:spacing w:after="0" w:line="139" w:lineRule="exact"/>
        <w:rPr>
          <w:rFonts w:ascii="Arial" w:cs="Arial" w:eastAsia="Arial" w:hAnsi="Arial"/>
          <w:sz w:val="17"/>
          <w:szCs w:val="17"/>
          <w:color w:val="auto"/>
        </w:rPr>
      </w:pPr>
    </w:p>
    <w:p>
      <w:pPr>
        <w:ind w:right="20" w:firstLine="860"/>
        <w:spacing w:after="0" w:line="277" w:lineRule="auto"/>
        <w:tabs>
          <w:tab w:leader="none" w:pos="1596" w:val="left"/>
        </w:tabs>
        <w:numPr>
          <w:ilvl w:val="0"/>
          <w:numId w:val="81"/>
        </w:numPr>
        <w:rPr>
          <w:rFonts w:ascii="Arial" w:cs="Arial" w:eastAsia="Arial" w:hAnsi="Arial"/>
          <w:sz w:val="17"/>
          <w:szCs w:val="17"/>
          <w:color w:val="auto"/>
        </w:rPr>
      </w:pPr>
      <w:r>
        <w:rPr>
          <w:rFonts w:ascii="Arial" w:cs="Arial" w:eastAsia="Arial" w:hAnsi="Arial"/>
          <w:sz w:val="17"/>
          <w:szCs w:val="17"/>
          <w:color w:val="auto"/>
        </w:rPr>
        <w:t>any Securities or other securities issuable upon conversion, exchange or exercise of any Security being offered and sold will be duly authorized, created and, if appropriate, reserved for issuance upon such conversion, exchange or exercise.</w:t>
      </w:r>
    </w:p>
    <w:p>
      <w:pPr>
        <w:spacing w:after="0" w:line="139" w:lineRule="exact"/>
        <w:rPr>
          <w:sz w:val="20"/>
          <w:szCs w:val="20"/>
          <w:color w:val="auto"/>
        </w:rPr>
      </w:pPr>
    </w:p>
    <w:p>
      <w:pPr>
        <w:jc w:val="both"/>
        <w:ind w:right="20"/>
        <w:spacing w:after="0" w:line="256" w:lineRule="auto"/>
        <w:rPr>
          <w:sz w:val="20"/>
          <w:szCs w:val="20"/>
          <w:color w:val="auto"/>
        </w:rPr>
      </w:pPr>
      <w:r>
        <w:rPr>
          <w:rFonts w:ascii="Arial" w:cs="Arial" w:eastAsia="Arial" w:hAnsi="Arial"/>
          <w:sz w:val="17"/>
          <w:szCs w:val="17"/>
          <w:color w:val="auto"/>
        </w:rPr>
        <w:t>Our opinions expressed in paragraphs 3, 4, 5, 6, 7 and 8 below are subject to the qualifications that we express no opinion as to the applicability of, compliance with or effect of: (i) any bankruptcy, insolvency, reorganization, preference, fraudulent conveyance, fraudulent transfer, moratorium or other similar laws relating to or affecting the rights and remedies of creditors generally (including, without limitation, Sections 547 and 548 of the United States Bankruptcy Code and Article 10 of the New York Debtor and Creditor</w:t>
      </w:r>
    </w:p>
    <w:p>
      <w:pPr>
        <w:spacing w:after="0" w:line="248" w:lineRule="exact"/>
        <w:rPr>
          <w:sz w:val="20"/>
          <w:szCs w:val="20"/>
          <w:color w:val="auto"/>
        </w:rPr>
      </w:pPr>
    </w:p>
    <w:p>
      <w:pPr>
        <w:spacing w:after="0"/>
        <w:rPr>
          <w:sz w:val="20"/>
          <w:szCs w:val="20"/>
          <w:color w:val="auto"/>
        </w:rPr>
      </w:pPr>
      <w:r>
        <w:rPr>
          <w:rFonts w:ascii="Arial" w:cs="Arial" w:eastAsia="Arial" w:hAnsi="Arial"/>
          <w:sz w:val="13"/>
          <w:szCs w:val="13"/>
          <w:b w:val="1"/>
          <w:bCs w:val="1"/>
          <w:color w:val="4A4A4A"/>
        </w:rPr>
        <w:t>Greenberg Traurig, LLP | Attorneys at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412750</wp:posOffset>
            </wp:positionV>
            <wp:extent cx="720407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5">
                      <a:extLst>
                        <a:ext uri="{28A0092B-C50C-407E-A947-70E740481C1C}"/>
                      </a:extLst>
                    </a:blip>
                    <a:srcRect/>
                    <a:stretch>
                      <a:fillRect/>
                    </a:stretch>
                  </pic:blipFill>
                  <pic:spPr bwMode="auto">
                    <a:xfrm>
                      <a:off x="0" y="0"/>
                      <a:ext cx="720407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697865</wp:posOffset>
            </wp:positionV>
            <wp:extent cx="7164705"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6">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26" w:right="319" w:bottom="1440" w:gutter="0" w:footer="0" w:header="0"/>
        </w:sectPr>
      </w:pPr>
    </w:p>
    <w:bookmarkStart w:id="88" w:name="page89"/>
    <w:bookmarkEnd w:id="88"/>
    <w:p>
      <w:pPr>
        <w:spacing w:after="0"/>
        <w:rPr>
          <w:sz w:val="20"/>
          <w:szCs w:val="20"/>
          <w:color w:val="auto"/>
        </w:rPr>
      </w:pPr>
      <w:r>
        <w:rPr>
          <w:rFonts w:ascii="Arial" w:cs="Arial" w:eastAsia="Arial" w:hAnsi="Arial"/>
          <w:sz w:val="17"/>
          <w:szCs w:val="17"/>
          <w:color w:val="auto"/>
        </w:rPr>
        <w:t>June 4, 2020</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Page 3</w:t>
      </w:r>
    </w:p>
    <w:p>
      <w:pPr>
        <w:spacing w:after="0" w:line="287" w:lineRule="exact"/>
        <w:rPr>
          <w:sz w:val="20"/>
          <w:szCs w:val="20"/>
          <w:color w:val="auto"/>
        </w:rPr>
      </w:pPr>
    </w:p>
    <w:p>
      <w:pPr>
        <w:jc w:val="both"/>
        <w:ind w:right="20"/>
        <w:spacing w:after="0" w:line="261" w:lineRule="auto"/>
        <w:rPr>
          <w:sz w:val="20"/>
          <w:szCs w:val="20"/>
          <w:color w:val="auto"/>
        </w:rPr>
      </w:pPr>
      <w:r>
        <w:rPr>
          <w:rFonts w:ascii="Arial" w:cs="Arial" w:eastAsia="Arial" w:hAnsi="Arial"/>
          <w:sz w:val="17"/>
          <w:szCs w:val="17"/>
          <w:color w:val="auto"/>
        </w:rPr>
        <w:t>Law); (ii) general principles of equity, whether considered in a proceeding in equity or at law (including the possible unavailability of specific performance or injunctive relief), concepts of materiality, reasonableness, good faith and fair dealing, and the discretion of the court before which a proceeding is brought; or (iii) public policy considerations that may limit the rights of parties to obtain certain remedies.</w:t>
      </w:r>
    </w:p>
    <w:p>
      <w:pPr>
        <w:spacing w:after="0" w:line="154"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We express no opinion as to (i) any provision to the extent it requires any party to indemnify any other person against loss in obtaining the currency due following a court judgment rendered in another currency, (ii) any provision providing for the indemnification of or contribution to a party with respect to a liability where such indemnification or contribution is contrary to public policy, (iii) any provision for liquidated damages, default interest, late charges, monetary penalties, prepayment or make-whole premiums or other economic remedies to the extent such provisions are deemed to constitute a penalty, (iv) consents to, or restrictions upon, governing law, jurisdiction, venue, arbitration, remedies or judicial relief, (v) any provision requiring the payment of attorneys’ fees, where such payment is contrary to law or public policy, (vi) any provision permitting, upon acceleration of any Debt Security, collection of that portion of the stated principal amount thereof which might be determined to constitute unearned interest thereon, (vii) any provision requiring the payment of interest on interest, (viii) the creation, validity, attachment, perfection, or priority of any lien or security interest, (ix) advance waivers of claims, defenses, rights granted by law, or notice, opportunity for hearing, evidentiary requirements, statutes of limitation, trial by jury or at law, or other procedural rights, (x) waivers of broadly or vaguely stated rights, (xi) provisions for exclusivity, election or cumulation of rights or remedies, (xii) provisions authorizing or validating conclusive or discretionary determinations, (xiii) grants of setoff rights, (xiv) proxies, powers and trusts, (xv) provisions prohibiting, restricting, or requiring consent to assignment or transfer of any right or property, (xvi) provisions purporting to make a guarantor primarily liable rather than as a surety, (xvii) provisions purporting to waive modifications of any guaranteed obligation to the extent such modification constitutes a novation, (xviii) any provision to the extent it requires that a claim with respect to a security denominated in other than U.S. dollars (or a judgment in respect of such a claim) be converted into U.S. dollars at a rate of exchange at a particular date, to the extent applicable law otherwise provides, (xiv) compliance with any usury laws, (xx) the severability, if invalid, of provisions to the foregoing effect, (xxi) the securities or “Blue Sky” laws of any state to the offer or sale of the Securities and (xxii) the antifraud provisions of the securities or other laws of any jurisdiction.</w:t>
      </w:r>
    </w:p>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To the extent that the obligations of the Company under Debt Securities may be dependent upon such matters, we have assumed for purposes, with your consent, that (i) the Trustee is duly organized, validly existing and in good standing under the laws of its jurisdiction of organization, (ii) the Trustee has and will have the requisite organizational and legal power and authority to execute and deliver and to perform its obligations under the Indenture, (iii) the Trustee is and will be duly qualified to engage in the activities contemplated by the Indenture, (iv) the Indenture has been duly authorized, executed and delivered by the Trustee and constitutes and will constitute the legally valid and binding obligations of the Trustee, enforceable against the Trustee in accordance with its terms, and (v) the Trustee is and will be in compliance, generally and with respect to acting as a trustee under the Indenture, with all applicable laws and regulations.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have also assumed, with your consent, that: (i) the Debt Securities, the Indenture and any related supplemental indenture or resolutions of the Company’s board of directors or officers’ certificate establishing the terms thereof will be governed by the internal laws of the State of New York; and (ii) the Depositary Shares and any related deposit agreement, the Warrants and any related warrant agreement, the Purchase Contracts and any related purchase agreement, the Rights and any related rights agent agreement, and the Units and any related unit agreement and the Subscription Rights and any related rights agreement (collectively with the documents set forth in (i) above, the “Documents”) will be governed by the internal</w:t>
      </w:r>
    </w:p>
    <w:p>
      <w:pPr>
        <w:spacing w:after="0" w:line="248" w:lineRule="exact"/>
        <w:rPr>
          <w:sz w:val="20"/>
          <w:szCs w:val="20"/>
          <w:color w:val="auto"/>
        </w:rPr>
      </w:pPr>
    </w:p>
    <w:p>
      <w:pPr>
        <w:spacing w:after="0"/>
        <w:rPr>
          <w:sz w:val="20"/>
          <w:szCs w:val="20"/>
          <w:color w:val="auto"/>
        </w:rPr>
      </w:pPr>
      <w:r>
        <w:rPr>
          <w:rFonts w:ascii="Arial" w:cs="Arial" w:eastAsia="Arial" w:hAnsi="Arial"/>
          <w:sz w:val="13"/>
          <w:szCs w:val="13"/>
          <w:b w:val="1"/>
          <w:bCs w:val="1"/>
          <w:color w:val="4A4A4A"/>
        </w:rPr>
        <w:t>Greenberg Traurig, LLP | Attorneys at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412750</wp:posOffset>
            </wp:positionV>
            <wp:extent cx="720407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7">
                      <a:extLst>
                        <a:ext uri="{28A0092B-C50C-407E-A947-70E740481C1C}"/>
                      </a:extLst>
                    </a:blip>
                    <a:srcRect/>
                    <a:stretch>
                      <a:fillRect/>
                    </a:stretch>
                  </pic:blipFill>
                  <pic:spPr bwMode="auto">
                    <a:xfrm>
                      <a:off x="0" y="0"/>
                      <a:ext cx="720407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697865</wp:posOffset>
            </wp:positionV>
            <wp:extent cx="7164705"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8">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26" w:right="319" w:bottom="1440" w:gutter="0" w:footer="0" w:header="0"/>
        </w:sectPr>
      </w:pPr>
    </w:p>
    <w:bookmarkStart w:id="89" w:name="page90"/>
    <w:bookmarkEnd w:id="89"/>
    <w:p>
      <w:pPr>
        <w:ind w:left="5"/>
        <w:spacing w:after="0"/>
        <w:rPr>
          <w:sz w:val="20"/>
          <w:szCs w:val="20"/>
          <w:color w:val="auto"/>
        </w:rPr>
      </w:pPr>
      <w:r>
        <w:rPr>
          <w:rFonts w:ascii="Arial" w:cs="Arial" w:eastAsia="Arial" w:hAnsi="Arial"/>
          <w:sz w:val="17"/>
          <w:szCs w:val="17"/>
          <w:color w:val="auto"/>
        </w:rPr>
        <w:t>June 4, 2020</w:t>
      </w:r>
    </w:p>
    <w:p>
      <w:pPr>
        <w:spacing w:after="0" w:line="19" w:lineRule="exact"/>
        <w:rPr>
          <w:sz w:val="20"/>
          <w:szCs w:val="20"/>
          <w:color w:val="auto"/>
        </w:rPr>
      </w:pPr>
    </w:p>
    <w:p>
      <w:pPr>
        <w:ind w:left="5"/>
        <w:spacing w:after="0"/>
        <w:rPr>
          <w:sz w:val="20"/>
          <w:szCs w:val="20"/>
          <w:color w:val="auto"/>
        </w:rPr>
      </w:pPr>
      <w:r>
        <w:rPr>
          <w:rFonts w:ascii="Arial" w:cs="Arial" w:eastAsia="Arial" w:hAnsi="Arial"/>
          <w:sz w:val="17"/>
          <w:szCs w:val="17"/>
          <w:color w:val="auto"/>
        </w:rPr>
        <w:t>Page 4</w:t>
      </w:r>
    </w:p>
    <w:p>
      <w:pPr>
        <w:spacing w:after="0" w:line="287" w:lineRule="exact"/>
        <w:rPr>
          <w:sz w:val="20"/>
          <w:szCs w:val="20"/>
          <w:color w:val="auto"/>
        </w:rPr>
      </w:pPr>
    </w:p>
    <w:p>
      <w:pPr>
        <w:jc w:val="both"/>
        <w:ind w:left="5"/>
        <w:spacing w:after="0" w:line="285" w:lineRule="auto"/>
        <w:rPr>
          <w:sz w:val="20"/>
          <w:szCs w:val="20"/>
          <w:color w:val="auto"/>
        </w:rPr>
      </w:pPr>
      <w:r>
        <w:rPr>
          <w:rFonts w:ascii="Arial" w:cs="Arial" w:eastAsia="Arial" w:hAnsi="Arial"/>
          <w:sz w:val="15"/>
          <w:szCs w:val="15"/>
          <w:color w:val="auto"/>
        </w:rPr>
        <w:t>laws of The Commonwealth of Massachusetts; (iii) each of the Documents will be duly authorized, executed and delivered by the parties thereto; (iv) each of the Documents will constitute legally valid and binding obligations of the parties thereto other than the Company, enforceable against each of them in accordance with their respective terms; and (v) the status of each of the Documents as legally valid and binding obligations of the parties thereto will not be affected by any</w:t>
      </w:r>
    </w:p>
    <w:p>
      <w:pPr>
        <w:spacing w:after="0" w:line="2" w:lineRule="exact"/>
        <w:rPr>
          <w:sz w:val="20"/>
          <w:szCs w:val="20"/>
          <w:color w:val="auto"/>
        </w:rPr>
      </w:pPr>
    </w:p>
    <w:p>
      <w:pPr>
        <w:jc w:val="both"/>
        <w:ind w:left="5" w:hanging="5"/>
        <w:spacing w:after="0" w:line="253" w:lineRule="auto"/>
        <w:tabs>
          <w:tab w:leader="none" w:pos="247" w:val="left"/>
        </w:tabs>
        <w:numPr>
          <w:ilvl w:val="0"/>
          <w:numId w:val="82"/>
        </w:numPr>
        <w:rPr>
          <w:rFonts w:ascii="Arial" w:cs="Arial" w:eastAsia="Arial" w:hAnsi="Arial"/>
          <w:sz w:val="17"/>
          <w:szCs w:val="17"/>
          <w:color w:val="auto"/>
        </w:rPr>
      </w:pPr>
      <w:r>
        <w:rPr>
          <w:rFonts w:ascii="Arial" w:cs="Arial" w:eastAsia="Arial" w:hAnsi="Arial"/>
          <w:sz w:val="17"/>
          <w:szCs w:val="17"/>
          <w:color w:val="auto"/>
        </w:rPr>
        <w:t>breaches of, or defaults under, any agreements or instruments, (b) violations of any statutes, rules, regulations or court or governmental orders, or (c) failures to obtain required consents, approvals or authorizations from, or to make required registrations, declarations or filings with, any governmental authorities or other third parties.</w:t>
      </w:r>
    </w:p>
    <w:p>
      <w:pPr>
        <w:spacing w:after="0" w:line="159" w:lineRule="exact"/>
        <w:rPr>
          <w:sz w:val="20"/>
          <w:szCs w:val="20"/>
          <w:color w:val="auto"/>
        </w:rPr>
      </w:pPr>
    </w:p>
    <w:p>
      <w:pPr>
        <w:jc w:val="both"/>
        <w:ind w:left="5"/>
        <w:spacing w:after="0" w:line="273" w:lineRule="auto"/>
        <w:rPr>
          <w:sz w:val="20"/>
          <w:szCs w:val="20"/>
          <w:color w:val="auto"/>
        </w:rPr>
      </w:pPr>
      <w:r>
        <w:rPr>
          <w:rFonts w:ascii="Arial" w:cs="Arial" w:eastAsia="Arial" w:hAnsi="Arial"/>
          <w:sz w:val="16"/>
          <w:szCs w:val="16"/>
          <w:color w:val="auto"/>
        </w:rPr>
        <w:t>We are opining herein only as to the federal laws of the United States, the internal laws of the State of New York (solely with respect to whether or not the Debt Securities are the valid and binding obligations of the Company), the internal laws of The Commonwealth of Massachusetts, and the Delaware General Corporation Law (including the applicable provisions of the Delaware Constitution and reported Delaware judicial decisions interpreting such law and such provisions), in each case as in effect on the date of this opinion, and we express no opinion with respect to the laws of any other jurisdiction or, in the case of Delaware, any other laws, or as to any matters of municipal law or the laws of any other local agencies within any state.</w:t>
      </w:r>
    </w:p>
    <w:p>
      <w:pPr>
        <w:spacing w:after="0" w:line="147" w:lineRule="exact"/>
        <w:rPr>
          <w:sz w:val="20"/>
          <w:szCs w:val="20"/>
          <w:color w:val="auto"/>
        </w:rPr>
      </w:pPr>
    </w:p>
    <w:p>
      <w:pPr>
        <w:ind w:left="5"/>
        <w:spacing w:after="0"/>
        <w:rPr>
          <w:sz w:val="20"/>
          <w:szCs w:val="20"/>
          <w:color w:val="auto"/>
        </w:rPr>
      </w:pPr>
      <w:r>
        <w:rPr>
          <w:rFonts w:ascii="Arial" w:cs="Arial" w:eastAsia="Arial" w:hAnsi="Arial"/>
          <w:sz w:val="17"/>
          <w:szCs w:val="17"/>
          <w:color w:val="auto"/>
        </w:rPr>
        <w:t>Subject to the foregoing and the other matters set forth herein, it is our opinion that, as of the date hereof:</w:t>
      </w:r>
    </w:p>
    <w:p>
      <w:pPr>
        <w:spacing w:after="0" w:line="194" w:lineRule="exact"/>
        <w:rPr>
          <w:sz w:val="20"/>
          <w:szCs w:val="20"/>
          <w:color w:val="auto"/>
        </w:rPr>
      </w:pPr>
    </w:p>
    <w:p>
      <w:pPr>
        <w:jc w:val="both"/>
        <w:ind w:left="5" w:right="20" w:firstLine="860"/>
        <w:spacing w:after="0" w:line="252" w:lineRule="auto"/>
        <w:tabs>
          <w:tab w:leader="none" w:pos="1568"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Company has the authority pursuant to its Restated Certificate of Incorporation, as amended (the “Charter”), to issue up to an aggregate of 100,000,000 shares of Common Stock. Upon adoption by the board of directors of the Company of a resolution in form and content as required by applicable law duly authorizing the issuance of shares of Common Stock (with such shares, together with all shares of Common Stock previously issued or reserved for issuance and not duly and lawfully retired, not exceeding an aggregate of 100,000,000 shares), and upon issuance and delivery of and payment of legal consideration in excess of the par value thereof in accordance with the applicable Purchase Agreement and all applicable law, such shares of Common Stock will be validly issued, fully paid and nonassessable.</w:t>
      </w:r>
    </w:p>
    <w:p>
      <w:pPr>
        <w:spacing w:after="0" w:line="162" w:lineRule="exact"/>
        <w:rPr>
          <w:rFonts w:ascii="Arial" w:cs="Arial" w:eastAsia="Arial" w:hAnsi="Arial"/>
          <w:sz w:val="17"/>
          <w:szCs w:val="17"/>
          <w:color w:val="auto"/>
        </w:rPr>
      </w:pPr>
    </w:p>
    <w:p>
      <w:pPr>
        <w:jc w:val="both"/>
        <w:ind w:left="5" w:firstLine="860"/>
        <w:spacing w:after="0" w:line="268" w:lineRule="auto"/>
        <w:tabs>
          <w:tab w:leader="none" w:pos="1568"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Company has the authority pursuant to the Charter to issue up to an aggregate of 1,000,000 shares of Preferred Stock. When a series of Preferred Stock has been duly established in accordance with the terms of the Charter and applicable law, and upon adoption by the board of directors of the Company of a resolution in form and content as required by applicable law duly authorizing the issuance of shares of Preferred Stock (with such shares, together with all shares of Preferred Stock previously issued, designated or reserved for issuance and not duly and lawfully retired, not exceeding an aggregate of 1,000,000 shares) and upon issuance and delivery of and payment of legal consideration in excess of the par value thereof in accordance with the applicable Purchase Agreement and all applicable law (and assuming the satisfaction of the conditions described in the applicable numbered paragraphs of this opinion letter with respect to our opinion regarding any Securities into or for which such shares of Preferred Stock may be convertible, exchangeable or redeemable), such shares of Preferred Stock will be validly issued, fully paid and nonassessable.</w:t>
      </w:r>
    </w:p>
    <w:p>
      <w:pPr>
        <w:spacing w:after="0" w:line="152" w:lineRule="exact"/>
        <w:rPr>
          <w:rFonts w:ascii="Arial" w:cs="Arial" w:eastAsia="Arial" w:hAnsi="Arial"/>
          <w:sz w:val="16"/>
          <w:szCs w:val="16"/>
          <w:color w:val="auto"/>
        </w:rPr>
      </w:pPr>
    </w:p>
    <w:p>
      <w:pPr>
        <w:jc w:val="both"/>
        <w:ind w:left="5" w:firstLine="860"/>
        <w:spacing w:after="0" w:line="273" w:lineRule="auto"/>
        <w:tabs>
          <w:tab w:leader="none" w:pos="1568" w:val="left"/>
        </w:tabs>
        <w:numPr>
          <w:ilvl w:val="0"/>
          <w:numId w:val="83"/>
        </w:numPr>
        <w:rPr>
          <w:rFonts w:ascii="Arial" w:cs="Arial" w:eastAsia="Arial" w:hAnsi="Arial"/>
          <w:sz w:val="16"/>
          <w:szCs w:val="16"/>
          <w:color w:val="auto"/>
        </w:rPr>
      </w:pPr>
      <w:r>
        <w:rPr>
          <w:rFonts w:ascii="Arial" w:cs="Arial" w:eastAsia="Arial" w:hAnsi="Arial"/>
          <w:sz w:val="16"/>
          <w:szCs w:val="16"/>
          <w:color w:val="auto"/>
        </w:rPr>
        <w:t>When (a) a warrant agreement, if any, has been duly authorized by all necessary corporate action of the Company (including, without limitation, the adoption by the board of directors of the Company of a resolution in form and content as required by applicable law duly authorizing the execution and delivery of such warrant agreement) and duly executed and delivered by the Company, (b) the specific terms of a particular issuance of Warrants have been duly established in accordance with such warrant agreement, if any, and all applicable law and authorized by all necessary corporate action of the Company (including, without limitation, the adoption by the board of directors of the Company of a resolution in form and content</w:t>
      </w:r>
    </w:p>
    <w:p>
      <w:pPr>
        <w:spacing w:after="0" w:line="236" w:lineRule="exact"/>
        <w:rPr>
          <w:sz w:val="20"/>
          <w:szCs w:val="20"/>
          <w:color w:val="auto"/>
        </w:rPr>
      </w:pPr>
    </w:p>
    <w:p>
      <w:pPr>
        <w:ind w:left="5"/>
        <w:spacing w:after="0"/>
        <w:rPr>
          <w:sz w:val="20"/>
          <w:szCs w:val="20"/>
          <w:color w:val="auto"/>
        </w:rPr>
      </w:pPr>
      <w:r>
        <w:rPr>
          <w:rFonts w:ascii="Arial" w:cs="Arial" w:eastAsia="Arial" w:hAnsi="Arial"/>
          <w:sz w:val="13"/>
          <w:szCs w:val="13"/>
          <w:b w:val="1"/>
          <w:bCs w:val="1"/>
          <w:color w:val="4A4A4A"/>
        </w:rPr>
        <w:t>Greenberg Traurig, LLP | Attorneys at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412750</wp:posOffset>
            </wp:positionV>
            <wp:extent cx="720407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9">
                      <a:extLst>
                        <a:ext uri="{28A0092B-C50C-407E-A947-70E740481C1C}"/>
                      </a:extLst>
                    </a:blip>
                    <a:srcRect/>
                    <a:stretch>
                      <a:fillRect/>
                    </a:stretch>
                  </pic:blipFill>
                  <pic:spPr bwMode="auto">
                    <a:xfrm>
                      <a:off x="0" y="0"/>
                      <a:ext cx="720407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697865</wp:posOffset>
            </wp:positionV>
            <wp:extent cx="7164705"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0">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5"/>
          </w:cols>
          <w:pgMar w:left="315" w:top="326" w:right="319" w:bottom="1440" w:gutter="0" w:footer="0" w:header="0"/>
        </w:sectPr>
      </w:pPr>
    </w:p>
    <w:bookmarkStart w:id="90" w:name="page91"/>
    <w:bookmarkEnd w:id="90"/>
    <w:p>
      <w:pPr>
        <w:spacing w:after="0"/>
        <w:rPr>
          <w:sz w:val="20"/>
          <w:szCs w:val="20"/>
          <w:color w:val="auto"/>
        </w:rPr>
      </w:pPr>
      <w:r>
        <w:rPr>
          <w:rFonts w:ascii="Arial" w:cs="Arial" w:eastAsia="Arial" w:hAnsi="Arial"/>
          <w:sz w:val="17"/>
          <w:szCs w:val="17"/>
          <w:color w:val="auto"/>
        </w:rPr>
        <w:t>June 4, 2020</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Page 5</w:t>
      </w:r>
    </w:p>
    <w:p>
      <w:pPr>
        <w:spacing w:after="0" w:line="28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 required by applicable law duly authorizing the issuance and delivery of the Warrants), and (c) the Warrants have been duly executed, issued and delivered against payment therefor in accordance with such warrant agreement, if any, the applicable Purchase Agreement and all applicable law (and assuming the satisfaction of the conditions described in the applicable numbered paragraphs of this opinion letter with respect to our opinion regarding any Securities issuable upon exercise of the Warrants), such Warrants will be legally valid and binding obligations of the Company, enforceable against the Company in accordance with their terms.</w:t>
      </w:r>
    </w:p>
    <w:p>
      <w:pPr>
        <w:spacing w:after="0" w:line="159" w:lineRule="exact"/>
        <w:rPr>
          <w:sz w:val="20"/>
          <w:szCs w:val="20"/>
          <w:color w:val="auto"/>
        </w:rPr>
      </w:pPr>
    </w:p>
    <w:p>
      <w:pPr>
        <w:jc w:val="both"/>
        <w:ind w:right="20" w:firstLine="860"/>
        <w:spacing w:after="0" w:line="288" w:lineRule="auto"/>
        <w:tabs>
          <w:tab w:leader="none" w:pos="1563" w:val="left"/>
        </w:tabs>
        <w:numPr>
          <w:ilvl w:val="0"/>
          <w:numId w:val="84"/>
        </w:numPr>
        <w:rPr>
          <w:rFonts w:ascii="Arial" w:cs="Arial" w:eastAsia="Arial" w:hAnsi="Arial"/>
          <w:sz w:val="15"/>
          <w:szCs w:val="15"/>
          <w:color w:val="auto"/>
        </w:rPr>
      </w:pPr>
      <w:r>
        <w:rPr>
          <w:rFonts w:ascii="Arial" w:cs="Arial" w:eastAsia="Arial" w:hAnsi="Arial"/>
          <w:sz w:val="15"/>
          <w:szCs w:val="15"/>
          <w:color w:val="auto"/>
        </w:rPr>
        <w:t>When (a) the Indenture has been duly authorized, executed and delivered by the Company and the Trustee, and (b) the Debt Securities and any required amendment or supplement to the Indenture have been duly established in accordance with the Indenture and all applicable law by all necessary corporate action of the Company (including, without limitation, the adoption by the board of directors of the Company of a resolution in form and content as required by applicable law duly authorizing the issuance and delivery of the Debt Securities), duly authenticated by the Trustee and duly executed, issued and delivered on behalf of the Company against payment therefor in accordance with the terms and provisions of the Indenture (as so amended or supplemented), the applicable Purchase Agreement and all applicable law (and assuming the satisfaction of the conditions described in the applicable numbered paragraphs of this opinion letter with respect to our opinion regarding any Securities into or for which such Debt Securities may be convertible, exchangeable or redeemable), such Debt Securities will constitute legally valid and binding obligations of the Company, enforceable against the Company in accordance with their terms.</w:t>
      </w:r>
    </w:p>
    <w:p>
      <w:pPr>
        <w:spacing w:after="0" w:line="139" w:lineRule="exact"/>
        <w:rPr>
          <w:rFonts w:ascii="Arial" w:cs="Arial" w:eastAsia="Arial" w:hAnsi="Arial"/>
          <w:sz w:val="15"/>
          <w:szCs w:val="15"/>
          <w:color w:val="auto"/>
        </w:rPr>
      </w:pPr>
    </w:p>
    <w:p>
      <w:pPr>
        <w:jc w:val="both"/>
        <w:ind w:firstLine="860"/>
        <w:spacing w:after="0" w:line="249" w:lineRule="auto"/>
        <w:tabs>
          <w:tab w:leader="none" w:pos="1563" w:val="left"/>
        </w:tabs>
        <w:numPr>
          <w:ilvl w:val="0"/>
          <w:numId w:val="84"/>
        </w:numPr>
        <w:rPr>
          <w:rFonts w:ascii="Arial" w:cs="Arial" w:eastAsia="Arial" w:hAnsi="Arial"/>
          <w:sz w:val="17"/>
          <w:szCs w:val="17"/>
          <w:color w:val="auto"/>
        </w:rPr>
      </w:pPr>
      <w:r>
        <w:rPr>
          <w:rFonts w:ascii="Arial" w:cs="Arial" w:eastAsia="Arial" w:hAnsi="Arial"/>
          <w:sz w:val="17"/>
          <w:szCs w:val="17"/>
          <w:color w:val="auto"/>
        </w:rPr>
        <w:t>When (a) a purchase contract agreement has been duly authorized by all necessary corporate action of the Company (including, without limitation, the adoption by the board of directors of the Company of a resolution in form and content as required by applicable law duly authorizing the execution and delivery of such purchase contract agreement) and duly executed and delivered by the Company, (b) the specific terms of a particular issuance of the related Purchase Contracts have been duly established in accordance with such purchase contract agreement and all applicable law and authorized by all necessary corporate action of the Company (including, without limitation, the adoption by the board of directors of the Company of a resolution in form and content as required by applicable law duly authorizing the issuance and delivery of the Purchase Contracts), and (c) the related Purchase Contracts have been duly executed, issued and delivered against payment therefor in accordance with such purchase contract agreement, the applicable Purchase Agreement and all applicable law (and assuming the satisfaction of the conditions described in the applicable numbered paragraphs of this opinion letter with respect to our opinion regarding any Securities underlying the Purchase Contracts), such Purchase Contracts will be legally valid and binding obligations of the Company, enforceable against the Company in accordance with their terms.</w:t>
      </w:r>
    </w:p>
    <w:p>
      <w:pPr>
        <w:spacing w:after="0" w:line="169" w:lineRule="exact"/>
        <w:rPr>
          <w:rFonts w:ascii="Arial" w:cs="Arial" w:eastAsia="Arial" w:hAnsi="Arial"/>
          <w:sz w:val="17"/>
          <w:szCs w:val="17"/>
          <w:color w:val="auto"/>
        </w:rPr>
      </w:pPr>
    </w:p>
    <w:p>
      <w:pPr>
        <w:jc w:val="both"/>
        <w:ind w:firstLine="860"/>
        <w:spacing w:after="0" w:line="267" w:lineRule="auto"/>
        <w:tabs>
          <w:tab w:leader="none" w:pos="1563" w:val="left"/>
        </w:tabs>
        <w:numPr>
          <w:ilvl w:val="0"/>
          <w:numId w:val="84"/>
        </w:numPr>
        <w:rPr>
          <w:rFonts w:ascii="Arial" w:cs="Arial" w:eastAsia="Arial" w:hAnsi="Arial"/>
          <w:sz w:val="16"/>
          <w:szCs w:val="16"/>
          <w:color w:val="auto"/>
        </w:rPr>
      </w:pPr>
      <w:r>
        <w:rPr>
          <w:rFonts w:ascii="Arial" w:cs="Arial" w:eastAsia="Arial" w:hAnsi="Arial"/>
          <w:sz w:val="16"/>
          <w:szCs w:val="16"/>
          <w:color w:val="auto"/>
        </w:rPr>
        <w:t>When (a) a deposit agreement has been duly authorized by all necessary corporate action of the Company (including, without limitation, the adoption by the board of directors of the Company of a resolution in form and content as required by applicable law duly authorizing the execution and delivery of such deposit agreement) and duly executed and delivered by the Company, (b) the specific terms of a particular issuance of Depositary Shares have been duly established in accordance with such deposit agreement and all applicable law and authorized by all necessary corporate action of the Company (including, without limitation, the adoption by the board of directors of the Company of a resolution in form and content as required by applicable law duly authorizing the issuance and delivery of the Depositary Shares), (c) the shares of Preferred Stock underlying such Depositary Shares have been deposited with the depositary, and (d) the Depositary Shares have been duly executed, issued and delivered against payment therefor in accordance with such deposit agreement, the applicable Purchase Agreement and all applicable law (and assuming the satisfaction of the conditions described in the applicable numbered paragraphs this opinion letter with respect to our opinion regarding the Preferred Stock underlying the Depositary Shares),</w:t>
      </w: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b w:val="1"/>
          <w:bCs w:val="1"/>
          <w:color w:val="4A4A4A"/>
        </w:rPr>
        <w:t>Greenberg Traurig, LLP | Attorneys at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412750</wp:posOffset>
            </wp:positionV>
            <wp:extent cx="720407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1">
                      <a:extLst>
                        <a:ext uri="{28A0092B-C50C-407E-A947-70E740481C1C}"/>
                      </a:extLst>
                    </a:blip>
                    <a:srcRect/>
                    <a:stretch>
                      <a:fillRect/>
                    </a:stretch>
                  </pic:blipFill>
                  <pic:spPr bwMode="auto">
                    <a:xfrm>
                      <a:off x="0" y="0"/>
                      <a:ext cx="720407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697865</wp:posOffset>
            </wp:positionV>
            <wp:extent cx="7164705"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2">
                      <a:extLst>
                        <a:ext uri="{28A0092B-C50C-407E-A947-70E740481C1C}"/>
                      </a:extLst>
                    </a:blip>
                    <a:srcRect/>
                    <a:stretch>
                      <a:fillRect/>
                    </a:stretch>
                  </pic:blipFill>
                  <pic:spPr bwMode="auto">
                    <a:xfrm>
                      <a:off x="0" y="0"/>
                      <a:ext cx="7164705" cy="15240"/>
                    </a:xfrm>
                    <a:prstGeom prst="rect">
                      <a:avLst/>
                    </a:prstGeom>
                    <a:noFill/>
                  </pic:spPr>
                </pic:pic>
              </a:graphicData>
            </a:graphic>
          </wp:anchor>
        </w:drawing>
      </w:r>
    </w:p>
    <w:p>
      <w:pPr>
        <w:sectPr>
          <w:pgSz w:w="11900" w:h="16838" w:orient="portrait"/>
          <w:cols w:equalWidth="0" w:num="1">
            <w:col w:w="11260"/>
          </w:cols>
          <w:pgMar w:left="320" w:top="325" w:right="319" w:bottom="1440" w:gutter="0" w:footer="0" w:header="0"/>
        </w:sectPr>
      </w:pPr>
    </w:p>
    <w:bookmarkStart w:id="91" w:name="page92"/>
    <w:bookmarkEnd w:id="91"/>
    <w:p>
      <w:pPr>
        <w:spacing w:after="0"/>
        <w:rPr>
          <w:sz w:val="20"/>
          <w:szCs w:val="20"/>
          <w:color w:val="auto"/>
        </w:rPr>
      </w:pPr>
      <w:r>
        <w:rPr>
          <w:rFonts w:ascii="Arial" w:cs="Arial" w:eastAsia="Arial" w:hAnsi="Arial"/>
          <w:sz w:val="17"/>
          <w:szCs w:val="17"/>
          <w:color w:val="auto"/>
        </w:rPr>
        <w:t>June 4, 2020</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Page 6</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such Depositary Shares will be legally valid and binding obligations of the Company, enforceable against the Company in accordance with their terms.</w:t>
      </w:r>
    </w:p>
    <w:p>
      <w:pPr>
        <w:spacing w:after="0" w:line="206" w:lineRule="exact"/>
        <w:rPr>
          <w:sz w:val="20"/>
          <w:szCs w:val="20"/>
          <w:color w:val="auto"/>
        </w:rPr>
      </w:pPr>
    </w:p>
    <w:p>
      <w:pPr>
        <w:jc w:val="both"/>
        <w:ind w:firstLine="860"/>
        <w:spacing w:after="0" w:line="287" w:lineRule="auto"/>
        <w:tabs>
          <w:tab w:leader="none" w:pos="1563" w:val="left"/>
        </w:tabs>
        <w:numPr>
          <w:ilvl w:val="0"/>
          <w:numId w:val="85"/>
        </w:numPr>
        <w:rPr>
          <w:rFonts w:ascii="Arial" w:cs="Arial" w:eastAsia="Arial" w:hAnsi="Arial"/>
          <w:sz w:val="15"/>
          <w:szCs w:val="15"/>
          <w:color w:val="auto"/>
        </w:rPr>
      </w:pPr>
      <w:r>
        <w:rPr>
          <w:rFonts w:ascii="Arial" w:cs="Arial" w:eastAsia="Arial" w:hAnsi="Arial"/>
          <w:sz w:val="15"/>
          <w:szCs w:val="15"/>
          <w:color w:val="auto"/>
        </w:rPr>
        <w:t>When (a) a rights agent agreement has been duly authorized by all necessary corporate action of the Company (including, without limitation, the adoption by the board of directors of the Company of a resolution in form and content as required by applicable law duly authorizing the execution and delivery of such rights agent agreement) and duly executed and delivered by the Company, (b) the specific terms of a particular issuance of the related Rights have been duly established in accordance with such rights agent agreement and all applicable law and authorized by all necessary corporate action of the Company (including, without limitation, the adoption by the board of directors of the Company of a resolution in form and content as required by applicable law duly authorizing the issuance and delivery of the Rights), and (c) the related Rights have been duly executed, issued and delivered against payment therefor in accordance with such purchase contract agreement, the applicable Purchase Agreement and all applicable law (and assuming the satisfaction of the conditions described in the applicable numbered paragraphs of this opinion letter with respect to our opinion regarding any Securities underlying the Rights), such Rights will be legally valid and binding obligations of the Company, enforceable against the Company in accordance with their terms.</w:t>
      </w:r>
    </w:p>
    <w:p>
      <w:pPr>
        <w:spacing w:after="0" w:line="140" w:lineRule="exact"/>
        <w:rPr>
          <w:rFonts w:ascii="Arial" w:cs="Arial" w:eastAsia="Arial" w:hAnsi="Arial"/>
          <w:sz w:val="15"/>
          <w:szCs w:val="15"/>
          <w:color w:val="auto"/>
        </w:rPr>
      </w:pPr>
    </w:p>
    <w:p>
      <w:pPr>
        <w:jc w:val="both"/>
        <w:ind w:firstLine="860"/>
        <w:spacing w:after="0" w:line="250" w:lineRule="auto"/>
        <w:tabs>
          <w:tab w:leader="none" w:pos="1563" w:val="left"/>
        </w:tabs>
        <w:numPr>
          <w:ilvl w:val="0"/>
          <w:numId w:val="85"/>
        </w:numPr>
        <w:rPr>
          <w:rFonts w:ascii="Arial" w:cs="Arial" w:eastAsia="Arial" w:hAnsi="Arial"/>
          <w:sz w:val="17"/>
          <w:szCs w:val="17"/>
          <w:color w:val="auto"/>
        </w:rPr>
      </w:pPr>
      <w:r>
        <w:rPr>
          <w:rFonts w:ascii="Arial" w:cs="Arial" w:eastAsia="Arial" w:hAnsi="Arial"/>
          <w:sz w:val="17"/>
          <w:szCs w:val="17"/>
          <w:color w:val="auto"/>
        </w:rPr>
        <w:t>When (a) a unit agreement has been duly authorized by all necessary corporate action of the Company (including, without limitation, the adoption by the board of directors of the Company of a resolution duly authorizing the execution and delivery of such unit agreement) and duly executed and delivered by the Company, (b) the specific terms of a particular issuance of the related Units have been duly established in accordance with such unit agreement and all applicable law and authorized by all necessary corporate action of the Company (including, without limitation, the adoption by the board of directors of the Company of a resolution in form and content as required by applicable law duly authorizing the issuance and delivery of the Units), and such (c) Units have been duly executed, issued and delivered against payment therefor in accordance with such unit agreement, the applicable Purchase Agreement and all applicable law (and assuming the satisfaction of the conditions described in the applicable numbered paragraphs of this opinion letter with respect to our opinion regarding the Securities underlying the Units), such Units will be legally valid and binding obligations of the Company, enforceable against the Company in accordance with their terms.</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This opinion is being delivered solely for the benefit of the Company and such other persons as are entitled to rely upon it pursuant to applicable provisions of the Securities Act. This opinion may not be used, quoted, relied upon or referred to for any other purpose nor may this opinion be used, quoted, relied upon or referred to by any other person, for any purpose, without our prior written consent.</w:t>
      </w:r>
    </w:p>
    <w:p>
      <w:pPr>
        <w:spacing w:after="0" w:line="154" w:lineRule="exact"/>
        <w:rPr>
          <w:sz w:val="20"/>
          <w:szCs w:val="20"/>
          <w:color w:val="auto"/>
        </w:rPr>
      </w:pPr>
    </w:p>
    <w:p>
      <w:pPr>
        <w:jc w:val="both"/>
        <w:ind w:right="20"/>
        <w:spacing w:after="0" w:line="261" w:lineRule="auto"/>
        <w:rPr>
          <w:sz w:val="20"/>
          <w:szCs w:val="20"/>
          <w:color w:val="auto"/>
        </w:rPr>
      </w:pPr>
      <w:r>
        <w:rPr>
          <w:rFonts w:ascii="Arial" w:cs="Arial" w:eastAsia="Arial" w:hAnsi="Arial"/>
          <w:sz w:val="17"/>
          <w:szCs w:val="17"/>
          <w:color w:val="auto"/>
        </w:rPr>
        <w:t>We consent to your filing this opinion as an exhibit to the Registration Statement and to the reference to our firm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154"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Very truly yours,</w:t>
      </w:r>
    </w:p>
    <w:p>
      <w:pPr>
        <w:spacing w:after="0" w:line="289"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 GREENBERG TRAURIG, LLP</w:t>
      </w:r>
    </w:p>
    <w:p>
      <w:pPr>
        <w:spacing w:after="0" w:line="289"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GREENBERG TRAURIG, LLP</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4A4A4A"/>
        </w:rPr>
        <w:t>Greenberg Traurig, LLP | Attorneys at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412750</wp:posOffset>
            </wp:positionV>
            <wp:extent cx="720407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3">
                      <a:extLst>
                        <a:ext uri="{28A0092B-C50C-407E-A947-70E740481C1C}"/>
                      </a:extLst>
                    </a:blip>
                    <a:srcRect/>
                    <a:stretch>
                      <a:fillRect/>
                    </a:stretch>
                  </pic:blipFill>
                  <pic:spPr bwMode="auto">
                    <a:xfrm>
                      <a:off x="0" y="0"/>
                      <a:ext cx="7204075" cy="7620"/>
                    </a:xfrm>
                    <a:prstGeom prst="rect">
                      <a:avLst/>
                    </a:prstGeom>
                    <a:noFill/>
                  </pic:spPr>
                </pic:pic>
              </a:graphicData>
            </a:graphic>
          </wp:anchor>
        </w:drawing>
      </w:r>
    </w:p>
    <w:p>
      <w:pPr>
        <w:sectPr>
          <w:pgSz w:w="11900" w:h="16838" w:orient="portrait"/>
          <w:cols w:equalWidth="0" w:num="1">
            <w:col w:w="11260"/>
          </w:cols>
          <w:pgMar w:left="320" w:top="326" w:right="319" w:bottom="1440" w:gutter="0" w:footer="0" w:header="0"/>
        </w:sectPr>
      </w:pPr>
    </w:p>
    <w:bookmarkStart w:id="92" w:name="page93"/>
    <w:bookmarkEnd w:id="92"/>
    <w:p>
      <w:pPr>
        <w:jc w:val="right"/>
        <w:spacing w:after="0"/>
        <w:rPr>
          <w:sz w:val="20"/>
          <w:szCs w:val="20"/>
          <w:color w:val="auto"/>
        </w:rPr>
      </w:pPr>
      <w:r>
        <w:rPr>
          <w:rFonts w:ascii="Arial" w:cs="Arial" w:eastAsia="Arial" w:hAnsi="Arial"/>
          <w:sz w:val="16"/>
          <w:szCs w:val="16"/>
          <w:b w:val="1"/>
          <w:bCs w:val="1"/>
          <w:color w:val="auto"/>
        </w:rPr>
        <w:t>Exhibit 23.2</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rPr>
          <w:sz w:val="20"/>
          <w:szCs w:val="20"/>
          <w:color w:val="auto"/>
        </w:rPr>
      </w:pPr>
      <w:r>
        <w:rPr>
          <w:rFonts w:ascii="Arial" w:cs="Arial" w:eastAsia="Arial" w:hAnsi="Arial"/>
          <w:sz w:val="16"/>
          <w:szCs w:val="16"/>
          <w:color w:val="auto"/>
        </w:rPr>
        <w:t>Destination XL Group, Inc.:</w:t>
      </w:r>
    </w:p>
    <w:p>
      <w:pPr>
        <w:spacing w:after="0" w:line="159" w:lineRule="exact"/>
        <w:rPr>
          <w:sz w:val="20"/>
          <w:szCs w:val="20"/>
          <w:color w:val="auto"/>
        </w:rPr>
      </w:pPr>
    </w:p>
    <w:p>
      <w:pPr>
        <w:ind w:right="620"/>
        <w:spacing w:after="0" w:line="238" w:lineRule="auto"/>
        <w:rPr>
          <w:sz w:val="20"/>
          <w:szCs w:val="20"/>
          <w:color w:val="auto"/>
        </w:rPr>
      </w:pPr>
      <w:r>
        <w:rPr>
          <w:rFonts w:ascii="Arial" w:cs="Arial" w:eastAsia="Arial" w:hAnsi="Arial"/>
          <w:sz w:val="16"/>
          <w:szCs w:val="16"/>
          <w:color w:val="auto"/>
        </w:rPr>
        <w:t>We consent to the use of our reports with respect to the consolidated financial statements and the effectiveness of internal control over financial reporting incorporated by reference herein and to the reference to our firm under the heading “Experts” in the registration statement.</w:t>
      </w:r>
    </w:p>
    <w:p>
      <w:pPr>
        <w:spacing w:after="0" w:line="143" w:lineRule="exact"/>
        <w:rPr>
          <w:sz w:val="20"/>
          <w:szCs w:val="20"/>
          <w:color w:val="auto"/>
        </w:rPr>
      </w:pPr>
    </w:p>
    <w:p>
      <w:pPr>
        <w:ind w:right="540"/>
        <w:spacing w:after="0" w:line="238" w:lineRule="auto"/>
        <w:rPr>
          <w:sz w:val="20"/>
          <w:szCs w:val="20"/>
          <w:color w:val="auto"/>
        </w:rPr>
      </w:pPr>
      <w:r>
        <w:rPr>
          <w:rFonts w:ascii="Arial" w:cs="Arial" w:eastAsia="Arial" w:hAnsi="Arial"/>
          <w:sz w:val="16"/>
          <w:szCs w:val="16"/>
          <w:color w:val="auto"/>
        </w:rPr>
        <w:t>Our report refers to a change in the method of accounting for leases as of February 3, 2019 due to the adoption of Accounting Standards Update 2016-12, Leases (Topic 842) and Accounting Standards Update 2018-11, Leases (Topic 842): Targeted Improvements.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 KPMG LLP</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Boston, Massachusetts</w:t>
      </w:r>
    </w:p>
    <w:p>
      <w:pPr>
        <w:spacing w:after="0"/>
        <w:rPr>
          <w:sz w:val="20"/>
          <w:szCs w:val="20"/>
          <w:color w:val="auto"/>
        </w:rPr>
      </w:pPr>
      <w:r>
        <w:rPr>
          <w:rFonts w:ascii="Arial" w:cs="Arial" w:eastAsia="Arial" w:hAnsi="Arial"/>
          <w:sz w:val="16"/>
          <w:szCs w:val="16"/>
          <w:color w:val="auto"/>
        </w:rPr>
        <w:t>June 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sectPr>
      <w:pgSz w:w="11900" w:h="16838" w:orient="portrait"/>
      <w:cols w:equalWidth="0" w:num="1">
        <w:col w:w="11260"/>
      </w:cols>
      <w:pgMar w:left="320" w:top="30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1)"/>
      <w:numFmt w:val="decimal"/>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lvl w:ilvl="1">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1)"/>
      <w:numFmt w:val="decimal"/>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1)"/>
      <w:numFmt w:val="lowerRoman"/>
      <w:start w:val="1"/>
    </w:lvl>
  </w:abstractNum>
  <w:abstractNum w:abstractNumId="24">
    <w:nsid w:val="23F9C13C"/>
    <w:multiLevelType w:val="hybridMultilevel"/>
    <w:lvl w:ilvl="0">
      <w:lvlJc w:val="left"/>
      <w:lvlText w:val="(%1)"/>
      <w:numFmt w:val="decimal"/>
      <w:start w:val="1"/>
    </w:lvl>
    <w:lvl w:ilvl="1">
      <w:lvlJc w:val="left"/>
      <w:lvlText w:val="(%2)"/>
      <w:numFmt w:val="lowerRoman"/>
      <w:start w:val="1"/>
    </w:lvl>
  </w:abstractNum>
  <w:abstractNum w:abstractNumId="25">
    <w:nsid w:val="649BB77C"/>
    <w:multiLevelType w:val="hybridMultilevel"/>
    <w:lvl w:ilvl="0">
      <w:lvlJc w:val="left"/>
      <w:lvlText w:val="(%1)"/>
      <w:numFmt w:val="decimal"/>
      <w:start w:val="2"/>
    </w:lvl>
    <w:lvl w:ilvl="1">
      <w:lvlJc w:val="left"/>
      <w:lvlText w:val="(%2)"/>
      <w:numFmt w:val="lowerRoman"/>
      <w:start w:val="1"/>
    </w:lvl>
  </w:abstractNum>
  <w:abstractNum w:abstractNumId="26">
    <w:nsid w:val="275AC794"/>
    <w:multiLevelType w:val="hybridMultilevel"/>
    <w:lvl w:ilvl="0">
      <w:lvlJc w:val="left"/>
      <w:lvlText w:val="(%1)"/>
      <w:numFmt w:val="decimal"/>
      <w:start w:val="5"/>
    </w:lvl>
  </w:abstractNum>
  <w:abstractNum w:abstractNumId="27">
    <w:nsid w:val="39386575"/>
    <w:multiLevelType w:val="hybridMultilevel"/>
    <w:lvl w:ilvl="0">
      <w:lvlJc w:val="left"/>
      <w:lvlText w:val="(%1)"/>
      <w:numFmt w:val="lowerRoman"/>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1)"/>
      <w:numFmt w:val="lowerLetter"/>
      <w:start w:val="1"/>
    </w:lvl>
    <w:lvl w:ilvl="1">
      <w:lvlJc w:val="left"/>
      <w:lvlText w:val="(%2)"/>
      <w:numFmt w:val="decimal"/>
      <w:start w:val="1"/>
    </w:lvl>
  </w:abstractNum>
  <w:abstractNum w:abstractNumId="31">
    <w:nsid w:val="47398C89"/>
    <w:multiLevelType w:val="hybridMultilevel"/>
    <w:lvl w:ilvl="0">
      <w:lvlJc w:val="left"/>
      <w:lvlText w:val="(%1)"/>
      <w:numFmt w:val="decimal"/>
      <w:start w:val="3"/>
    </w:lvl>
  </w:abstractNum>
  <w:abstractNum w:abstractNumId="32">
    <w:nsid w:val="354FE9F9"/>
    <w:multiLevelType w:val="hybridMultilevel"/>
    <w:lvl w:ilvl="0">
      <w:lvlJc w:val="left"/>
      <w:lvlText w:val="(%1)"/>
      <w:numFmt w:val="decimal"/>
      <w:start w:val="20"/>
    </w:lvl>
  </w:abstractNum>
  <w:abstractNum w:abstractNumId="33">
    <w:nsid w:val="15B5AF5C"/>
    <w:multiLevelType w:val="hybridMultilevel"/>
    <w:lvl w:ilvl="0">
      <w:lvlJc w:val="left"/>
      <w:lvlText w:val="(%1)"/>
      <w:numFmt w:val="decimal"/>
      <w:start w:val="23"/>
    </w:lvl>
  </w:abstractNum>
  <w:abstractNum w:abstractNumId="34">
    <w:nsid w:val="741226BB"/>
    <w:multiLevelType w:val="hybridMultilevel"/>
    <w:lvl w:ilvl="0">
      <w:lvlJc w:val="left"/>
      <w:lvlText w:val="(%1)"/>
      <w:numFmt w:val="decimal"/>
      <w:start w:val="26"/>
    </w:lvl>
  </w:abstractNum>
  <w:abstractNum w:abstractNumId="35">
    <w:nsid w:val="D34B6A8"/>
    <w:multiLevelType w:val="hybridMultilevel"/>
    <w:lvl w:ilvl="0">
      <w:lvlJc w:val="left"/>
      <w:lvlText w:val="(%1)"/>
      <w:numFmt w:val="decimal"/>
      <w:start w:val="2"/>
    </w:lvl>
  </w:abstractNum>
  <w:abstractNum w:abstractNumId="36">
    <w:nsid w:val="10233C99"/>
    <w:multiLevelType w:val="hybridMultilevel"/>
    <w:lvl w:ilvl="0">
      <w:lvlJc w:val="left"/>
      <w:lvlText w:val="(%1)"/>
      <w:numFmt w:val="lowerLetter"/>
      <w:start w:val="1"/>
    </w:lvl>
  </w:abstractNum>
  <w:abstractNum w:abstractNumId="37">
    <w:nsid w:val="3F6AB60F"/>
    <w:multiLevelType w:val="hybridMultilevel"/>
    <w:lvl w:ilvl="0">
      <w:lvlJc w:val="left"/>
      <w:lvlText w:val="(%1)"/>
      <w:numFmt w:val="lowerLetter"/>
      <w:start w:val="3"/>
    </w:lvl>
  </w:abstractNum>
  <w:abstractNum w:abstractNumId="38">
    <w:nsid w:val="61574095"/>
    <w:multiLevelType w:val="hybridMultilevel"/>
    <w:lvl w:ilvl="0">
      <w:lvlJc w:val="left"/>
      <w:lvlText w:val="(%1)"/>
      <w:numFmt w:val="lowerLetter"/>
      <w:start w:val="1"/>
    </w:lvl>
  </w:abstractNum>
  <w:abstractNum w:abstractNumId="39">
    <w:nsid w:val="7E0C57B1"/>
    <w:multiLevelType w:val="hybridMultilevel"/>
    <w:lvl w:ilvl="0">
      <w:lvlJc w:val="left"/>
      <w:lvlText w:val="(%1)"/>
      <w:numFmt w:val="lowerLetter"/>
      <w:start w:val="3"/>
    </w:lvl>
  </w:abstractNum>
  <w:abstractNum w:abstractNumId="40">
    <w:nsid w:val="77AE35EB"/>
    <w:multiLevelType w:val="hybridMultilevel"/>
    <w:lvl w:ilvl="0">
      <w:lvlJc w:val="left"/>
      <w:lvlText w:val="(%1)"/>
      <w:numFmt w:val="lowerLetter"/>
      <w:start w:val="1"/>
    </w:lvl>
  </w:abstractNum>
  <w:abstractNum w:abstractNumId="41">
    <w:nsid w:val="579BE4F1"/>
    <w:multiLevelType w:val="hybridMultilevel"/>
    <w:lvl w:ilvl="0">
      <w:lvlJc w:val="left"/>
      <w:lvlText w:val="(%1)"/>
      <w:numFmt w:val="lowerLetter"/>
      <w:start w:val="2"/>
    </w:lvl>
  </w:abstractNum>
  <w:abstractNum w:abstractNumId="42">
    <w:nsid w:val="310C50B3"/>
    <w:multiLevelType w:val="hybridMultilevel"/>
    <w:lvl w:ilvl="0">
      <w:lvlJc w:val="left"/>
      <w:lvlText w:val="(%1)"/>
      <w:numFmt w:val="lowerLetter"/>
      <w:start w:val="1"/>
    </w:lvl>
  </w:abstractNum>
  <w:abstractNum w:abstractNumId="43">
    <w:nsid w:val="5FF87E05"/>
    <w:multiLevelType w:val="hybridMultilevel"/>
    <w:lvl w:ilvl="0">
      <w:lvlJc w:val="left"/>
      <w:lvlText w:val="(%1)"/>
      <w:numFmt w:val="lowerLetter"/>
      <w:start w:val="1"/>
    </w:lvl>
  </w:abstractNum>
  <w:abstractNum w:abstractNumId="44">
    <w:nsid w:val="2F305DEF"/>
    <w:multiLevelType w:val="hybridMultilevel"/>
    <w:lvl w:ilvl="0">
      <w:lvlJc w:val="left"/>
      <w:lvlText w:val="%1"/>
      <w:numFmt w:val="lowerLetter"/>
      <w:start w:val="1"/>
    </w:lvl>
    <w:lvl w:ilvl="1">
      <w:lvlJc w:val="left"/>
      <w:lvlText w:val="(%2)"/>
      <w:numFmt w:val="decimal"/>
      <w:start w:val="4"/>
    </w:lvl>
  </w:abstractNum>
  <w:abstractNum w:abstractNumId="45">
    <w:nsid w:val="25A70BF7"/>
    <w:multiLevelType w:val="hybridMultilevel"/>
    <w:lvl w:ilvl="0">
      <w:lvlJc w:val="left"/>
      <w:lvlText w:val="(%1)"/>
      <w:numFmt w:val="lowerLetter"/>
      <w:start w:val="2"/>
    </w:lvl>
    <w:lvl w:ilvl="1">
      <w:lvlJc w:val="left"/>
      <w:lvlText w:val="%2"/>
      <w:numFmt w:val="decimal"/>
      <w:start w:val="1"/>
    </w:lvl>
  </w:abstractNum>
  <w:abstractNum w:abstractNumId="46">
    <w:nsid w:val="1DBABF00"/>
    <w:multiLevelType w:val="hybridMultilevel"/>
    <w:lvl w:ilvl="0">
      <w:lvlJc w:val="left"/>
      <w:lvlText w:val="%1"/>
      <w:numFmt w:val="lowerLetter"/>
      <w:start w:val="1"/>
    </w:lvl>
    <w:lvl w:ilvl="1">
      <w:lvlJc w:val="left"/>
      <w:lvlText w:val="(%2)"/>
      <w:numFmt w:val="lowerLetter"/>
      <w:start w:val="1"/>
    </w:lvl>
  </w:abstractNum>
  <w:abstractNum w:abstractNumId="47">
    <w:nsid w:val="4AD084E9"/>
    <w:multiLevelType w:val="hybridMultilevel"/>
    <w:lvl w:ilvl="0">
      <w:lvlJc w:val="left"/>
      <w:lvlText w:val="(%1)"/>
      <w:numFmt w:val="lowerLetter"/>
      <w:start w:val="2"/>
    </w:lvl>
    <w:lvl w:ilvl="1">
      <w:lvlJc w:val="left"/>
      <w:lvlText w:val="%2"/>
      <w:numFmt w:val="lowerLetter"/>
      <w:start w:val="1"/>
    </w:lvl>
  </w:abstractNum>
  <w:abstractNum w:abstractNumId="48">
    <w:nsid w:val="1F48EAA1"/>
    <w:multiLevelType w:val="hybridMultilevel"/>
    <w:lvl w:ilvl="0">
      <w:lvlJc w:val="left"/>
      <w:lvlText w:val="(%1)"/>
      <w:numFmt w:val="lowerLetter"/>
      <w:start w:val="1"/>
    </w:lvl>
  </w:abstractNum>
  <w:abstractNum w:abstractNumId="49">
    <w:nsid w:val="1381823A"/>
    <w:multiLevelType w:val="hybridMultilevel"/>
    <w:lvl w:ilvl="0">
      <w:lvlJc w:val="left"/>
      <w:lvlText w:val="%1"/>
      <w:numFmt w:val="lowerLetter"/>
      <w:start w:val="1"/>
    </w:lvl>
    <w:lvl w:ilvl="1">
      <w:lvlJc w:val="left"/>
      <w:lvlText w:val="(%2)"/>
      <w:numFmt w:val="lowerLetter"/>
      <w:start w:val="1"/>
    </w:lvl>
  </w:abstractNum>
  <w:abstractNum w:abstractNumId="50">
    <w:nsid w:val="5DB70AE5"/>
    <w:multiLevelType w:val="hybridMultilevel"/>
    <w:lvl w:ilvl="0">
      <w:lvlJc w:val="left"/>
      <w:lvlText w:val="(%1)"/>
      <w:numFmt w:val="lowerLetter"/>
      <w:start w:val="2"/>
    </w:lvl>
    <w:lvl w:ilvl="1">
      <w:lvlJc w:val="left"/>
      <w:lvlText w:val="%2"/>
      <w:numFmt w:val="lowerLetter"/>
      <w:start w:val="1"/>
    </w:lvl>
  </w:abstractNum>
  <w:abstractNum w:abstractNumId="51">
    <w:nsid w:val="100F8FCA"/>
    <w:multiLevelType w:val="hybridMultilevel"/>
    <w:lvl w:ilvl="0">
      <w:lvlJc w:val="left"/>
      <w:lvlText w:val="(%1)"/>
      <w:numFmt w:val="lowerLetter"/>
      <w:start w:val="1"/>
    </w:lvl>
  </w:abstractNum>
  <w:abstractNum w:abstractNumId="52">
    <w:nsid w:val="6590700B"/>
    <w:multiLevelType w:val="hybridMultilevel"/>
    <w:lvl w:ilvl="0">
      <w:lvlJc w:val="left"/>
      <w:lvlText w:val="(%1)"/>
      <w:numFmt w:val="lowerLetter"/>
      <w:start w:val="2"/>
    </w:lvl>
  </w:abstractNum>
  <w:abstractNum w:abstractNumId="53">
    <w:nsid w:val="15014ACB"/>
    <w:multiLevelType w:val="hybridMultilevel"/>
    <w:lvl w:ilvl="0">
      <w:lvlJc w:val="left"/>
      <w:lvlText w:val="(%1)"/>
      <w:numFmt w:val="lowerLetter"/>
      <w:start w:val="4"/>
    </w:lvl>
  </w:abstractNum>
  <w:abstractNum w:abstractNumId="54">
    <w:nsid w:val="5F5E7FD0"/>
    <w:multiLevelType w:val="hybridMultilevel"/>
    <w:lvl w:ilvl="0">
      <w:lvlJc w:val="left"/>
      <w:lvlText w:val="(%1)"/>
      <w:numFmt w:val="lowerLetter"/>
      <w:start w:val="1"/>
    </w:lvl>
  </w:abstractNum>
  <w:abstractNum w:abstractNumId="55">
    <w:nsid w:val="98A3148"/>
    <w:multiLevelType w:val="hybridMultilevel"/>
    <w:lvl w:ilvl="0">
      <w:lvlJc w:val="left"/>
      <w:lvlText w:val="(%1)"/>
      <w:numFmt w:val="lowerLetter"/>
      <w:start w:val="3"/>
    </w:lvl>
  </w:abstractNum>
  <w:abstractNum w:abstractNumId="56">
    <w:nsid w:val="799D0247"/>
    <w:multiLevelType w:val="hybridMultilevel"/>
    <w:lvl w:ilvl="0">
      <w:lvlJc w:val="left"/>
      <w:lvlText w:val="(%1)"/>
      <w:numFmt w:val="lowerLetter"/>
      <w:start w:val="1"/>
    </w:lvl>
  </w:abstractNum>
  <w:abstractNum w:abstractNumId="57">
    <w:nsid w:val="6B94764"/>
    <w:multiLevelType w:val="hybridMultilevel"/>
    <w:lvl w:ilvl="0">
      <w:lvlJc w:val="left"/>
      <w:lvlText w:val="(%1)"/>
      <w:numFmt w:val="lowerLetter"/>
      <w:start w:val="2"/>
    </w:lvl>
  </w:abstractNum>
  <w:abstractNum w:abstractNumId="58">
    <w:nsid w:val="42C296BD"/>
    <w:multiLevelType w:val="hybridMultilevel"/>
    <w:lvl w:ilvl="0">
      <w:lvlJc w:val="left"/>
      <w:lvlText w:val="(%1)"/>
      <w:numFmt w:val="lowerLetter"/>
      <w:start w:val="1"/>
    </w:lvl>
  </w:abstractNum>
  <w:abstractNum w:abstractNumId="59">
    <w:nsid w:val="168E121F"/>
    <w:multiLevelType w:val="hybridMultilevel"/>
    <w:lvl w:ilvl="0">
      <w:lvlJc w:val="left"/>
      <w:lvlText w:val="(%1)"/>
      <w:numFmt w:val="lowerRoman"/>
      <w:start w:val="1"/>
    </w:lvl>
  </w:abstractNum>
  <w:abstractNum w:abstractNumId="60">
    <w:nsid w:val="1EBA5D23"/>
    <w:multiLevelType w:val="hybridMultilevel"/>
    <w:lvl w:ilvl="0">
      <w:lvlJc w:val="left"/>
      <w:lvlText w:val="(%1)"/>
      <w:numFmt w:val="lowerRoman"/>
      <w:start w:val="2"/>
    </w:lvl>
  </w:abstractNum>
  <w:abstractNum w:abstractNumId="61">
    <w:nsid w:val="661E3F1E"/>
    <w:multiLevelType w:val="hybridMultilevel"/>
    <w:lvl w:ilvl="0">
      <w:lvlJc w:val="left"/>
      <w:lvlText w:val="(%1)"/>
      <w:numFmt w:val="lowerLetter"/>
      <w:start w:val="1"/>
    </w:lvl>
  </w:abstractNum>
  <w:abstractNum w:abstractNumId="62">
    <w:nsid w:val="5DC79EA8"/>
    <w:multiLevelType w:val="hybridMultilevel"/>
    <w:lvl w:ilvl="0">
      <w:lvlJc w:val="left"/>
      <w:lvlText w:val="(%1)"/>
      <w:numFmt w:val="lowerLetter"/>
      <w:start w:val="4"/>
    </w:lvl>
  </w:abstractNum>
  <w:abstractNum w:abstractNumId="63">
    <w:nsid w:val="540A471C"/>
    <w:multiLevelType w:val="hybridMultilevel"/>
    <w:lvl w:ilvl="0">
      <w:lvlJc w:val="left"/>
      <w:lvlText w:val="(%1)"/>
      <w:numFmt w:val="lowerLetter"/>
      <w:start w:val="10"/>
    </w:lvl>
  </w:abstractNum>
  <w:abstractNum w:abstractNumId="64">
    <w:nsid w:val="7BD3EE7B"/>
    <w:multiLevelType w:val="hybridMultilevel"/>
    <w:lvl w:ilvl="0">
      <w:lvlJc w:val="left"/>
      <w:lvlText w:val="%1"/>
      <w:numFmt w:val="lowerLetter"/>
      <w:start w:val="1"/>
    </w:lvl>
    <w:lvl w:ilvl="1">
      <w:lvlJc w:val="left"/>
      <w:lvlText w:val="(%2)"/>
      <w:numFmt w:val="lowerLetter"/>
      <w:start w:val="1"/>
    </w:lvl>
  </w:abstractNum>
  <w:abstractNum w:abstractNumId="65">
    <w:nsid w:val="51D9C564"/>
    <w:multiLevelType w:val="hybridMultilevel"/>
    <w:lvl w:ilvl="0">
      <w:lvlJc w:val="left"/>
      <w:lvlText w:val="(%1)"/>
      <w:numFmt w:val="lowerLetter"/>
      <w:start w:val="2"/>
    </w:lvl>
    <w:lvl w:ilvl="1">
      <w:lvlJc w:val="left"/>
      <w:lvlText w:val="%2"/>
      <w:numFmt w:val="lowerLetter"/>
      <w:start w:val="1"/>
    </w:lvl>
  </w:abstractNum>
  <w:abstractNum w:abstractNumId="66">
    <w:nsid w:val="613EFDC5"/>
    <w:multiLevelType w:val="hybridMultilevel"/>
    <w:lvl w:ilvl="0">
      <w:lvlJc w:val="left"/>
      <w:lvlText w:val="(%1)"/>
      <w:numFmt w:val="lowerLetter"/>
      <w:start w:val="1"/>
    </w:lvl>
  </w:abstractNum>
  <w:abstractNum w:abstractNumId="67">
    <w:nsid w:val="BF72B14"/>
    <w:multiLevelType w:val="hybridMultilevel"/>
    <w:lvl w:ilvl="0">
      <w:lvlJc w:val="left"/>
      <w:lvlText w:val="(%1)"/>
      <w:numFmt w:val="lowerLetter"/>
      <w:start w:val="1"/>
    </w:lvl>
  </w:abstractNum>
  <w:abstractNum w:abstractNumId="68">
    <w:nsid w:val="11447B73"/>
    <w:multiLevelType w:val="hybridMultilevel"/>
    <w:lvl w:ilvl="0">
      <w:lvlJc w:val="left"/>
      <w:lvlText w:val="(%1)"/>
      <w:numFmt w:val="lowerLetter"/>
      <w:start w:val="2"/>
    </w:lvl>
  </w:abstractNum>
  <w:abstractNum w:abstractNumId="69">
    <w:nsid w:val="42963E5A"/>
    <w:multiLevelType w:val="hybridMultilevel"/>
    <w:lvl w:ilvl="0">
      <w:lvlJc w:val="left"/>
      <w:lvlText w:val="(%1)"/>
      <w:numFmt w:val="lowerLetter"/>
      <w:start w:val="3"/>
    </w:lvl>
  </w:abstractNum>
  <w:abstractNum w:abstractNumId="70">
    <w:nsid w:val="A0382C5"/>
    <w:multiLevelType w:val="hybridMultilevel"/>
    <w:lvl w:ilvl="0">
      <w:lvlJc w:val="left"/>
      <w:lvlText w:val="(%1)"/>
      <w:numFmt w:val="lowerLetter"/>
      <w:start w:val="1"/>
    </w:lvl>
  </w:abstractNum>
  <w:abstractNum w:abstractNumId="71">
    <w:nsid w:val="8F2B15E"/>
    <w:multiLevelType w:val="hybridMultilevel"/>
    <w:lvl w:ilvl="0">
      <w:lvlJc w:val="left"/>
      <w:lvlText w:val="(%1)"/>
      <w:numFmt w:val="lowerLetter"/>
      <w:start w:val="4"/>
    </w:lvl>
  </w:abstractNum>
  <w:abstractNum w:abstractNumId="72">
    <w:nsid w:val="1A32234B"/>
    <w:multiLevelType w:val="hybridMultilevel"/>
    <w:lvl w:ilvl="0">
      <w:lvlJc w:val="left"/>
      <w:lvlText w:val="(%1)"/>
      <w:numFmt w:val="lowerLetter"/>
      <w:start w:val="1"/>
    </w:lvl>
  </w:abstractNum>
  <w:abstractNum w:abstractNumId="73">
    <w:nsid w:val="3B0FD379"/>
    <w:multiLevelType w:val="hybridMultilevel"/>
    <w:lvl w:ilvl="0">
      <w:lvlJc w:val="left"/>
      <w:lvlText w:val="%1"/>
      <w:numFmt w:val="lowerLetter"/>
      <w:start w:val="1"/>
    </w:lvl>
    <w:lvl w:ilvl="1">
      <w:lvlJc w:val="left"/>
      <w:lvlText w:val="(%2)"/>
      <w:numFmt w:val="lowerLetter"/>
      <w:start w:val="1"/>
    </w:lvl>
  </w:abstractNum>
  <w:abstractNum w:abstractNumId="74">
    <w:nsid w:val="68EB2F63"/>
    <w:multiLevelType w:val="hybridMultilevel"/>
    <w:lvl w:ilvl="0">
      <w:lvlJc w:val="left"/>
      <w:lvlText w:val="(%1)"/>
      <w:numFmt w:val="lowerLetter"/>
      <w:start w:val="9"/>
    </w:lvl>
    <w:lvl w:ilvl="1">
      <w:lvlJc w:val="left"/>
      <w:lvlText w:val="%2"/>
      <w:numFmt w:val="lowerLetter"/>
      <w:start w:val="1"/>
    </w:lvl>
  </w:abstractNum>
  <w:abstractNum w:abstractNumId="75">
    <w:nsid w:val="4962813B"/>
    <w:multiLevelType w:val="hybridMultilevel"/>
    <w:lvl w:ilvl="0">
      <w:lvlJc w:val="left"/>
      <w:lvlText w:val="(%1)"/>
      <w:numFmt w:val="lowerLetter"/>
      <w:start w:val="1"/>
    </w:lvl>
  </w:abstractNum>
  <w:abstractNum w:abstractNumId="76">
    <w:nsid w:val="60B6DF70"/>
    <w:multiLevelType w:val="hybridMultilevel"/>
    <w:lvl w:ilvl="0">
      <w:lvlJc w:val="left"/>
      <w:lvlText w:val="%1"/>
      <w:numFmt w:val="lowerRoman"/>
      <w:start w:val="1"/>
    </w:lvl>
    <w:lvl w:ilvl="1">
      <w:lvlJc w:val="left"/>
      <w:lvlText w:val="(%2)"/>
      <w:numFmt w:val="lowerLetter"/>
      <w:start w:val="1"/>
    </w:lvl>
  </w:abstractNum>
  <w:abstractNum w:abstractNumId="77">
    <w:nsid w:val="6A5EE64"/>
    <w:multiLevelType w:val="hybridMultilevel"/>
    <w:lvl w:ilvl="0">
      <w:lvlJc w:val="left"/>
      <w:lvlText w:val="(%1)"/>
      <w:numFmt w:val="lowerRoman"/>
      <w:start w:val="4"/>
    </w:lvl>
    <w:lvl w:ilvl="1">
      <w:lvlJc w:val="left"/>
      <w:lvlText w:val="%2"/>
      <w:numFmt w:val="lowerLetter"/>
      <w:start w:val="1"/>
    </w:lvl>
  </w:abstractNum>
  <w:abstractNum w:abstractNumId="78">
    <w:nsid w:val="14330624"/>
    <w:multiLevelType w:val="hybridMultilevel"/>
    <w:lvl w:ilvl="0">
      <w:lvlJc w:val="left"/>
      <w:lvlText w:val="(%1)"/>
      <w:numFmt w:val="decimal"/>
      <w:start w:val="1"/>
    </w:lvl>
  </w:abstractNum>
  <w:abstractNum w:abstractNumId="79">
    <w:nsid w:val="7FFFCA11"/>
    <w:multiLevelType w:val="hybridMultilevel"/>
    <w:lvl w:ilvl="0">
      <w:lvlJc w:val="left"/>
      <w:lvlText w:val="(%1)"/>
      <w:numFmt w:val="lowerLetter"/>
      <w:start w:val="1"/>
    </w:lvl>
  </w:abstractNum>
  <w:abstractNum w:abstractNumId="80">
    <w:nsid w:val="1A27709E"/>
    <w:multiLevelType w:val="hybridMultilevel"/>
    <w:lvl w:ilvl="0">
      <w:lvlJc w:val="left"/>
      <w:lvlText w:val="(%1)"/>
      <w:numFmt w:val="lowerLetter"/>
      <w:start w:val="2"/>
    </w:lvl>
  </w:abstractNum>
  <w:abstractNum w:abstractNumId="81">
    <w:nsid w:val="71EA1109"/>
    <w:multiLevelType w:val="hybridMultilevel"/>
    <w:lvl w:ilvl="0">
      <w:lvlJc w:val="left"/>
      <w:lvlText w:val="(%1)"/>
      <w:numFmt w:val="lowerLetter"/>
      <w:start w:val="1"/>
    </w:lvl>
  </w:abstractNum>
  <w:abstractNum w:abstractNumId="82">
    <w:nsid w:val="100F59DC"/>
    <w:multiLevelType w:val="hybridMultilevel"/>
    <w:lvl w:ilvl="0">
      <w:lvlJc w:val="left"/>
      <w:lvlText w:val="%1."/>
      <w:numFmt w:val="decimal"/>
      <w:start w:val="1"/>
    </w:lvl>
  </w:abstractNum>
  <w:abstractNum w:abstractNumId="83">
    <w:nsid w:val="7FB7E0AA"/>
    <w:multiLevelType w:val="hybridMultilevel"/>
    <w:lvl w:ilvl="0">
      <w:lvlJc w:val="left"/>
      <w:lvlText w:val="%1."/>
      <w:numFmt w:val="decimal"/>
      <w:start w:val="4"/>
    </w:lvl>
  </w:abstractNum>
  <w:abstractNum w:abstractNumId="84">
    <w:nsid w:val="6EB5BD4"/>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jpeg"/><Relationship Id="rId53" Type="http://schemas.openxmlformats.org/officeDocument/2006/relationships/image" Target="media/image37.jpeg"/><Relationship Id="rId54" Type="http://schemas.openxmlformats.org/officeDocument/2006/relationships/image" Target="media/image38.png"/><Relationship Id="rId55" Type="http://schemas.openxmlformats.org/officeDocument/2006/relationships/image" Target="media/image39.jpeg"/><Relationship Id="rId56" Type="http://schemas.openxmlformats.org/officeDocument/2006/relationships/image" Target="media/image40.png"/><Relationship Id="rId57" Type="http://schemas.openxmlformats.org/officeDocument/2006/relationships/image" Target="media/image41.jpeg"/><Relationship Id="rId58" Type="http://schemas.openxmlformats.org/officeDocument/2006/relationships/image" Target="media/image42.png"/><Relationship Id="rId59" Type="http://schemas.openxmlformats.org/officeDocument/2006/relationships/image" Target="media/image43.jpeg"/><Relationship Id="rId60" Type="http://schemas.openxmlformats.org/officeDocument/2006/relationships/image" Target="media/image44.png"/><Relationship Id="rId61" Type="http://schemas.openxmlformats.org/officeDocument/2006/relationships/image" Target="media/image45.jpeg"/><Relationship Id="rId62" Type="http://schemas.openxmlformats.org/officeDocument/2006/relationships/image" Target="media/image46.png"/><Relationship Id="rId63" Type="http://schemas.openxmlformats.org/officeDocument/2006/relationships/image" Target="media/image47.jpeg"/><Relationship Id="rId64" Type="http://schemas.openxmlformats.org/officeDocument/2006/relationships/image" Target="media/image48.png"/><Relationship Id="rId65" Type="http://schemas.openxmlformats.org/officeDocument/2006/relationships/image" Target="media/image49.jpeg"/><Relationship Id="rId66" Type="http://schemas.openxmlformats.org/officeDocument/2006/relationships/image" Target="media/image50.png"/><Relationship Id="rId67" Type="http://schemas.openxmlformats.org/officeDocument/2006/relationships/image" Target="media/image51.jpeg"/><Relationship Id="rId68" Type="http://schemas.openxmlformats.org/officeDocument/2006/relationships/image" Target="media/image52.png"/><Relationship Id="rId69" Type="http://schemas.openxmlformats.org/officeDocument/2006/relationships/image" Target="media/image53.jpeg"/><Relationship Id="rId70" Type="http://schemas.openxmlformats.org/officeDocument/2006/relationships/image" Target="media/image54.png"/><Relationship Id="rId71" Type="http://schemas.openxmlformats.org/officeDocument/2006/relationships/image" Target="media/image55.jpeg"/><Relationship Id="rId72" Type="http://schemas.openxmlformats.org/officeDocument/2006/relationships/image" Target="media/image56.png"/><Relationship Id="rId73" Type="http://schemas.openxmlformats.org/officeDocument/2006/relationships/image" Target="media/image57.jpeg"/><Relationship Id="rId74" Type="http://schemas.openxmlformats.org/officeDocument/2006/relationships/image" Target="media/image58.png"/><Relationship Id="rId75" Type="http://schemas.openxmlformats.org/officeDocument/2006/relationships/image" Target="media/image59.jpeg"/><Relationship Id="rId76" Type="http://schemas.openxmlformats.org/officeDocument/2006/relationships/image" Target="media/image60.png"/><Relationship Id="rId77" Type="http://schemas.openxmlformats.org/officeDocument/2006/relationships/image" Target="media/image61.jpeg"/><Relationship Id="rId78" Type="http://schemas.openxmlformats.org/officeDocument/2006/relationships/image" Target="media/image62.png"/><Relationship Id="rId79" Type="http://schemas.openxmlformats.org/officeDocument/2006/relationships/image" Target="media/image63.jpeg"/><Relationship Id="rId80" Type="http://schemas.openxmlformats.org/officeDocument/2006/relationships/image" Target="media/image64.png"/><Relationship Id="rId81" Type="http://schemas.openxmlformats.org/officeDocument/2006/relationships/image" Target="media/image65.jpeg"/><Relationship Id="rId82" Type="http://schemas.openxmlformats.org/officeDocument/2006/relationships/image" Target="media/image66.png"/><Relationship Id="rId83" Type="http://schemas.openxmlformats.org/officeDocument/2006/relationships/image" Target="media/image67.jpeg"/><Relationship Id="rId84" Type="http://schemas.openxmlformats.org/officeDocument/2006/relationships/image" Target="media/image68.png"/><Relationship Id="rId85" Type="http://schemas.openxmlformats.org/officeDocument/2006/relationships/image" Target="media/image69.jpeg"/><Relationship Id="rId86" Type="http://schemas.openxmlformats.org/officeDocument/2006/relationships/image" Target="media/image70.png"/><Relationship Id="rId87" Type="http://schemas.openxmlformats.org/officeDocument/2006/relationships/image" Target="media/image71.jpeg"/><Relationship Id="rId88" Type="http://schemas.openxmlformats.org/officeDocument/2006/relationships/image" Target="media/image72.png"/><Relationship Id="rId89" Type="http://schemas.openxmlformats.org/officeDocument/2006/relationships/image" Target="media/image73.jpeg"/><Relationship Id="rId90" Type="http://schemas.openxmlformats.org/officeDocument/2006/relationships/image" Target="media/image74.png"/><Relationship Id="rId91" Type="http://schemas.openxmlformats.org/officeDocument/2006/relationships/image" Target="media/image75.jpeg"/><Relationship Id="rId92" Type="http://schemas.openxmlformats.org/officeDocument/2006/relationships/image" Target="media/image76.png"/><Relationship Id="rId93" Type="http://schemas.openxmlformats.org/officeDocument/2006/relationships/image" Target="media/image77.jpeg"/><Relationship Id="rId94" Type="http://schemas.openxmlformats.org/officeDocument/2006/relationships/image" Target="media/image78.png"/><Relationship Id="rId95" Type="http://schemas.openxmlformats.org/officeDocument/2006/relationships/image" Target="media/image79.jpeg"/><Relationship Id="rId96" Type="http://schemas.openxmlformats.org/officeDocument/2006/relationships/image" Target="media/image80.png"/><Relationship Id="rId97" Type="http://schemas.openxmlformats.org/officeDocument/2006/relationships/image" Target="media/image81.jpeg"/><Relationship Id="rId98" Type="http://schemas.openxmlformats.org/officeDocument/2006/relationships/image" Target="media/image82.png"/><Relationship Id="rId99" Type="http://schemas.openxmlformats.org/officeDocument/2006/relationships/image" Target="media/image83.jpeg"/><Relationship Id="rId100" Type="http://schemas.openxmlformats.org/officeDocument/2006/relationships/image" Target="media/image84.png"/><Relationship Id="rId101" Type="http://schemas.openxmlformats.org/officeDocument/2006/relationships/image" Target="media/image85.jpeg"/><Relationship Id="rId102" Type="http://schemas.openxmlformats.org/officeDocument/2006/relationships/image" Target="media/image86.png"/><Relationship Id="rId103" Type="http://schemas.openxmlformats.org/officeDocument/2006/relationships/image" Target="media/image87.jpeg"/><Relationship Id="rId104" Type="http://schemas.openxmlformats.org/officeDocument/2006/relationships/image" Target="media/image88.png"/><Relationship Id="rId105" Type="http://schemas.openxmlformats.org/officeDocument/2006/relationships/image" Target="media/image89.jpeg"/><Relationship Id="rId106" Type="http://schemas.openxmlformats.org/officeDocument/2006/relationships/image" Target="media/image90.png"/><Relationship Id="rId107" Type="http://schemas.openxmlformats.org/officeDocument/2006/relationships/image" Target="media/image91.jpeg"/><Relationship Id="rId108" Type="http://schemas.openxmlformats.org/officeDocument/2006/relationships/image" Target="media/image92.png"/><Relationship Id="rId109" Type="http://schemas.openxmlformats.org/officeDocument/2006/relationships/image" Target="media/image93.jpeg"/><Relationship Id="rId110" Type="http://schemas.openxmlformats.org/officeDocument/2006/relationships/image" Target="media/image94.png"/><Relationship Id="rId111" Type="http://schemas.openxmlformats.org/officeDocument/2006/relationships/image" Target="media/image95.jpeg"/><Relationship Id="rId112" Type="http://schemas.openxmlformats.org/officeDocument/2006/relationships/image" Target="media/image96.png"/><Relationship Id="rId113" Type="http://schemas.openxmlformats.org/officeDocument/2006/relationships/image" Target="media/image97.jpeg"/><Relationship Id="rId114" Type="http://schemas.openxmlformats.org/officeDocument/2006/relationships/image" Target="media/image98.png"/><Relationship Id="rId115" Type="http://schemas.openxmlformats.org/officeDocument/2006/relationships/image" Target="media/image99.jpeg"/><Relationship Id="rId116" Type="http://schemas.openxmlformats.org/officeDocument/2006/relationships/image" Target="media/image100.png"/><Relationship Id="rId117" Type="http://schemas.openxmlformats.org/officeDocument/2006/relationships/image" Target="media/image101.jpeg"/><Relationship Id="rId118" Type="http://schemas.openxmlformats.org/officeDocument/2006/relationships/image" Target="media/image102.png"/><Relationship Id="rId119" Type="http://schemas.openxmlformats.org/officeDocument/2006/relationships/image" Target="media/image103.jpeg"/><Relationship Id="rId120" Type="http://schemas.openxmlformats.org/officeDocument/2006/relationships/image" Target="media/image104.png"/><Relationship Id="rId121" Type="http://schemas.openxmlformats.org/officeDocument/2006/relationships/image" Target="media/image105.jpeg"/><Relationship Id="rId122" Type="http://schemas.openxmlformats.org/officeDocument/2006/relationships/image" Target="media/image106.png"/><Relationship Id="rId123" Type="http://schemas.openxmlformats.org/officeDocument/2006/relationships/image" Target="media/image107.jpeg"/><Relationship Id="rId124" Type="http://schemas.openxmlformats.org/officeDocument/2006/relationships/image" Target="media/image108.png"/><Relationship Id="rId125" Type="http://schemas.openxmlformats.org/officeDocument/2006/relationships/image" Target="media/image109.jpeg"/><Relationship Id="rId126" Type="http://schemas.openxmlformats.org/officeDocument/2006/relationships/image" Target="media/image110.png"/><Relationship Id="rId127" Type="http://schemas.openxmlformats.org/officeDocument/2006/relationships/image" Target="media/image111.jpeg"/><Relationship Id="rId128" Type="http://schemas.openxmlformats.org/officeDocument/2006/relationships/image" Target="media/image112.png"/><Relationship Id="rId129" Type="http://schemas.openxmlformats.org/officeDocument/2006/relationships/image" Target="media/image113.jpeg"/><Relationship Id="rId130" Type="http://schemas.openxmlformats.org/officeDocument/2006/relationships/image" Target="media/image114.png"/><Relationship Id="rId131" Type="http://schemas.openxmlformats.org/officeDocument/2006/relationships/image" Target="media/image115.jpeg"/><Relationship Id="rId132" Type="http://schemas.openxmlformats.org/officeDocument/2006/relationships/image" Target="media/image116.png"/><Relationship Id="rId133" Type="http://schemas.openxmlformats.org/officeDocument/2006/relationships/image" Target="media/image117.jpeg"/><Relationship Id="rId134" Type="http://schemas.openxmlformats.org/officeDocument/2006/relationships/image" Target="media/image118.png"/><Relationship Id="rId135" Type="http://schemas.openxmlformats.org/officeDocument/2006/relationships/image" Target="media/image119.jpeg"/><Relationship Id="rId136" Type="http://schemas.openxmlformats.org/officeDocument/2006/relationships/image" Target="media/image120.png"/><Relationship Id="rId137" Type="http://schemas.openxmlformats.org/officeDocument/2006/relationships/image" Target="media/image121.jpeg"/><Relationship Id="rId138" Type="http://schemas.openxmlformats.org/officeDocument/2006/relationships/image" Target="media/image122.png"/><Relationship Id="rId139" Type="http://schemas.openxmlformats.org/officeDocument/2006/relationships/image" Target="media/image123.jpeg"/><Relationship Id="rId140" Type="http://schemas.openxmlformats.org/officeDocument/2006/relationships/image" Target="media/image124.png"/><Relationship Id="rId141" Type="http://schemas.openxmlformats.org/officeDocument/2006/relationships/image" Target="media/image125.jpeg"/><Relationship Id="rId142" Type="http://schemas.openxmlformats.org/officeDocument/2006/relationships/image" Target="media/image126.png"/><Relationship Id="rId143" Type="http://schemas.openxmlformats.org/officeDocument/2006/relationships/image" Target="media/image127.jpeg"/><Relationship Id="rId144" Type="http://schemas.openxmlformats.org/officeDocument/2006/relationships/image" Target="media/image128.png"/><Relationship Id="rId145" Type="http://schemas.openxmlformats.org/officeDocument/2006/relationships/image" Target="media/image129.jpeg"/><Relationship Id="rId146" Type="http://schemas.openxmlformats.org/officeDocument/2006/relationships/image" Target="media/image130.png"/><Relationship Id="rId147" Type="http://schemas.openxmlformats.org/officeDocument/2006/relationships/image" Target="media/image131.jpeg"/><Relationship Id="rId148" Type="http://schemas.openxmlformats.org/officeDocument/2006/relationships/image" Target="media/image132.png"/><Relationship Id="rId149" Type="http://schemas.openxmlformats.org/officeDocument/2006/relationships/image" Target="media/image133.jpeg"/><Relationship Id="rId150" Type="http://schemas.openxmlformats.org/officeDocument/2006/relationships/image" Target="media/image134.png"/><Relationship Id="rId151" Type="http://schemas.openxmlformats.org/officeDocument/2006/relationships/image" Target="media/image135.jpeg"/><Relationship Id="rId152" Type="http://schemas.openxmlformats.org/officeDocument/2006/relationships/image" Target="media/image136.png"/><Relationship Id="rId153" Type="http://schemas.openxmlformats.org/officeDocument/2006/relationships/image" Target="media/image137.jpeg"/><Relationship Id="rId154" Type="http://schemas.openxmlformats.org/officeDocument/2006/relationships/image" Target="media/image138.png"/><Relationship Id="rId155" Type="http://schemas.openxmlformats.org/officeDocument/2006/relationships/image" Target="media/image139.jpeg"/><Relationship Id="rId156" Type="http://schemas.openxmlformats.org/officeDocument/2006/relationships/image" Target="media/image140.jpeg"/><Relationship Id="rId157" Type="http://schemas.openxmlformats.org/officeDocument/2006/relationships/image" Target="media/image141.png"/><Relationship Id="rId158" Type="http://schemas.openxmlformats.org/officeDocument/2006/relationships/image" Target="media/image142.jpeg"/><Relationship Id="rId159" Type="http://schemas.openxmlformats.org/officeDocument/2006/relationships/image" Target="media/image143.png"/><Relationship Id="rId160" Type="http://schemas.openxmlformats.org/officeDocument/2006/relationships/image" Target="media/image144.png"/><Relationship Id="rId161" Type="http://schemas.openxmlformats.org/officeDocument/2006/relationships/image" Target="media/image145.jpeg"/><Relationship Id="rId162" Type="http://schemas.openxmlformats.org/officeDocument/2006/relationships/image" Target="media/image146.jpeg"/><Relationship Id="rId163" Type="http://schemas.openxmlformats.org/officeDocument/2006/relationships/image" Target="media/image147.png"/><Relationship Id="rId164" Type="http://schemas.openxmlformats.org/officeDocument/2006/relationships/image" Target="media/image148.png"/><Relationship Id="rId165" Type="http://schemas.openxmlformats.org/officeDocument/2006/relationships/image" Target="media/image149.png"/><Relationship Id="rId166" Type="http://schemas.openxmlformats.org/officeDocument/2006/relationships/image" Target="media/image150.png"/><Relationship Id="rId167" Type="http://schemas.openxmlformats.org/officeDocument/2006/relationships/image" Target="media/image151.png"/><Relationship Id="rId168" Type="http://schemas.openxmlformats.org/officeDocument/2006/relationships/image" Target="media/image152.png"/><Relationship Id="rId169" Type="http://schemas.openxmlformats.org/officeDocument/2006/relationships/image" Target="media/image153.png"/><Relationship Id="rId170" Type="http://schemas.openxmlformats.org/officeDocument/2006/relationships/image" Target="media/image154.png"/><Relationship Id="rId171" Type="http://schemas.openxmlformats.org/officeDocument/2006/relationships/image" Target="media/image155.png"/><Relationship Id="rId172" Type="http://schemas.openxmlformats.org/officeDocument/2006/relationships/image" Target="media/image156.png"/><Relationship Id="rId173" Type="http://schemas.openxmlformats.org/officeDocument/2006/relationships/image" Target="media/image157.png"/><Relationship Id="rId34" Type="http://schemas.openxmlformats.org/officeDocument/2006/relationships/hyperlink" Target="http://www.sec.gov/Archives/edgar/data/813298/000156459020011796/dxlg-10k_20200201.htm" TargetMode="External"/><Relationship Id="rId35" Type="http://schemas.openxmlformats.org/officeDocument/2006/relationships/hyperlink" Target="http://www.sec.gov/Archives/edgar/data/813298/000156459020027797/dxlg-10ka_20200201.htm" TargetMode="External"/><Relationship Id="rId36" Type="http://schemas.openxmlformats.org/officeDocument/2006/relationships/hyperlink" Target="http://www.sec.gov/Archives/edgar/data/813298/000156459020028350/dxlg-10q_20200502.htm" TargetMode="External"/><Relationship Id="rId37" Type="http://schemas.openxmlformats.org/officeDocument/2006/relationships/hyperlink" Target="http://www.sec.gov/Archives/edgar/data/813298/000156459020004694/dxlg-8k_20200213.htm" TargetMode="External"/><Relationship Id="rId38" Type="http://schemas.openxmlformats.org/officeDocument/2006/relationships/hyperlink" Target="http://www.sec.gov/Archives/edgar/data/0000813298/000156459020012217/dxlg-8k_20200320.htm" TargetMode="External"/><Relationship Id="rId39" Type="http://schemas.openxmlformats.org/officeDocument/2006/relationships/hyperlink" Target="http://www.sec.gov/Archives/edgar/data/0000813298/000156459020014091/dxlg-8k_20200327.htm" TargetMode="External"/><Relationship Id="rId40" Type="http://schemas.openxmlformats.org/officeDocument/2006/relationships/hyperlink" Target="http://www.sec.gov/Archives/edgar/data/0000813298/000156459020016963/dxlg-8k_20200409.htm" TargetMode="External"/><Relationship Id="rId46" Type="http://schemas.openxmlformats.org/officeDocument/2006/relationships/hyperlink" Target="http://www.sec.gov/Archives/edgar/data/813298/000156459017004804/dxlg-ex31_385.htm" TargetMode="External"/><Relationship Id="rId47" Type="http://schemas.openxmlformats.org/officeDocument/2006/relationships/hyperlink" Target="http://www.sec.gov/Archives/edgar/data/813298/000156459015005139/dxlg-ex31_20150616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2020-06-04T12:59:42Z</dcterms:created>
  <dcterms:modified xsi:type="dcterms:W3CDTF">2020-06-04T12:59:42Z</dcterms:modified>
</cp:coreProperties>
</file>