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CURRENT REPORT</w:t>
      </w:r>
    </w:p>
    <w:p>
      <w:pPr>
        <w:spacing w:after="0" w:line="37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18, 2006</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spacing w:after="0" w:line="3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(Exact</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CASUAL MALE RETAIL GROUP,</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w w:val="98"/>
              </w:rPr>
              <w:t>name of registrant as specified</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in its charter)</w:t>
            </w:r>
          </w:p>
        </w:tc>
        <w:tc>
          <w:tcPr>
            <w:tcW w:w="0" w:type="dxa"/>
            <w:vAlign w:val="bottom"/>
          </w:tcPr>
          <w:p>
            <w:pPr>
              <w:spacing w:after="0"/>
              <w:rPr>
                <w:sz w:val="1"/>
                <w:szCs w:val="1"/>
                <w:color w:val="auto"/>
              </w:rPr>
            </w:pPr>
          </w:p>
        </w:tc>
      </w:tr>
      <w:tr>
        <w:trPr>
          <w:trHeight w:val="311"/>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3360" w:type="dxa"/>
            <w:vAlign w:val="bottom"/>
          </w:tcPr>
          <w:p>
            <w:pPr>
              <w:spacing w:after="0"/>
              <w:rPr>
                <w:sz w:val="24"/>
                <w:szCs w:val="24"/>
                <w:color w:val="auto"/>
              </w:rPr>
            </w:pPr>
          </w:p>
        </w:tc>
        <w:tc>
          <w:tcPr>
            <w:tcW w:w="2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04-2623104</w:t>
            </w:r>
          </w:p>
        </w:tc>
        <w:tc>
          <w:tcPr>
            <w:tcW w:w="0" w:type="dxa"/>
            <w:vAlign w:val="bottom"/>
          </w:tcPr>
          <w:p>
            <w:pPr>
              <w:spacing w:after="0"/>
              <w:rPr>
                <w:sz w:val="1"/>
                <w:szCs w:val="1"/>
                <w:color w:val="auto"/>
              </w:rPr>
            </w:pPr>
          </w:p>
        </w:tc>
      </w:tr>
      <w:tr>
        <w:trPr>
          <w:trHeight w:val="235"/>
        </w:trPr>
        <w:tc>
          <w:tcPr>
            <w:tcW w:w="4900" w:type="dxa"/>
            <w:vAlign w:val="bottom"/>
            <w:gridSpan w:val="2"/>
          </w:tcPr>
          <w:p>
            <w:pPr>
              <w:jc w:val="right"/>
              <w:ind w:right="2272"/>
              <w:spacing w:after="0"/>
              <w:rPr>
                <w:sz w:val="20"/>
                <w:szCs w:val="20"/>
                <w:color w:val="auto"/>
              </w:rPr>
            </w:pPr>
            <w:r>
              <w:rPr>
                <w:rFonts w:ascii="Courier New" w:cs="Courier New" w:eastAsia="Courier New" w:hAnsi="Courier New"/>
                <w:sz w:val="18"/>
                <w:szCs w:val="18"/>
                <w:color w:val="auto"/>
                <w:w w:val="97"/>
              </w:rPr>
              <w:t>(State of Incorporation)</w:t>
            </w:r>
          </w:p>
        </w:tc>
        <w:tc>
          <w:tcPr>
            <w:tcW w:w="2480" w:type="dxa"/>
            <w:vAlign w:val="bottom"/>
          </w:tcPr>
          <w:p>
            <w:pPr>
              <w:ind w:left="1120"/>
              <w:spacing w:after="0"/>
              <w:rPr>
                <w:sz w:val="20"/>
                <w:szCs w:val="20"/>
                <w:color w:val="auto"/>
              </w:rPr>
            </w:pPr>
            <w:r>
              <w:rPr>
                <w:rFonts w:ascii="Courier New" w:cs="Courier New" w:eastAsia="Courier New" w:hAnsi="Courier New"/>
                <w:sz w:val="18"/>
                <w:szCs w:val="18"/>
                <w:color w:val="auto"/>
                <w:w w:val="95"/>
              </w:rPr>
              <w:t>(IRS Employer</w:t>
            </w:r>
          </w:p>
        </w:tc>
        <w:tc>
          <w:tcPr>
            <w:tcW w:w="0" w:type="dxa"/>
            <w:vAlign w:val="bottom"/>
          </w:tcPr>
          <w:p>
            <w:pPr>
              <w:spacing w:after="0"/>
              <w:rPr>
                <w:sz w:val="1"/>
                <w:szCs w:val="1"/>
                <w:color w:val="auto"/>
              </w:rPr>
            </w:pPr>
          </w:p>
        </w:tc>
      </w:tr>
    </w:tbl>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37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spacing w:after="0" w:line="3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(Address of registrant's principal executive office)</w:t>
      </w:r>
    </w:p>
    <w:p>
      <w:pPr>
        <w:spacing w:after="0" w:line="372"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372" w:lineRule="exact"/>
        <w:rPr>
          <w:sz w:val="24"/>
          <w:szCs w:val="24"/>
          <w:color w:val="auto"/>
        </w:rPr>
      </w:pPr>
    </w:p>
    <w:p>
      <w:pPr>
        <w:ind w:right="2619"/>
        <w:spacing w:after="0" w:line="292"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20" w:right="2619" w:hanging="412"/>
        <w:spacing w:after="0" w:line="347"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18" w:lineRule="exact"/>
        <w:rPr>
          <w:sz w:val="24"/>
          <w:szCs w:val="24"/>
          <w:color w:val="auto"/>
        </w:rPr>
      </w:pPr>
    </w:p>
    <w:p>
      <w:pPr>
        <w:ind w:left="420" w:right="2839" w:hanging="412"/>
        <w:spacing w:after="0" w:line="34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18" w:lineRule="exact"/>
        <w:rPr>
          <w:sz w:val="24"/>
          <w:szCs w:val="24"/>
          <w:color w:val="auto"/>
        </w:rPr>
      </w:pPr>
    </w:p>
    <w:p>
      <w:pPr>
        <w:ind w:left="420" w:right="2739" w:hanging="412"/>
        <w:spacing w:after="0" w:line="347"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18" w:lineRule="exact"/>
        <w:rPr>
          <w:sz w:val="24"/>
          <w:szCs w:val="24"/>
          <w:color w:val="auto"/>
        </w:rPr>
      </w:pPr>
    </w:p>
    <w:p>
      <w:pPr>
        <w:ind w:left="420" w:right="2739" w:hanging="412"/>
        <w:spacing w:after="0" w:line="347"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1" w:lineRule="exact"/>
        <w:rPr>
          <w:sz w:val="24"/>
          <w:szCs w:val="24"/>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On May 18, 2006, Casual Male Retail Group, Inc. (the "Company") issued a press release announcing the Company's results of operations for the first quarter of fiscal 2006. A copy of this press release is attached hereto as Exhibit 99.1.</w:t>
      </w:r>
    </w:p>
    <w:p>
      <w:pPr>
        <w:spacing w:after="0" w:line="82"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6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 Exhibits</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No. Description</w:t>
      </w:r>
    </w:p>
    <w:p>
      <w:pPr>
        <w:ind w:left="1060"/>
        <w:spacing w:after="0" w:line="238" w:lineRule="auto"/>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results of operations for</w:t>
      </w:r>
    </w:p>
    <w:p>
      <w:pPr>
        <w:ind w:left="2440"/>
        <w:spacing w:after="0"/>
        <w:rPr>
          <w:sz w:val="20"/>
          <w:szCs w:val="20"/>
          <w:color w:val="auto"/>
        </w:rPr>
      </w:pPr>
      <w:r>
        <w:rPr>
          <w:rFonts w:ascii="Courier New" w:cs="Courier New" w:eastAsia="Courier New" w:hAnsi="Courier New"/>
          <w:sz w:val="16"/>
          <w:szCs w:val="16"/>
          <w:color w:val="auto"/>
        </w:rPr>
        <w:t>the first quarter of fiscal 2006 for Casual Male Retail</w:t>
      </w:r>
    </w:p>
    <w:p>
      <w:pPr>
        <w:spacing w:after="0" w:line="2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Group, Inc.</w:t>
      </w:r>
    </w:p>
    <w:p>
      <w:pPr>
        <w:sectPr>
          <w:pgSz w:w="11900" w:h="16838" w:orient="portrait"/>
          <w:cols w:equalWidth="0" w:num="1">
            <w:col w:w="10219"/>
          </w:cols>
          <w:pgMar w:left="240" w:top="420" w:right="1440" w:bottom="626"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3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5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31"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18, 2006</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(561) 514-0115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212-445-8368</w:t>
      </w:r>
    </w:p>
    <w:p>
      <w:pPr>
        <w:spacing w:after="0" w:line="372" w:lineRule="exact"/>
        <w:rPr>
          <w:sz w:val="20"/>
          <w:szCs w:val="20"/>
          <w:color w:val="auto"/>
        </w:rPr>
      </w:pPr>
    </w:p>
    <w:p>
      <w:pPr>
        <w:ind w:left="1700" w:right="3259" w:hanging="631"/>
        <w:spacing w:after="0" w:line="257" w:lineRule="auto"/>
        <w:rPr>
          <w:sz w:val="20"/>
          <w:szCs w:val="20"/>
          <w:color w:val="auto"/>
        </w:rPr>
      </w:pPr>
      <w:r>
        <w:rPr>
          <w:rFonts w:ascii="Courier New" w:cs="Courier New" w:eastAsia="Courier New" w:hAnsi="Courier New"/>
          <w:sz w:val="18"/>
          <w:szCs w:val="18"/>
          <w:color w:val="auto"/>
        </w:rPr>
        <w:t>Casual Male Retail Group, Inc. Reports Operating Results For the First Quarter of Fiscal 2006</w:t>
      </w:r>
    </w:p>
    <w:p>
      <w:pPr>
        <w:ind w:left="860"/>
        <w:spacing w:after="0"/>
        <w:rPr>
          <w:sz w:val="20"/>
          <w:szCs w:val="20"/>
          <w:color w:val="auto"/>
        </w:rPr>
      </w:pPr>
      <w:r>
        <w:rPr>
          <w:rFonts w:ascii="Courier New" w:cs="Courier New" w:eastAsia="Courier New" w:hAnsi="Courier New"/>
          <w:sz w:val="16"/>
          <w:szCs w:val="16"/>
          <w:color w:val="auto"/>
        </w:rPr>
        <w:t>Operating Income of $.02 per share versus loss of $.03 last year</w:t>
      </w:r>
    </w:p>
    <w:p>
      <w:pPr>
        <w:spacing w:after="0" w:line="192" w:lineRule="exact"/>
        <w:rPr>
          <w:sz w:val="20"/>
          <w:szCs w:val="20"/>
          <w:color w:val="auto"/>
        </w:rPr>
      </w:pPr>
    </w:p>
    <w:p>
      <w:pPr>
        <w:ind w:right="2739"/>
        <w:spacing w:after="0" w:line="274" w:lineRule="auto"/>
        <w:rPr>
          <w:sz w:val="20"/>
          <w:szCs w:val="20"/>
          <w:color w:val="auto"/>
        </w:rPr>
      </w:pPr>
      <w:r>
        <w:rPr>
          <w:rFonts w:ascii="Courier New" w:cs="Courier New" w:eastAsia="Courier New" w:hAnsi="Courier New"/>
          <w:sz w:val="18"/>
          <w:szCs w:val="18"/>
          <w:color w:val="auto"/>
        </w:rPr>
        <w:t>CANTON, MA, May 18, 2006 -- Casual Male Retail Group, Inc. (NASDAQ/NMS: "CMRG"), retail brand operator of Casual Male XL, Casual Male Big &amp; Tall, and Rochester Big &amp; Tall, today announced its operating results for the first quarter of fiscal 2006.</w:t>
      </w:r>
    </w:p>
    <w:p>
      <w:pPr>
        <w:spacing w:after="0" w:line="82" w:lineRule="exact"/>
        <w:rPr>
          <w:sz w:val="20"/>
          <w:szCs w:val="20"/>
          <w:color w:val="auto"/>
        </w:rPr>
      </w:pPr>
    </w:p>
    <w:p>
      <w:pPr>
        <w:jc w:val="both"/>
        <w:ind w:right="2939"/>
        <w:spacing w:after="0" w:line="282" w:lineRule="auto"/>
        <w:rPr>
          <w:sz w:val="20"/>
          <w:szCs w:val="20"/>
          <w:color w:val="auto"/>
        </w:rPr>
      </w:pPr>
      <w:r>
        <w:rPr>
          <w:rFonts w:ascii="Courier New" w:cs="Courier New" w:eastAsia="Courier New" w:hAnsi="Courier New"/>
          <w:sz w:val="16"/>
          <w:szCs w:val="16"/>
          <w:color w:val="auto"/>
        </w:rPr>
        <w:t>For the first quarter of fiscal 2006, net income was $1.4 million, or $0.04 per diluted share, compared to a net loss of $(1.9) million, or $(0.05) per diluted share, for the first quarter of fiscal 2005.</w:t>
      </w:r>
    </w:p>
    <w:p>
      <w:pPr>
        <w:spacing w:after="0" w:line="1" w:lineRule="exact"/>
        <w:rPr>
          <w:sz w:val="20"/>
          <w:szCs w:val="20"/>
          <w:color w:val="auto"/>
        </w:rPr>
      </w:pPr>
    </w:p>
    <w:p>
      <w:pPr>
        <w:ind w:right="2739"/>
        <w:spacing w:after="0" w:line="295" w:lineRule="auto"/>
        <w:rPr>
          <w:sz w:val="20"/>
          <w:szCs w:val="20"/>
          <w:color w:val="auto"/>
        </w:rPr>
      </w:pPr>
      <w:r>
        <w:rPr>
          <w:rFonts w:ascii="Courier New" w:cs="Courier New" w:eastAsia="Courier New" w:hAnsi="Courier New"/>
          <w:sz w:val="16"/>
          <w:szCs w:val="16"/>
          <w:color w:val="auto"/>
        </w:rPr>
        <w:t>Assuming a normalized tax rate of 39.5% similar to the first quarter of fiscal 2006, the net loss for the first quarter of fiscal 2005 would have been $(0.03) per diluted share. Results for the first quarter of fiscal 2006, include a gain of $0.02 per diluted share from the sale of the Company's loss prevention subsidiary, LP Innovations, Inc.</w:t>
      </w:r>
    </w:p>
    <w:p>
      <w:pPr>
        <w:spacing w:after="0" w:line="70" w:lineRule="exact"/>
        <w:rPr>
          <w:sz w:val="20"/>
          <w:szCs w:val="20"/>
          <w:color w:val="auto"/>
        </w:rPr>
      </w:pPr>
    </w:p>
    <w:p>
      <w:pPr>
        <w:ind w:right="2739"/>
        <w:spacing w:after="0" w:line="274" w:lineRule="auto"/>
        <w:rPr>
          <w:sz w:val="20"/>
          <w:szCs w:val="20"/>
          <w:color w:val="auto"/>
        </w:rPr>
      </w:pPr>
      <w:r>
        <w:rPr>
          <w:rFonts w:ascii="Courier New" w:cs="Courier New" w:eastAsia="Courier New" w:hAnsi="Courier New"/>
          <w:sz w:val="18"/>
          <w:szCs w:val="18"/>
          <w:color w:val="auto"/>
        </w:rPr>
        <w:t>"This is the first time that Causal Male has earned a profit in the first quarter since our acquisition in 2002. Our operating results were $0.05 per diluted share better than a year ago," said David Levin, President and Chief Executive Officer.</w:t>
      </w:r>
    </w:p>
    <w:p>
      <w:pPr>
        <w:spacing w:after="0" w:line="82" w:lineRule="exact"/>
        <w:rPr>
          <w:sz w:val="20"/>
          <w:szCs w:val="20"/>
          <w:color w:val="auto"/>
        </w:rPr>
      </w:pPr>
    </w:p>
    <w:p>
      <w:pPr>
        <w:ind w:right="3039"/>
        <w:spacing w:after="0" w:line="265" w:lineRule="auto"/>
        <w:rPr>
          <w:sz w:val="20"/>
          <w:szCs w:val="20"/>
          <w:color w:val="auto"/>
        </w:rPr>
      </w:pPr>
      <w:r>
        <w:rPr>
          <w:rFonts w:ascii="Courier New" w:cs="Courier New" w:eastAsia="Courier New" w:hAnsi="Courier New"/>
          <w:sz w:val="18"/>
          <w:szCs w:val="18"/>
          <w:color w:val="auto"/>
        </w:rPr>
        <w:t>Dennis Hernreich, Executive Vice President, COO and CFO, said, "The first quarter's profitability is a continuation of 2005 results; improvement in gross margins together with solid sales gains. Gross margins are anticipated to continue to improve by approximately100 basis points for the balance of the year."</w:t>
      </w:r>
    </w:p>
    <w:p>
      <w:pPr>
        <w:spacing w:after="0" w:line="90" w:lineRule="exact"/>
        <w:rPr>
          <w:sz w:val="20"/>
          <w:szCs w:val="20"/>
          <w:color w:val="auto"/>
        </w:rPr>
      </w:pPr>
    </w:p>
    <w:p>
      <w:pPr>
        <w:ind w:right="2739"/>
        <w:spacing w:after="0" w:line="250" w:lineRule="auto"/>
        <w:rPr>
          <w:sz w:val="20"/>
          <w:szCs w:val="20"/>
          <w:color w:val="auto"/>
        </w:rPr>
      </w:pPr>
      <w:r>
        <w:rPr>
          <w:rFonts w:ascii="Courier New" w:cs="Courier New" w:eastAsia="Courier New" w:hAnsi="Courier New"/>
          <w:sz w:val="18"/>
          <w:szCs w:val="18"/>
          <w:color w:val="auto"/>
        </w:rPr>
        <w:t>Casual Male is pleased to announce that it has acquired Jared M., an apparel company that specializes in selling custom clothing to professional athletes, almost all of whom are big and tall. "By utilizing our existing real estate, sourcing and marketing capabilities, we see this niche business as a future growth vehicle for our Rochester Big and Tall division. Jared M has the cache, quality and fashion direction that will be a great fit with our existing luxury Rochester brand. Jared Margolis, creator of Jared M., has joined the Casual Male team as president of the Jared M. subsidiary," said David Levin.</w:t>
      </w:r>
    </w:p>
    <w:p>
      <w:pPr>
        <w:spacing w:after="0" w:line="104" w:lineRule="exact"/>
        <w:rPr>
          <w:sz w:val="20"/>
          <w:szCs w:val="20"/>
          <w:color w:val="auto"/>
        </w:rPr>
      </w:pPr>
    </w:p>
    <w:p>
      <w:pPr>
        <w:ind w:right="2739"/>
        <w:spacing w:after="0" w:line="288" w:lineRule="auto"/>
        <w:rPr>
          <w:sz w:val="20"/>
          <w:szCs w:val="20"/>
          <w:color w:val="auto"/>
        </w:rPr>
      </w:pPr>
      <w:r>
        <w:rPr>
          <w:rFonts w:ascii="Courier New" w:cs="Courier New" w:eastAsia="Courier New" w:hAnsi="Courier New"/>
          <w:sz w:val="16"/>
          <w:szCs w:val="16"/>
          <w:color w:val="auto"/>
        </w:rPr>
        <w:t>Casual Male will host a conference call with security analysts beginning at 11:00 a.m. ET today, Thursday, May 18, 2006, to review the operating results for the first quarter ended April 29, 2006. The call is being webcast and can be accessed at www.casualmale.com/investor.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86"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refers to a normalized tax rate for the first quarter of fiscal 2005, which is a non-GAAP measurement. Normalized tax basis reflects a 39.5% effective tax rate on the pre-tax net loss making it comparable to the net income for the first quarter of fiscal 2006 which includes a normalized tax provision.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the net loss of $0.05 per diluted share for the first quarter of fiscal 2005 on a GAAP basis affected for the adjustment for normalized taxes:</w:t>
      </w:r>
    </w:p>
    <w:p>
      <w:pPr>
        <w:sectPr>
          <w:pgSz w:w="11900" w:h="16838" w:orient="portrait"/>
          <w:cols w:equalWidth="0" w:num="1">
            <w:col w:w="10219"/>
          </w:cols>
          <w:pgMar w:left="240" w:top="515" w:right="1440" w:bottom="0" w:gutter="0" w:footer="0" w:header="0"/>
        </w:sect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13 weeks ended: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and shares in millions,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April 30, 2005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500" w:space="720"/>
            <w:col w:w="5999"/>
          </w:cols>
          <w:pgMar w:left="240" w:top="515"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except per share amounts)</w:t>
            </w:r>
          </w:p>
        </w:tc>
        <w:tc>
          <w:tcPr>
            <w:tcW w:w="1260" w:type="dxa"/>
            <w:vAlign w:val="bottom"/>
          </w:tcPr>
          <w:p>
            <w:pPr>
              <w:spacing w:after="0"/>
              <w:rPr>
                <w:sz w:val="17"/>
                <w:szCs w:val="17"/>
                <w:color w:val="auto"/>
              </w:rPr>
            </w:pPr>
          </w:p>
        </w:tc>
        <w:tc>
          <w:tcPr>
            <w:tcW w:w="4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Net Loss</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as reported</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w:t>
            </w:r>
          </w:p>
        </w:tc>
        <w:tc>
          <w:tcPr>
            <w:tcW w:w="4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Per Share</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4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$(0.05)</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 benefit, assuming normalized</w:t>
            </w:r>
          </w:p>
        </w:tc>
        <w:tc>
          <w:tcPr>
            <w:tcW w:w="426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 rate of 39.5%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Adjusted net loss, after normalized</w:t>
            </w:r>
          </w:p>
        </w:tc>
        <w:tc>
          <w:tcPr>
            <w:tcW w:w="552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860" w:type="dxa"/>
            <w:vAlign w:val="bottom"/>
            <w:vMerge w:val="continue"/>
          </w:tcPr>
          <w:p>
            <w:pPr>
              <w:spacing w:after="0"/>
              <w:rPr>
                <w:sz w:val="9"/>
                <w:szCs w:val="9"/>
                <w:color w:val="auto"/>
              </w:rPr>
            </w:pP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w:t>
            </w:r>
          </w:p>
        </w:tc>
        <w:tc>
          <w:tcPr>
            <w:tcW w:w="4260" w:type="dxa"/>
            <w:vAlign w:val="bottom"/>
            <w:vMerge w:val="restart"/>
          </w:tcPr>
          <w:p>
            <w:pPr>
              <w:jc w:val="right"/>
              <w:ind w:right="1272"/>
              <w:spacing w:after="0"/>
              <w:rPr>
                <w:sz w:val="20"/>
                <w:szCs w:val="20"/>
                <w:color w:val="auto"/>
              </w:rPr>
            </w:pPr>
            <w:r>
              <w:rPr>
                <w:rFonts w:ascii="Courier New" w:cs="Courier New" w:eastAsia="Courier New" w:hAnsi="Courier New"/>
                <w:sz w:val="18"/>
                <w:szCs w:val="18"/>
                <w:color w:val="auto"/>
              </w:rPr>
              <w:t>$(0.03)</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tax benefit</w:t>
            </w:r>
          </w:p>
        </w:tc>
        <w:tc>
          <w:tcPr>
            <w:tcW w:w="126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shares</w:t>
            </w:r>
          </w:p>
        </w:tc>
        <w:tc>
          <w:tcPr>
            <w:tcW w:w="1260" w:type="dxa"/>
            <w:vAlign w:val="bottom"/>
          </w:tcPr>
          <w:p>
            <w:pPr>
              <w:spacing w:after="0"/>
              <w:rPr>
                <w:sz w:val="24"/>
                <w:szCs w:val="24"/>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860" w:type="dxa"/>
            <w:vAlign w:val="bottom"/>
            <w:vMerge w:val="continue"/>
          </w:tcPr>
          <w:p>
            <w:pPr>
              <w:spacing w:after="0"/>
              <w:rPr>
                <w:sz w:val="9"/>
                <w:szCs w:val="9"/>
                <w:color w:val="auto"/>
              </w:rPr>
            </w:pP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34.2</w:t>
            </w:r>
          </w:p>
        </w:tc>
        <w:tc>
          <w:tcPr>
            <w:tcW w:w="4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outstanding - diluted</w:t>
            </w:r>
          </w:p>
        </w:tc>
        <w:tc>
          <w:tcPr>
            <w:tcW w:w="126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739"/>
        <w:spacing w:after="0" w:line="253"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487 Casual Male Big &amp; Tall stores, the Casual Male e-commerce site, Casual Male catalog business, 13 Casual Male at Sears-Canada stores and 23 Rochester Big &amp; Tall stores and a direct to consumer business. The Company is headquartered in Canton, Massachusetts and its common stock is listed on the Nasdaq National Market under the symbol "CMRG."</w:t>
      </w:r>
    </w:p>
    <w:p>
      <w:pPr>
        <w:spacing w:after="0" w:line="104" w:lineRule="exact"/>
        <w:rPr>
          <w:sz w:val="20"/>
          <w:szCs w:val="20"/>
          <w:color w:val="auto"/>
        </w:rPr>
      </w:pPr>
    </w:p>
    <w:p>
      <w:pPr>
        <w:ind w:right="2739"/>
        <w:spacing w:after="0" w:line="283"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31, 2006, that set forth certain risks and uncertainties that may have an impact on future results and direction of the Company.</w:t>
      </w:r>
    </w:p>
    <w:p>
      <w:pPr>
        <w:spacing w:after="0" w:line="29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[tables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CONSOLIDATED STATEMENTS OF OPERATIONS</w:t>
      </w:r>
    </w:p>
    <w:tbl>
      <w:tblPr>
        <w:tblLayout w:type="fixed"/>
        <w:tblInd w:w="0" w:type="dxa"/>
        <w:tblCellMar>
          <w:top w:w="0" w:type="dxa"/>
          <w:left w:w="0" w:type="dxa"/>
          <w:bottom w:w="0" w:type="dxa"/>
          <w:right w:w="0" w:type="dxa"/>
        </w:tblCellMar>
      </w:tblPr>
      <w:tr>
        <w:trPr>
          <w:trHeight w:val="296"/>
        </w:trPr>
        <w:tc>
          <w:tcPr>
            <w:tcW w:w="1800" w:type="dxa"/>
            <w:vAlign w:val="bottom"/>
          </w:tcPr>
          <w:p>
            <w:pPr>
              <w:spacing w:after="0"/>
              <w:rPr>
                <w:sz w:val="24"/>
                <w:szCs w:val="24"/>
                <w:color w:val="auto"/>
              </w:rPr>
            </w:pPr>
          </w:p>
        </w:tc>
        <w:tc>
          <w:tcPr>
            <w:tcW w:w="42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(In thousands, except per share data)</w:t>
            </w:r>
          </w:p>
        </w:tc>
        <w:tc>
          <w:tcPr>
            <w:tcW w:w="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gridSpan w:val="2"/>
            <w:vMerge w:val="restart"/>
          </w:tcPr>
          <w:p>
            <w:pPr>
              <w:jc w:val="right"/>
              <w:ind w:right="372"/>
              <w:spacing w:after="0"/>
              <w:rPr>
                <w:sz w:val="20"/>
                <w:szCs w:val="20"/>
                <w:color w:val="auto"/>
              </w:rPr>
            </w:pPr>
            <w:r>
              <w:rPr>
                <w:rFonts w:ascii="Courier New" w:cs="Courier New" w:eastAsia="Courier New" w:hAnsi="Courier New"/>
                <w:sz w:val="18"/>
                <w:szCs w:val="18"/>
                <w:color w:val="auto"/>
              </w:rPr>
              <w:t>April 29, 2006</w:t>
            </w:r>
          </w:p>
        </w:tc>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the three months ended</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9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April 30, 2005</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Sales</w:t>
            </w:r>
          </w:p>
        </w:tc>
        <w:tc>
          <w:tcPr>
            <w:tcW w:w="2220" w:type="dxa"/>
            <w:vAlign w:val="bottom"/>
          </w:tcPr>
          <w:p>
            <w:pPr>
              <w:spacing w:after="0"/>
              <w:rPr>
                <w:sz w:val="17"/>
                <w:szCs w:val="17"/>
                <w:color w:val="auto"/>
              </w:rPr>
            </w:pPr>
          </w:p>
        </w:tc>
        <w:tc>
          <w:tcPr>
            <w:tcW w:w="20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102,864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97,298</w:t>
            </w: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620" w:type="dxa"/>
            <w:vAlign w:val="bottom"/>
          </w:tcPr>
          <w:p>
            <w:pPr>
              <w:spacing w:after="0"/>
              <w:rPr>
                <w:sz w:val="17"/>
                <w:szCs w:val="17"/>
                <w:color w:val="auto"/>
              </w:rPr>
            </w:pPr>
          </w:p>
        </w:tc>
        <w:tc>
          <w:tcPr>
            <w:tcW w:w="14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57,860</w:t>
            </w:r>
          </w:p>
        </w:tc>
        <w:tc>
          <w:tcPr>
            <w:tcW w:w="800" w:type="dxa"/>
            <w:vAlign w:val="bottom"/>
          </w:tcPr>
          <w:p>
            <w:pPr>
              <w:spacing w:after="0"/>
              <w:rPr>
                <w:sz w:val="17"/>
                <w:szCs w:val="17"/>
                <w:color w:val="auto"/>
              </w:rPr>
            </w:pPr>
          </w:p>
        </w:tc>
        <w:tc>
          <w:tcPr>
            <w:tcW w:w="2100" w:type="dxa"/>
            <w:vAlign w:val="bottom"/>
            <w:vMerge w:val="restart"/>
          </w:tcPr>
          <w:p>
            <w:pPr>
              <w:jc w:val="right"/>
              <w:ind w:right="1272"/>
              <w:spacing w:after="0"/>
              <w:rPr>
                <w:sz w:val="20"/>
                <w:szCs w:val="20"/>
                <w:color w:val="auto"/>
              </w:rPr>
            </w:pPr>
            <w:r>
              <w:rPr>
                <w:rFonts w:ascii="Courier New" w:cs="Courier New" w:eastAsia="Courier New" w:hAnsi="Courier New"/>
                <w:sz w:val="18"/>
                <w:szCs w:val="18"/>
                <w:color w:val="auto"/>
              </w:rPr>
              <w:t>57,059</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2220" w:type="dxa"/>
            <w:vAlign w:val="bottom"/>
          </w:tcPr>
          <w:p>
            <w:pPr>
              <w:spacing w:after="0"/>
              <w:rPr>
                <w:sz w:val="17"/>
                <w:szCs w:val="17"/>
                <w:color w:val="auto"/>
              </w:rPr>
            </w:pPr>
          </w:p>
        </w:tc>
        <w:tc>
          <w:tcPr>
            <w:tcW w:w="20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45,004</w:t>
            </w:r>
          </w:p>
        </w:tc>
        <w:tc>
          <w:tcPr>
            <w:tcW w:w="800" w:type="dxa"/>
            <w:vAlign w:val="bottom"/>
          </w:tcPr>
          <w:p>
            <w:pPr>
              <w:spacing w:after="0"/>
              <w:rPr>
                <w:sz w:val="24"/>
                <w:szCs w:val="24"/>
                <w:color w:val="auto"/>
              </w:rPr>
            </w:pPr>
          </w:p>
        </w:tc>
        <w:tc>
          <w:tcPr>
            <w:tcW w:w="21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40,239</w:t>
            </w:r>
          </w:p>
        </w:tc>
        <w:tc>
          <w:tcPr>
            <w:tcW w:w="0" w:type="dxa"/>
            <w:vAlign w:val="bottom"/>
          </w:tcPr>
          <w:p>
            <w:pPr>
              <w:spacing w:after="0"/>
              <w:rPr>
                <w:sz w:val="1"/>
                <w:szCs w:val="1"/>
                <w:color w:val="auto"/>
              </w:rPr>
            </w:pPr>
          </w:p>
        </w:tc>
      </w:tr>
      <w:tr>
        <w:trPr>
          <w:trHeight w:val="311"/>
        </w:trPr>
        <w:tc>
          <w:tcPr>
            <w:tcW w:w="18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39,359</w:t>
            </w:r>
          </w:p>
        </w:tc>
        <w:tc>
          <w:tcPr>
            <w:tcW w:w="800" w:type="dxa"/>
            <w:vAlign w:val="bottom"/>
          </w:tcPr>
          <w:p>
            <w:pPr>
              <w:spacing w:after="0"/>
              <w:rPr>
                <w:sz w:val="24"/>
                <w:szCs w:val="24"/>
                <w:color w:val="auto"/>
              </w:rPr>
            </w:pPr>
          </w:p>
        </w:tc>
        <w:tc>
          <w:tcPr>
            <w:tcW w:w="2100" w:type="dxa"/>
            <w:vAlign w:val="bottom"/>
            <w:vMerge w:val="restart"/>
          </w:tcPr>
          <w:p>
            <w:pPr>
              <w:jc w:val="right"/>
              <w:ind w:right="1272"/>
              <w:spacing w:after="0"/>
              <w:rPr>
                <w:sz w:val="20"/>
                <w:szCs w:val="20"/>
                <w:color w:val="auto"/>
              </w:rPr>
            </w:pPr>
            <w:r>
              <w:rPr>
                <w:rFonts w:ascii="Courier New" w:cs="Courier New" w:eastAsia="Courier New" w:hAnsi="Courier New"/>
                <w:sz w:val="18"/>
                <w:szCs w:val="18"/>
                <w:color w:val="auto"/>
              </w:rPr>
              <w:t>37,162</w:t>
            </w:r>
          </w:p>
        </w:tc>
        <w:tc>
          <w:tcPr>
            <w:tcW w:w="0" w:type="dxa"/>
            <w:vAlign w:val="bottom"/>
          </w:tcPr>
          <w:p>
            <w:pPr>
              <w:spacing w:after="0"/>
              <w:rPr>
                <w:sz w:val="1"/>
                <w:szCs w:val="1"/>
                <w:color w:val="auto"/>
              </w:rPr>
            </w:pP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6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6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3,250</w:t>
            </w:r>
          </w:p>
        </w:tc>
        <w:tc>
          <w:tcPr>
            <w:tcW w:w="800" w:type="dxa"/>
            <w:vAlign w:val="bottom"/>
          </w:tcPr>
          <w:p>
            <w:pPr>
              <w:spacing w:after="0"/>
              <w:rPr>
                <w:sz w:val="17"/>
                <w:szCs w:val="17"/>
                <w:color w:val="auto"/>
              </w:rPr>
            </w:pP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2,978</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Total expenses</w:t>
            </w:r>
          </w:p>
        </w:tc>
        <w:tc>
          <w:tcPr>
            <w:tcW w:w="2220" w:type="dxa"/>
            <w:vAlign w:val="bottom"/>
          </w:tcPr>
          <w:p>
            <w:pPr>
              <w:spacing w:after="0"/>
              <w:rPr>
                <w:sz w:val="17"/>
                <w:szCs w:val="17"/>
                <w:color w:val="auto"/>
              </w:rPr>
            </w:pPr>
          </w:p>
        </w:tc>
        <w:tc>
          <w:tcPr>
            <w:tcW w:w="20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42,609</w:t>
            </w:r>
          </w:p>
        </w:tc>
        <w:tc>
          <w:tcPr>
            <w:tcW w:w="800" w:type="dxa"/>
            <w:vAlign w:val="bottom"/>
          </w:tcPr>
          <w:p>
            <w:pPr>
              <w:spacing w:after="0"/>
              <w:rPr>
                <w:sz w:val="17"/>
                <w:szCs w:val="17"/>
                <w:color w:val="auto"/>
              </w:rPr>
            </w:pP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40,140</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2220" w:type="dxa"/>
            <w:vAlign w:val="bottom"/>
          </w:tcPr>
          <w:p>
            <w:pPr>
              <w:spacing w:after="0"/>
              <w:rPr>
                <w:sz w:val="17"/>
                <w:szCs w:val="17"/>
                <w:color w:val="auto"/>
              </w:rPr>
            </w:pPr>
          </w:p>
        </w:tc>
        <w:tc>
          <w:tcPr>
            <w:tcW w:w="20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2,395</w:t>
            </w:r>
          </w:p>
        </w:tc>
        <w:tc>
          <w:tcPr>
            <w:tcW w:w="800" w:type="dxa"/>
            <w:vAlign w:val="bottom"/>
          </w:tcPr>
          <w:p>
            <w:pPr>
              <w:spacing w:after="0"/>
              <w:rPr>
                <w:sz w:val="24"/>
                <w:szCs w:val="24"/>
                <w:color w:val="auto"/>
              </w:rPr>
            </w:pPr>
          </w:p>
        </w:tc>
        <w:tc>
          <w:tcPr>
            <w:tcW w:w="21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99</w:t>
            </w:r>
          </w:p>
        </w:tc>
        <w:tc>
          <w:tcPr>
            <w:tcW w:w="0" w:type="dxa"/>
            <w:vAlign w:val="bottom"/>
          </w:tcPr>
          <w:p>
            <w:pPr>
              <w:spacing w:after="0"/>
              <w:rPr>
                <w:sz w:val="1"/>
                <w:szCs w:val="1"/>
                <w:color w:val="auto"/>
              </w:rPr>
            </w:pPr>
          </w:p>
        </w:tc>
      </w:tr>
      <w:tr>
        <w:trPr>
          <w:trHeight w:val="311"/>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Other income (expense), net</w:t>
            </w:r>
          </w:p>
        </w:tc>
        <w:tc>
          <w:tcPr>
            <w:tcW w:w="6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1,112</w:t>
            </w:r>
          </w:p>
        </w:tc>
        <w:tc>
          <w:tcPr>
            <w:tcW w:w="800" w:type="dxa"/>
            <w:vAlign w:val="bottom"/>
          </w:tcPr>
          <w:p>
            <w:pPr>
              <w:spacing w:after="0"/>
              <w:rPr>
                <w:sz w:val="24"/>
                <w:szCs w:val="24"/>
                <w:color w:val="auto"/>
              </w:rPr>
            </w:pPr>
          </w:p>
        </w:tc>
        <w:tc>
          <w:tcPr>
            <w:tcW w:w="21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(1,219)</w:t>
            </w:r>
          </w:p>
        </w:tc>
        <w:tc>
          <w:tcPr>
            <w:tcW w:w="800" w:type="dxa"/>
            <w:vAlign w:val="bottom"/>
          </w:tcPr>
          <w:p>
            <w:pPr>
              <w:spacing w:after="0"/>
              <w:rPr>
                <w:sz w:val="17"/>
                <w:szCs w:val="17"/>
                <w:color w:val="auto"/>
              </w:rPr>
            </w:pPr>
          </w:p>
        </w:tc>
        <w:tc>
          <w:tcPr>
            <w:tcW w:w="21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(1,980)</w:t>
            </w:r>
          </w:p>
        </w:tc>
        <w:tc>
          <w:tcPr>
            <w:tcW w:w="0" w:type="dxa"/>
            <w:vAlign w:val="bottom"/>
          </w:tcPr>
          <w:p>
            <w:pPr>
              <w:spacing w:after="0"/>
              <w:rPr>
                <w:sz w:val="1"/>
                <w:szCs w:val="1"/>
                <w:color w:val="auto"/>
              </w:rPr>
            </w:pPr>
          </w:p>
        </w:tc>
      </w:tr>
      <w:tr>
        <w:trPr>
          <w:trHeight w:val="296"/>
        </w:trPr>
        <w:tc>
          <w:tcPr>
            <w:tcW w:w="40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Income (loss) before income</w:t>
            </w:r>
          </w:p>
        </w:tc>
        <w:tc>
          <w:tcPr>
            <w:tcW w:w="20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02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2,288</w:t>
            </w:r>
          </w:p>
        </w:tc>
        <w:tc>
          <w:tcPr>
            <w:tcW w:w="800" w:type="dxa"/>
            <w:vAlign w:val="bottom"/>
          </w:tcPr>
          <w:p>
            <w:pPr>
              <w:spacing w:after="0"/>
              <w:rPr>
                <w:sz w:val="9"/>
                <w:szCs w:val="9"/>
                <w:color w:val="auto"/>
              </w:rPr>
            </w:pPr>
          </w:p>
        </w:tc>
        <w:tc>
          <w:tcPr>
            <w:tcW w:w="210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(1,881)</w:t>
            </w: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taxes</w:t>
            </w: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6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901</w:t>
            </w:r>
          </w:p>
        </w:tc>
        <w:tc>
          <w:tcPr>
            <w:tcW w:w="800" w:type="dxa"/>
            <w:vAlign w:val="bottom"/>
          </w:tcPr>
          <w:p>
            <w:pPr>
              <w:spacing w:after="0"/>
              <w:rPr>
                <w:sz w:val="24"/>
                <w:szCs w:val="24"/>
                <w:color w:val="auto"/>
              </w:rPr>
            </w:pPr>
          </w:p>
        </w:tc>
        <w:tc>
          <w:tcPr>
            <w:tcW w:w="21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Net income (loss)</w:t>
            </w:r>
          </w:p>
        </w:tc>
        <w:tc>
          <w:tcPr>
            <w:tcW w:w="2220" w:type="dxa"/>
            <w:vAlign w:val="bottom"/>
          </w:tcPr>
          <w:p>
            <w:pPr>
              <w:spacing w:after="0"/>
              <w:rPr>
                <w:sz w:val="17"/>
                <w:szCs w:val="17"/>
                <w:color w:val="auto"/>
              </w:rPr>
            </w:pPr>
          </w:p>
        </w:tc>
        <w:tc>
          <w:tcPr>
            <w:tcW w:w="20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1,387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(1,881)</w:t>
            </w: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Net income (loss) per share</w:t>
            </w:r>
          </w:p>
        </w:tc>
        <w:tc>
          <w:tcPr>
            <w:tcW w:w="620" w:type="dxa"/>
            <w:vAlign w:val="bottom"/>
          </w:tcPr>
          <w:p>
            <w:pPr>
              <w:spacing w:after="0"/>
              <w:rPr>
                <w:sz w:val="24"/>
                <w:szCs w:val="24"/>
                <w:color w:val="auto"/>
              </w:rPr>
            </w:pPr>
          </w:p>
        </w:tc>
        <w:tc>
          <w:tcPr>
            <w:tcW w:w="14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$0.04</w:t>
            </w:r>
          </w:p>
        </w:tc>
        <w:tc>
          <w:tcPr>
            <w:tcW w:w="800" w:type="dxa"/>
            <w:vAlign w:val="bottom"/>
          </w:tcPr>
          <w:p>
            <w:pPr>
              <w:spacing w:after="0"/>
              <w:rPr>
                <w:sz w:val="24"/>
                <w:szCs w:val="24"/>
                <w:color w:val="auto"/>
              </w:rPr>
            </w:pPr>
          </w:p>
        </w:tc>
        <w:tc>
          <w:tcPr>
            <w:tcW w:w="210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($0.05)</w:t>
            </w:r>
          </w:p>
        </w:tc>
        <w:tc>
          <w:tcPr>
            <w:tcW w:w="0" w:type="dxa"/>
            <w:vAlign w:val="bottom"/>
          </w:tcPr>
          <w:p>
            <w:pPr>
              <w:spacing w:after="0"/>
              <w:rPr>
                <w:sz w:val="1"/>
                <w:szCs w:val="1"/>
                <w:color w:val="auto"/>
              </w:rPr>
            </w:pPr>
          </w:p>
        </w:tc>
      </w:tr>
      <w:tr>
        <w:trPr>
          <w:trHeight w:val="296"/>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 - basic and diluted</w:t>
            </w:r>
          </w:p>
        </w:tc>
        <w:tc>
          <w:tcPr>
            <w:tcW w:w="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tcPr>
          <w:p>
            <w:pPr>
              <w:spacing w:after="0"/>
              <w:rPr>
                <w:sz w:val="20"/>
                <w:szCs w:val="20"/>
                <w:color w:val="auto"/>
              </w:rPr>
            </w:pPr>
            <w:r>
              <w:rPr>
                <w:rFonts w:ascii="Courier New" w:cs="Courier New" w:eastAsia="Courier New" w:hAnsi="Courier New"/>
                <w:sz w:val="18"/>
                <w:szCs w:val="18"/>
                <w:color w:val="auto"/>
              </w:rPr>
              <w:t>Weighted-average</w:t>
            </w:r>
          </w:p>
        </w:tc>
        <w:tc>
          <w:tcPr>
            <w:tcW w:w="2840" w:type="dxa"/>
            <w:vAlign w:val="bottom"/>
            <w:gridSpan w:val="2"/>
          </w:tcPr>
          <w:p>
            <w:pPr>
              <w:spacing w:after="0"/>
              <w:rPr>
                <w:sz w:val="20"/>
                <w:szCs w:val="20"/>
                <w:color w:val="auto"/>
              </w:rPr>
            </w:pPr>
            <w:r>
              <w:rPr>
                <w:rFonts w:ascii="Courier New" w:cs="Courier New" w:eastAsia="Courier New" w:hAnsi="Courier New"/>
                <w:sz w:val="18"/>
                <w:szCs w:val="18"/>
                <w:color w:val="auto"/>
              </w:rPr>
              <w:t>number of common shares</w:t>
            </w:r>
          </w:p>
        </w:tc>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w w:val="95"/>
              </w:rPr>
              <w:t>34,887</w:t>
            </w:r>
          </w:p>
        </w:tc>
        <w:tc>
          <w:tcPr>
            <w:tcW w:w="800" w:type="dxa"/>
            <w:vAlign w:val="bottom"/>
          </w:tcPr>
          <w:p>
            <w:pPr>
              <w:spacing w:after="0"/>
              <w:rPr>
                <w:sz w:val="24"/>
                <w:szCs w:val="24"/>
                <w:color w:val="auto"/>
              </w:rPr>
            </w:pPr>
          </w:p>
        </w:tc>
        <w:tc>
          <w:tcPr>
            <w:tcW w:w="210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34,234</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620" w:type="dxa"/>
            <w:vAlign w:val="bottom"/>
          </w:tcPr>
          <w:p>
            <w:pPr>
              <w:spacing w:after="0"/>
              <w:rPr>
                <w:sz w:val="24"/>
                <w:szCs w:val="24"/>
                <w:color w:val="auto"/>
              </w:rPr>
            </w:pPr>
          </w:p>
        </w:tc>
        <w:tc>
          <w:tcPr>
            <w:tcW w:w="142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5"/>
              </w:rPr>
              <w:t>37,118</w:t>
            </w:r>
          </w:p>
        </w:tc>
        <w:tc>
          <w:tcPr>
            <w:tcW w:w="800" w:type="dxa"/>
            <w:vAlign w:val="bottom"/>
          </w:tcPr>
          <w:p>
            <w:pPr>
              <w:spacing w:after="0"/>
              <w:rPr>
                <w:sz w:val="24"/>
                <w:szCs w:val="24"/>
                <w:color w:val="auto"/>
              </w:rPr>
            </w:pPr>
          </w:p>
        </w:tc>
        <w:tc>
          <w:tcPr>
            <w:tcW w:w="210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34,234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CONSOLIDATED BALANCE SHEETS</w:t>
      </w:r>
    </w:p>
    <w:p>
      <w:pPr>
        <w:sectPr>
          <w:pgSz w:w="11900" w:h="16838" w:orient="portrait"/>
          <w:cols w:equalWidth="0" w:num="1">
            <w:col w:w="10219"/>
          </w:cols>
          <w:pgMar w:left="240" w:top="108" w:right="1440" w:bottom="0" w:gutter="0" w:footer="0" w:header="0"/>
        </w:sectPr>
      </w:pPr>
    </w:p>
    <w:bookmarkStart w:id="4" w:name="page5"/>
    <w:bookmarkEnd w:id="4"/>
    <w:p>
      <w:pPr>
        <w:ind w:left="2320"/>
        <w:spacing w:after="0"/>
        <w:rPr>
          <w:sz w:val="20"/>
          <w:szCs w:val="20"/>
          <w:color w:val="auto"/>
        </w:rPr>
      </w:pPr>
      <w:r>
        <w:rPr>
          <w:rFonts w:ascii="Courier New" w:cs="Courier New" w:eastAsia="Courier New" w:hAnsi="Courier New"/>
          <w:sz w:val="18"/>
          <w:szCs w:val="18"/>
          <w:color w:val="auto"/>
        </w:rPr>
        <w:t>April 29, 2006 and January 28, 2006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00" w:type="dxa"/>
            <w:vAlign w:val="bottom"/>
            <w:gridSpan w:val="2"/>
          </w:tcPr>
          <w:p>
            <w:pPr>
              <w:ind w:left="3380"/>
              <w:spacing w:after="0"/>
              <w:rPr>
                <w:sz w:val="20"/>
                <w:szCs w:val="20"/>
                <w:color w:val="auto"/>
              </w:rPr>
            </w:pPr>
            <w:r>
              <w:rPr>
                <w:rFonts w:ascii="Courier New" w:cs="Courier New" w:eastAsia="Courier New" w:hAnsi="Courier New"/>
                <w:sz w:val="18"/>
                <w:szCs w:val="18"/>
                <w:color w:val="auto"/>
                <w:w w:val="99"/>
              </w:rPr>
              <w:t>(In thousands)</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28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17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April 29, 2006</w:t>
            </w: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28, 2006</w:t>
            </w:r>
          </w:p>
        </w:tc>
        <w:tc>
          <w:tcPr>
            <w:tcW w:w="0" w:type="dxa"/>
            <w:vAlign w:val="bottom"/>
          </w:tcPr>
          <w:p>
            <w:pPr>
              <w:spacing w:after="0"/>
              <w:rPr>
                <w:sz w:val="1"/>
                <w:szCs w:val="1"/>
                <w:color w:val="auto"/>
              </w:rPr>
            </w:pPr>
          </w:p>
        </w:tc>
      </w:tr>
      <w:tr>
        <w:trPr>
          <w:trHeight w:val="296"/>
        </w:trPr>
        <w:tc>
          <w:tcPr>
            <w:tcW w:w="4280" w:type="dxa"/>
            <w:vAlign w:val="bottom"/>
            <w:vMerge w:val="continue"/>
          </w:tcPr>
          <w:p>
            <w:pPr>
              <w:spacing w:after="0"/>
              <w:rPr>
                <w:sz w:val="24"/>
                <w:szCs w:val="24"/>
                <w:color w:val="auto"/>
              </w:rPr>
            </w:pPr>
          </w:p>
        </w:tc>
        <w:tc>
          <w:tcPr>
            <w:tcW w:w="17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8,769</w:t>
            </w:r>
          </w:p>
        </w:tc>
        <w:tc>
          <w:tcPr>
            <w:tcW w:w="7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5,568</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Assets held for sale (land and building)</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26,629</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103,301</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91,546</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8,192</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8,216</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50,566</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51,273</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90,871</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89,618</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10,963</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10,981</w:t>
            </w:r>
          </w:p>
        </w:tc>
        <w:tc>
          <w:tcPr>
            <w:tcW w:w="0" w:type="dxa"/>
            <w:vAlign w:val="bottom"/>
          </w:tcPr>
          <w:p>
            <w:pPr>
              <w:spacing w:after="0"/>
              <w:rPr>
                <w:sz w:val="1"/>
                <w:szCs w:val="1"/>
                <w:color w:val="auto"/>
              </w:rPr>
            </w:pPr>
          </w:p>
        </w:tc>
      </w:tr>
      <w:tr>
        <w:trPr>
          <w:trHeight w:val="203"/>
        </w:trPr>
        <w:tc>
          <w:tcPr>
            <w:tcW w:w="42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assets</w:t>
            </w: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272,662</w:t>
            </w: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$ 283,831</w:t>
            </w: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4"/>
                <w:szCs w:val="24"/>
                <w:color w:val="auto"/>
              </w:rPr>
            </w:pPr>
          </w:p>
        </w:tc>
        <w:tc>
          <w:tcPr>
            <w:tcW w:w="17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6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56,025</w:t>
            </w:r>
          </w:p>
        </w:tc>
        <w:tc>
          <w:tcPr>
            <w:tcW w:w="74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61,850</w:t>
            </w: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6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37,387</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94,750</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95,437</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gain</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27,477</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94,410</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89,157</w:t>
            </w:r>
          </w:p>
        </w:tc>
        <w:tc>
          <w:tcPr>
            <w:tcW w:w="0" w:type="dxa"/>
            <w:vAlign w:val="bottom"/>
          </w:tcPr>
          <w:p>
            <w:pPr>
              <w:spacing w:after="0"/>
              <w:rPr>
                <w:sz w:val="1"/>
                <w:szCs w:val="1"/>
                <w:color w:val="auto"/>
              </w:rPr>
            </w:pPr>
          </w:p>
        </w:tc>
      </w:tr>
      <w:tr>
        <w:trPr>
          <w:trHeight w:val="296"/>
        </w:trPr>
        <w:tc>
          <w:tcPr>
            <w:tcW w:w="4280" w:type="dxa"/>
            <w:vAlign w:val="bottom"/>
            <w:vMerge w:val="restart"/>
          </w:tcPr>
          <w:p>
            <w:pPr>
              <w:jc w:val="right"/>
              <w:ind w:right="1652"/>
              <w:spacing w:after="0"/>
              <w:rPr>
                <w:sz w:val="20"/>
                <w:szCs w:val="20"/>
                <w:color w:val="auto"/>
              </w:rPr>
            </w:pPr>
            <w:r>
              <w:rPr>
                <w:rFonts w:ascii="Courier New" w:cs="Courier New" w:eastAsia="Courier New" w:hAnsi="Courier New"/>
                <w:sz w:val="18"/>
                <w:szCs w:val="18"/>
                <w:color w:val="auto"/>
              </w:rPr>
              <w:t>Total liabilities and</w:t>
            </w:r>
          </w:p>
        </w:tc>
        <w:tc>
          <w:tcPr>
            <w:tcW w:w="17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6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272,662</w:t>
            </w:r>
          </w:p>
        </w:tc>
        <w:tc>
          <w:tcPr>
            <w:tcW w:w="74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283,831</w:t>
            </w:r>
          </w:p>
        </w:tc>
        <w:tc>
          <w:tcPr>
            <w:tcW w:w="0" w:type="dxa"/>
            <w:vAlign w:val="bottom"/>
          </w:tcPr>
          <w:p>
            <w:pPr>
              <w:spacing w:after="0"/>
              <w:rPr>
                <w:sz w:val="1"/>
                <w:szCs w:val="1"/>
                <w:color w:val="auto"/>
              </w:rPr>
            </w:pPr>
          </w:p>
        </w:tc>
      </w:tr>
      <w:tr>
        <w:trPr>
          <w:trHeight w:val="203"/>
        </w:trPr>
        <w:tc>
          <w:tcPr>
            <w:tcW w:w="42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6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4"/>
                <w:szCs w:val="24"/>
                <w:color w:val="auto"/>
              </w:rPr>
            </w:pPr>
          </w:p>
        </w:tc>
        <w:tc>
          <w:tcPr>
            <w:tcW w:w="17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2019-12-19T21:58:50Z</dcterms:created>
  <dcterms:modified xsi:type="dcterms:W3CDTF">2019-12-19T21:58:50Z</dcterms:modified>
</cp:coreProperties>
</file>