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272655" cy="9343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3390"/>
                    </a:xfrm>
                    <a:prstGeom prst="rect">
                      <a:avLst/>
                    </a:prstGeom>
                    <a:noFill/>
                  </pic:spPr>
                </pic:pic>
              </a:graphicData>
            </a:graphic>
          </wp:anchor>
        </w:drawing>
      </w:r>
    </w:p>
    <w:p>
      <w:pPr>
        <w:spacing w:after="0" w:line="41" w:lineRule="exact"/>
        <w:rPr>
          <w:sz w:val="24"/>
          <w:szCs w:val="24"/>
          <w:color w:val="auto"/>
        </w:rPr>
      </w:pPr>
    </w:p>
    <w:p>
      <w:pPr>
        <w:sectPr>
          <w:pgSz w:w="11900" w:h="16879"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MESDAG WILLEM</w:t>
              </w:r>
            </w:hyperlink>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gridSpan w:val="18"/>
          </w:tcPr>
          <w:p>
            <w:pPr>
              <w:ind w:left="60"/>
              <w:spacing w:after="0" w:line="175" w:lineRule="exact"/>
              <w:rPr>
                <w:rFonts w:ascii="Arial" w:cs="Arial" w:eastAsia="Arial" w:hAnsi="Arial"/>
                <w:sz w:val="17"/>
                <w:szCs w:val="17"/>
                <w:color w:val="0000EE"/>
              </w:rPr>
            </w:pPr>
            <w:hyperlink r:id="rId13">
              <w:r>
                <w:rPr>
                  <w:rFonts w:ascii="Arial" w:cs="Arial" w:eastAsia="Arial" w:hAnsi="Arial"/>
                  <w:sz w:val="17"/>
                  <w:szCs w:val="17"/>
                  <w:color w:val="0000EE"/>
                </w:rPr>
                <w:t xml:space="preserve">DESTINATION XL GROUP, INC.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4"/>
                <w:szCs w:val="14"/>
                <w:color w:val="0000FF"/>
              </w:rPr>
              <w:t>DXLG</w:t>
            </w:r>
            <w:r>
              <w:rPr>
                <w:rFonts w:ascii="Arial" w:cs="Arial" w:eastAsia="Arial" w:hAnsi="Arial"/>
                <w:sz w:val="17"/>
                <w:szCs w:val="17"/>
                <w:color w:val="0000EE"/>
              </w:rPr>
              <w:t xml:space="preserve"> </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20"/>
                <w:szCs w:val="20"/>
                <w:color w:val="000000"/>
                <w:vertAlign w:val="superscript"/>
              </w:rPr>
              <w:t>(Check all applicable)</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5"/>
                <w:szCs w:val="5"/>
                <w:color w:val="auto"/>
              </w:rPr>
            </w:pPr>
          </w:p>
        </w:tc>
        <w:tc>
          <w:tcPr>
            <w:tcW w:w="34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420" w:type="dxa"/>
            <w:vAlign w:val="bottom"/>
            <w:tcBorders>
              <w:top w:val="single" w:sz="8" w:color="0000EE"/>
            </w:tcBorders>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5"/>
                <w:szCs w:val="5"/>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40" w:type="dxa"/>
            <w:vAlign w:val="bottom"/>
            <w:gridSpan w:val="10"/>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40" w:type="dxa"/>
            <w:vAlign w:val="bottom"/>
            <w:gridSpan w:val="10"/>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C/O RED MOUNTAIN CAPITAL</w:t>
            </w:r>
          </w:p>
        </w:tc>
        <w:tc>
          <w:tcPr>
            <w:tcW w:w="1140" w:type="dxa"/>
            <w:vAlign w:val="bottom"/>
          </w:tcPr>
          <w:p>
            <w:pPr>
              <w:spacing w:after="0"/>
              <w:rPr>
                <w:sz w:val="18"/>
                <w:szCs w:val="18"/>
                <w:color w:val="auto"/>
              </w:rPr>
            </w:pPr>
          </w:p>
        </w:tc>
        <w:tc>
          <w:tcPr>
            <w:tcW w:w="1360" w:type="dxa"/>
            <w:vAlign w:val="bottom"/>
            <w:gridSpan w:val="7"/>
          </w:tcPr>
          <w:p>
            <w:pPr>
              <w:ind w:left="260"/>
              <w:spacing w:after="0"/>
              <w:rPr>
                <w:sz w:val="20"/>
                <w:szCs w:val="20"/>
                <w:color w:val="auto"/>
              </w:rPr>
            </w:pPr>
            <w:r>
              <w:rPr>
                <w:rFonts w:ascii="Arial" w:cs="Arial" w:eastAsia="Arial" w:hAnsi="Arial"/>
                <w:sz w:val="17"/>
                <w:szCs w:val="17"/>
                <w:color w:val="0000FF"/>
              </w:rPr>
              <w:t>05/07/2018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MANAGEMENT, INC</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0000FF"/>
              </w:rPr>
              <w:t>10100 SANTA MONICA BOULEVARD, SUITE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0" w:type="dxa"/>
            <w:vAlign w:val="bottom"/>
            <w:gridSpan w:val="3"/>
          </w:tcPr>
          <w:p>
            <w:pPr>
              <w:ind w:left="120"/>
              <w:spacing w:after="0"/>
              <w:rPr>
                <w:sz w:val="20"/>
                <w:szCs w:val="20"/>
                <w:color w:val="auto"/>
              </w:rPr>
            </w:pPr>
            <w:r>
              <w:rPr>
                <w:rFonts w:ascii="Arial" w:cs="Arial" w:eastAsia="Arial" w:hAnsi="Arial"/>
                <w:sz w:val="17"/>
                <w:szCs w:val="17"/>
                <w:color w:val="0000FF"/>
              </w:rPr>
              <w:t>925</w:t>
            </w: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gridSpan w:val="12"/>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7"/>
                <w:szCs w:val="17"/>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308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LOS ANGELES CA</w:t>
            </w:r>
          </w:p>
        </w:tc>
        <w:tc>
          <w:tcPr>
            <w:tcW w:w="1140" w:type="dxa"/>
            <w:vAlign w:val="bottom"/>
            <w:vMerge w:val="restart"/>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gridSpan w:val="2"/>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4"/>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21"/>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7"/>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20" w:type="dxa"/>
            <w:vAlign w:val="bottom"/>
            <w:gridSpan w:val="7"/>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 $0.01 par value</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7,966,369</w:t>
            </w:r>
            <w:r>
              <w:rPr>
                <w:rFonts w:ascii="Arial" w:cs="Arial" w:eastAsia="Arial" w:hAnsi="Arial"/>
                <w:sz w:val="22"/>
                <w:szCs w:val="22"/>
                <w:color w:val="008000"/>
                <w:vertAlign w:val="superscript"/>
              </w:rPr>
              <w:t>(1)</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4"/>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21"/>
          </w:tcPr>
          <w:p>
            <w:pPr>
              <w:ind w:left="6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80" w:type="dxa"/>
            <w:vAlign w:val="bottom"/>
            <w:gridSpan w:val="18"/>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6"/>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1.55</w:t>
            </w:r>
          </w:p>
        </w:tc>
        <w:tc>
          <w:tcPr>
            <w:tcW w:w="1140" w:type="dxa"/>
            <w:vAlign w:val="bottom"/>
            <w:gridSpan w:val="2"/>
            <w:vMerge w:val="restart"/>
          </w:tcPr>
          <w:p>
            <w:pPr>
              <w:ind w:left="280"/>
              <w:spacing w:after="0"/>
              <w:rPr>
                <w:sz w:val="20"/>
                <w:szCs w:val="20"/>
                <w:color w:val="auto"/>
              </w:rPr>
            </w:pPr>
            <w:r>
              <w:rPr>
                <w:rFonts w:ascii="Arial" w:cs="Arial" w:eastAsia="Arial" w:hAnsi="Arial"/>
                <w:sz w:val="13"/>
                <w:szCs w:val="13"/>
                <w:color w:val="0000FF"/>
              </w:rPr>
              <w:t>05/07/2018</w:t>
            </w:r>
          </w:p>
        </w:tc>
        <w:tc>
          <w:tcPr>
            <w:tcW w:w="1140" w:type="dxa"/>
            <w:vAlign w:val="bottom"/>
            <w:vMerge w:val="restart"/>
          </w:tcPr>
          <w:p>
            <w:pPr>
              <w:ind w:left="280"/>
              <w:spacing w:after="0"/>
              <w:rPr>
                <w:sz w:val="20"/>
                <w:szCs w:val="20"/>
                <w:color w:val="auto"/>
              </w:rPr>
            </w:pPr>
            <w:r>
              <w:rPr>
                <w:rFonts w:ascii="Arial" w:cs="Arial" w:eastAsia="Arial" w:hAnsi="Arial"/>
                <w:sz w:val="13"/>
                <w:szCs w:val="13"/>
                <w:color w:val="0000FF"/>
              </w:rPr>
              <w:t>05/07/2018</w:t>
            </w:r>
          </w:p>
        </w:tc>
        <w:tc>
          <w:tcPr>
            <w:tcW w:w="100" w:type="dxa"/>
            <w:vAlign w:val="bottom"/>
          </w:tcPr>
          <w:p>
            <w:pPr>
              <w:spacing w:after="0"/>
              <w:rPr>
                <w:sz w:val="16"/>
                <w:szCs w:val="16"/>
                <w:color w:val="auto"/>
              </w:rPr>
            </w:pPr>
          </w:p>
        </w:tc>
        <w:tc>
          <w:tcPr>
            <w:tcW w:w="680" w:type="dxa"/>
            <w:vAlign w:val="bottom"/>
            <w:gridSpan w:val="5"/>
            <w:vMerge w:val="restart"/>
          </w:tcPr>
          <w:p>
            <w:pPr>
              <w:ind w:left="8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17,297</w:t>
            </w:r>
          </w:p>
        </w:tc>
        <w:tc>
          <w:tcPr>
            <w:tcW w:w="36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17,297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1.55</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17,297</w:t>
            </w:r>
          </w:p>
        </w:tc>
        <w:tc>
          <w:tcPr>
            <w:tcW w:w="340" w:type="dxa"/>
            <w:vAlign w:val="bottom"/>
          </w:tcPr>
          <w:p>
            <w:pPr>
              <w:spacing w:after="0"/>
              <w:rPr>
                <w:sz w:val="16"/>
                <w:szCs w:val="16"/>
                <w:color w:val="auto"/>
              </w:rPr>
            </w:pPr>
          </w:p>
        </w:tc>
        <w:tc>
          <w:tcPr>
            <w:tcW w:w="640" w:type="dxa"/>
            <w:vAlign w:val="bottom"/>
            <w:vMerge w:val="restart"/>
          </w:tcPr>
          <w:p>
            <w:pPr>
              <w:ind w:left="28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(2)</w:t>
            </w:r>
          </w:p>
        </w:tc>
        <w:tc>
          <w:tcPr>
            <w:tcW w:w="78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5"/>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ind w:left="100"/>
              <w:spacing w:after="0" w:line="68" w:lineRule="exact"/>
              <w:rPr>
                <w:sz w:val="20"/>
                <w:szCs w:val="20"/>
                <w:color w:val="auto"/>
              </w:rPr>
            </w:pPr>
            <w:r>
              <w:rPr>
                <w:rFonts w:ascii="Arial" w:cs="Arial" w:eastAsia="Arial" w:hAnsi="Arial"/>
                <w:sz w:val="7"/>
                <w:szCs w:val="7"/>
                <w:color w:val="0000FF"/>
              </w:rPr>
              <w:t>Stock</w:t>
            </w: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5"/>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820" w:type="dxa"/>
            <w:vAlign w:val="bottom"/>
            <w:tcBorders>
              <w:bottom w:val="single" w:sz="8" w:color="2C2C2C"/>
            </w:tcBorders>
            <w:gridSpan w:val="3"/>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2640" w:type="dxa"/>
            <w:vAlign w:val="bottom"/>
            <w:tcBorders>
              <w:top w:val="single" w:sz="8" w:color="2C2C2C"/>
            </w:tcBorders>
            <w:gridSpan w:val="5"/>
          </w:tcPr>
          <w:p>
            <w:pPr>
              <w:ind w:left="60"/>
              <w:spacing w:after="0" w:line="24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3" w:lineRule="exact"/>
              <w:rPr>
                <w:rFonts w:ascii="Arial" w:cs="Arial" w:eastAsia="Arial" w:hAnsi="Arial"/>
                <w:sz w:val="21"/>
                <w:szCs w:val="21"/>
                <w:color w:val="0000EE"/>
              </w:rPr>
            </w:pPr>
            <w:hyperlink r:id="rId12">
              <w:r>
                <w:rPr>
                  <w:rFonts w:ascii="Arial" w:cs="Arial" w:eastAsia="Arial" w:hAnsi="Arial"/>
                  <w:sz w:val="21"/>
                  <w:szCs w:val="21"/>
                  <w:color w:val="0000EE"/>
                </w:rPr>
                <w:t>MESDAG WILLEM</w:t>
              </w:r>
            </w:hyperlink>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7"/>
                <w:szCs w:val="17"/>
                <w:color w:val="0000FF"/>
              </w:rPr>
              <w:t>C/O RED MOUNTAIN CAPITAL MANAGEMENT, INC</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11"/>
          </w:tcPr>
          <w:p>
            <w:pPr>
              <w:spacing w:after="0"/>
              <w:rPr>
                <w:sz w:val="20"/>
                <w:szCs w:val="20"/>
                <w:color w:val="auto"/>
              </w:rPr>
            </w:pPr>
            <w:r>
              <w:rPr>
                <w:rFonts w:ascii="Arial" w:cs="Arial" w:eastAsia="Arial" w:hAnsi="Arial"/>
                <w:sz w:val="17"/>
                <w:szCs w:val="17"/>
                <w:color w:val="0000FF"/>
              </w:rPr>
              <w:t>10100 SANTA MONICA BOULEVARD, SUITE 925</w:t>
            </w: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40" w:type="dxa"/>
            <w:vAlign w:val="bottom"/>
            <w:gridSpan w:val="2"/>
          </w:tcPr>
          <w:p>
            <w:pPr>
              <w:ind w:left="60"/>
              <w:spacing w:after="0"/>
              <w:rPr>
                <w:sz w:val="20"/>
                <w:szCs w:val="20"/>
                <w:color w:val="auto"/>
              </w:rPr>
            </w:pPr>
            <w:r>
              <w:rPr>
                <w:rFonts w:ascii="Arial" w:cs="Arial" w:eastAsia="Arial" w:hAnsi="Arial"/>
                <w:sz w:val="17"/>
                <w:szCs w:val="17"/>
                <w:color w:val="0000FF"/>
              </w:rPr>
              <w:t>CA</w:t>
            </w:r>
          </w:p>
        </w:tc>
        <w:tc>
          <w:tcPr>
            <w:tcW w:w="1140" w:type="dxa"/>
            <w:vAlign w:val="bottom"/>
          </w:tcPr>
          <w:p>
            <w:pPr>
              <w:ind w:left="38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3" w:lineRule="exact"/>
              <w:rPr>
                <w:rFonts w:ascii="Arial" w:cs="Arial" w:eastAsia="Arial" w:hAnsi="Arial"/>
                <w:sz w:val="21"/>
                <w:szCs w:val="21"/>
                <w:color w:val="0000EE"/>
                <w:w w:val="96"/>
              </w:rPr>
            </w:pPr>
            <w:hyperlink r:id="rId14">
              <w:r>
                <w:rPr>
                  <w:rFonts w:ascii="Arial" w:cs="Arial" w:eastAsia="Arial" w:hAnsi="Arial"/>
                  <w:sz w:val="21"/>
                  <w:szCs w:val="21"/>
                  <w:color w:val="0000EE"/>
                  <w:w w:val="96"/>
                </w:rPr>
                <w:t>RMCP GP LLC</w:t>
              </w:r>
            </w:hyperlink>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0000FF"/>
              </w:rPr>
              <w:t>10100 SANTA MONICA BOULEVARD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SUITE 925</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40" w:type="dxa"/>
            <w:vAlign w:val="bottom"/>
            <w:gridSpan w:val="2"/>
          </w:tcPr>
          <w:p>
            <w:pPr>
              <w:ind w:left="60"/>
              <w:spacing w:after="0"/>
              <w:rPr>
                <w:sz w:val="20"/>
                <w:szCs w:val="20"/>
                <w:color w:val="auto"/>
              </w:rPr>
            </w:pPr>
            <w:r>
              <w:rPr>
                <w:rFonts w:ascii="Arial" w:cs="Arial" w:eastAsia="Arial" w:hAnsi="Arial"/>
                <w:sz w:val="17"/>
                <w:szCs w:val="17"/>
                <w:color w:val="0000FF"/>
              </w:rPr>
              <w:t>CA</w:t>
            </w:r>
          </w:p>
        </w:tc>
        <w:tc>
          <w:tcPr>
            <w:tcW w:w="1140" w:type="dxa"/>
            <w:vAlign w:val="bottom"/>
          </w:tcPr>
          <w:p>
            <w:pPr>
              <w:ind w:left="38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-5570855</wp:posOffset>
            </wp:positionV>
            <wp:extent cx="24765" cy="2037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765" cy="2037715"/>
                    </a:xfrm>
                    <a:prstGeom prst="rect">
                      <a:avLst/>
                    </a:prstGeom>
                    <a:noFill/>
                  </pic:spPr>
                </pic:pic>
              </a:graphicData>
            </a:graphic>
          </wp:anchor>
        </w:drawing>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79" w:orient="portrait"/>
          <w:cols w:equalWidth="0" w:num="1">
            <w:col w:w="11520"/>
          </w:cols>
          <w:pgMar w:left="240" w:top="225" w:right="139" w:bottom="0" w:gutter="0" w:footer="0" w:header="0"/>
          <w:type w:val="continuous"/>
        </w:sectPr>
      </w:pP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RED MOUNTAIN CAPITAL MANAGEMENT</w:t>
        </w:r>
      </w:hyperlink>
    </w:p>
    <w:p>
      <w:pPr>
        <w:sectPr>
          <w:pgSz w:w="11900" w:h="16879" w:orient="portrait"/>
          <w:cols w:equalWidth="0" w:num="1">
            <w:col w:w="11520"/>
          </w:cols>
          <w:pgMar w:left="240" w:top="225" w:right="13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924175" cy="5230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4175" cy="5230495"/>
                    </a:xfrm>
                    <a:prstGeom prst="rect">
                      <a:avLst/>
                    </a:prstGeom>
                    <a:noFill/>
                  </pic:spPr>
                </pic:pic>
              </a:graphicData>
            </a:graphic>
          </wp:anchor>
        </w:drawing>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8"/>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600" w:type="dxa"/>
            <w:vAlign w:val="bottom"/>
          </w:tcPr>
          <w:p>
            <w:pPr>
              <w:ind w:left="14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RED MOUNTAIN CAPITAL PARTNERS LLC</w:t>
        </w:r>
      </w:hyperlink>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8"/>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600" w:type="dxa"/>
            <w:vAlign w:val="bottom"/>
          </w:tcPr>
          <w:p>
            <w:pPr>
              <w:ind w:left="14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RED MOUNTAIN PARTNERS, L.P.</w:t>
        </w:r>
      </w:hyperlink>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8"/>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600" w:type="dxa"/>
            <w:vAlign w:val="bottom"/>
          </w:tcPr>
          <w:p>
            <w:pPr>
              <w:ind w:left="14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20" w:firstLine="8"/>
        <w:spacing w:after="0" w:line="243" w:lineRule="auto"/>
        <w:tabs>
          <w:tab w:leader="none" w:pos="13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7,522,354 of these shares are held directly by RMP and the remaining 444,015 shares are held directly by RMCP LLC. This Form 4 is jointly filed by (i) RMP, (ii) RMCP GP, (iii) RMCP LLC, (iv)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28" w:lineRule="exact"/>
        <w:rPr>
          <w:rFonts w:ascii="Arial" w:cs="Arial" w:eastAsia="Arial" w:hAnsi="Arial"/>
          <w:sz w:val="13"/>
          <w:szCs w:val="13"/>
          <w:color w:val="008000"/>
        </w:rPr>
      </w:pPr>
    </w:p>
    <w:p>
      <w:pPr>
        <w:ind w:left="140" w:hanging="13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Deferred stock issued pursuant to the Director's elected form of compensation for quarterly annual retainer and chairperson fee.</w:t>
      </w:r>
    </w:p>
    <w:p>
      <w:pPr>
        <w:spacing w:after="0" w:line="51" w:lineRule="exact"/>
        <w:rPr>
          <w:rFonts w:ascii="Arial" w:cs="Arial" w:eastAsia="Arial" w:hAnsi="Arial"/>
          <w:sz w:val="13"/>
          <w:szCs w:val="13"/>
          <w:color w:val="008000"/>
        </w:rPr>
      </w:pPr>
    </w:p>
    <w:p>
      <w:pPr>
        <w:ind w:firstLine="8"/>
        <w:spacing w:after="0" w:line="272" w:lineRule="auto"/>
        <w:tabs>
          <w:tab w:leader="none" w:pos="13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deferred stock is the economic equivalent of one share of common stock. The shares of deferred stock become payable in common stock, at the separation from service deferral period as elected by the Reporting Person under the terms of the Third Amended and Restated Non-Employee Director Compensation Plan.</w:t>
      </w:r>
    </w:p>
    <w:p>
      <w:pPr>
        <w:spacing w:after="0" w:line="10" w:lineRule="exact"/>
        <w:rPr>
          <w:rFonts w:ascii="Arial" w:cs="Arial" w:eastAsia="Arial" w:hAnsi="Arial"/>
          <w:sz w:val="13"/>
          <w:szCs w:val="13"/>
          <w:color w:val="008000"/>
        </w:rPr>
      </w:pPr>
    </w:p>
    <w:p>
      <w:pPr>
        <w:ind w:left="140" w:hanging="13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There is no set expiration date. Deferred Stock termination events are set forth in the Third Amended and Restated Non-Employee Director Compensation Plan.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-7620</wp:posOffset>
            </wp:positionV>
            <wp:extent cx="1306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6"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7"/>
          <w:szCs w:val="17"/>
          <w:color w:val="0000FF"/>
        </w:rPr>
        <w:t>himself and the Other</w:t>
      </w:r>
      <w:r>
        <w:rPr>
          <w:sz w:val="20"/>
          <w:szCs w:val="20"/>
          <w:color w:val="auto"/>
        </w:rPr>
        <w:tab/>
      </w:r>
      <w:r>
        <w:rPr>
          <w:rFonts w:ascii="Arial" w:cs="Arial" w:eastAsia="Arial" w:hAnsi="Arial"/>
          <w:sz w:val="15"/>
          <w:szCs w:val="15"/>
          <w:color w:val="0000FF"/>
        </w:rPr>
        <w:t>05/09/2018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-11430</wp:posOffset>
            </wp:positionV>
            <wp:extent cx="1954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-11430</wp:posOffset>
            </wp:positionV>
            <wp:extent cx="852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52805" cy="8255"/>
                    </a:xfrm>
                    <a:prstGeom prst="rect">
                      <a:avLst/>
                    </a:prstGeom>
                    <a:noFill/>
                  </pic:spPr>
                </pic:pic>
              </a:graphicData>
            </a:graphic>
          </wp:anchor>
        </w:drawing>
      </w:r>
    </w:p>
    <w:p>
      <w:pPr>
        <w:spacing w:after="0" w:line="5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520" w:firstLine="8"/>
        <w:spacing w:after="0" w:line="32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6" Type="http://schemas.openxmlformats.org/officeDocument/2006/relationships/hyperlink" Target="http://www.sec.gov/cgi-bin/browse-edgar?action=getcompany&amp;CIK=0001374607" TargetMode="External"/><Relationship Id="rId18" Type="http://schemas.openxmlformats.org/officeDocument/2006/relationships/hyperlink" Target="http://www.sec.gov/cgi-bin/browse-edgar?action=getcompany&amp;CIK=0001374588" TargetMode="External"/><Relationship Id="rId19"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2019-12-23T15:10:00Z</dcterms:created>
  <dcterms:modified xsi:type="dcterms:W3CDTF">2019-12-23T15:10:00Z</dcterms:modified>
</cp:coreProperties>
</file>