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7375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3755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4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LEVIN DAVID A</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CASUAL MALE RETAIL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CMRG </w:t>
      </w:r>
      <w:r>
        <w:rPr>
          <w:rFonts w:ascii="Arial" w:cs="Arial" w:eastAsia="Arial" w:hAnsi="Arial"/>
          <w:sz w:val="21"/>
          <w:szCs w:val="21"/>
          <w:color w:val="000000"/>
        </w:rPr>
        <w:t>]</w:t>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05/25/2011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06"/>
        <w:spacing w:after="0"/>
        <w:rPr>
          <w:sz w:val="20"/>
          <w:szCs w:val="20"/>
          <w:color w:val="auto"/>
        </w:rPr>
      </w:pPr>
      <w:r>
        <w:rPr>
          <w:rFonts w:ascii="Arial" w:cs="Arial" w:eastAsia="Arial" w:hAnsi="Arial"/>
          <w:sz w:val="17"/>
          <w:szCs w:val="17"/>
          <w:color w:val="0000FF"/>
        </w:rPr>
        <w:t>President, CEO</w:t>
      </w:r>
    </w:p>
    <w:p>
      <w:pPr>
        <w:spacing w:after="0" w:line="196" w:lineRule="exact"/>
        <w:rPr>
          <w:sz w:val="24"/>
          <w:szCs w:val="24"/>
          <w:color w:val="auto"/>
        </w:rPr>
      </w:pPr>
    </w:p>
    <w:p>
      <w:pPr>
        <w:sectPr>
          <w:pgSz w:w="11900" w:h="16838" w:orient="portrait"/>
          <w:cols w:equalWidth="0" w:num="3">
            <w:col w:w="3340" w:space="720"/>
            <w:col w:w="3620" w:space="354"/>
            <w:col w:w="3486"/>
          </w:cols>
          <w:pgMar w:left="240" w:top="225" w:right="139" w:bottom="493"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780" w:type="dxa"/>
            <w:vAlign w:val="bottom"/>
            <w:gridSpan w:val="5"/>
          </w:tcPr>
          <w:p>
            <w:pPr>
              <w:jc w:val="center"/>
              <w:ind w:right="7"/>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5"/>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36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1520" w:type="dxa"/>
            <w:vAlign w:val="bottom"/>
            <w:tcBorders>
              <w:bottom w:val="single" w:sz="8" w:color="9A9A9A"/>
            </w:tcBorders>
          </w:tcPr>
          <w:p>
            <w:pPr>
              <w:spacing w:after="0"/>
              <w:rPr>
                <w:sz w:val="4"/>
                <w:szCs w:val="4"/>
                <w:color w:val="auto"/>
              </w:rPr>
            </w:pPr>
          </w:p>
        </w:tc>
        <w:tc>
          <w:tcPr>
            <w:tcW w:w="5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740" w:type="dxa"/>
            <w:vAlign w:val="bottom"/>
            <w:gridSpan w:val="5"/>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420" w:type="dxa"/>
            <w:vAlign w:val="bottom"/>
            <w:vMerge w:val="restart"/>
          </w:tcPr>
          <w:p>
            <w:pPr>
              <w:ind w:left="440"/>
              <w:spacing w:after="0"/>
              <w:rPr>
                <w:sz w:val="20"/>
                <w:szCs w:val="20"/>
                <w:color w:val="auto"/>
              </w:rPr>
            </w:pPr>
            <w:r>
              <w:rPr>
                <w:rFonts w:ascii="Arial" w:cs="Arial" w:eastAsia="Arial" w:hAnsi="Arial"/>
                <w:sz w:val="13"/>
                <w:szCs w:val="13"/>
                <w:color w:val="auto"/>
              </w:rPr>
              <w:t>(State)</w:t>
            </w:r>
          </w:p>
        </w:tc>
        <w:tc>
          <w:tcPr>
            <w:tcW w:w="2040" w:type="dxa"/>
            <w:vAlign w:val="bottom"/>
            <w:gridSpan w:val="2"/>
            <w:vMerge w:val="restart"/>
          </w:tcPr>
          <w:p>
            <w:pPr>
              <w:ind w:left="28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7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60" w:type="dxa"/>
            <w:vAlign w:val="bottom"/>
            <w:gridSpan w:val="4"/>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ind w:left="2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42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8"/>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9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40" w:type="dxa"/>
            <w:vAlign w:val="bottom"/>
            <w:gridSpan w:val="2"/>
          </w:tcPr>
          <w:p>
            <w:pPr>
              <w:ind w:left="9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40" w:type="dxa"/>
            <w:vAlign w:val="bottom"/>
            <w:gridSpan w:val="2"/>
          </w:tcPr>
          <w:p>
            <w:pPr>
              <w:ind w:left="9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36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$0.01 par value</w:t>
            </w:r>
          </w:p>
        </w:tc>
        <w:tc>
          <w:tcPr>
            <w:tcW w:w="2040" w:type="dxa"/>
            <w:vAlign w:val="bottom"/>
            <w:gridSpan w:val="2"/>
          </w:tcPr>
          <w:p>
            <w:pPr>
              <w:jc w:val="right"/>
              <w:ind w:right="93"/>
              <w:spacing w:after="0"/>
              <w:rPr>
                <w:sz w:val="20"/>
                <w:szCs w:val="20"/>
                <w:color w:val="auto"/>
              </w:rPr>
            </w:pPr>
            <w:r>
              <w:rPr>
                <w:rFonts w:ascii="Arial" w:cs="Arial" w:eastAsia="Arial" w:hAnsi="Arial"/>
                <w:sz w:val="17"/>
                <w:szCs w:val="17"/>
                <w:color w:val="0000FF"/>
              </w:rPr>
              <w:t>05/25/2011</w:t>
            </w:r>
          </w:p>
        </w:tc>
        <w:tc>
          <w:tcPr>
            <w:tcW w:w="112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3"/>
                <w:szCs w:val="13"/>
                <w:color w:val="0000FF"/>
              </w:rPr>
              <w:t>M</w:t>
            </w:r>
          </w:p>
        </w:tc>
        <w:tc>
          <w:tcPr>
            <w:tcW w:w="840" w:type="dxa"/>
            <w:vAlign w:val="bottom"/>
          </w:tcPr>
          <w:p>
            <w:pPr>
              <w:jc w:val="right"/>
              <w:ind w:right="89"/>
              <w:spacing w:after="0"/>
              <w:rPr>
                <w:sz w:val="20"/>
                <w:szCs w:val="20"/>
                <w:color w:val="auto"/>
              </w:rPr>
            </w:pPr>
            <w:r>
              <w:rPr>
                <w:rFonts w:ascii="Arial" w:cs="Arial" w:eastAsia="Arial" w:hAnsi="Arial"/>
                <w:sz w:val="17"/>
                <w:szCs w:val="17"/>
                <w:color w:val="0000FF"/>
              </w:rPr>
              <w:t>63,758</w:t>
            </w:r>
          </w:p>
        </w:tc>
        <w:tc>
          <w:tcPr>
            <w:tcW w:w="500" w:type="dxa"/>
            <w:vAlign w:val="bottom"/>
          </w:tcPr>
          <w:p>
            <w:pPr>
              <w:ind w:left="220"/>
              <w:spacing w:after="0"/>
              <w:rPr>
                <w:sz w:val="20"/>
                <w:szCs w:val="20"/>
                <w:color w:val="auto"/>
              </w:rPr>
            </w:pPr>
            <w:r>
              <w:rPr>
                <w:rFonts w:ascii="Arial" w:cs="Arial" w:eastAsia="Arial" w:hAnsi="Arial"/>
                <w:sz w:val="17"/>
                <w:szCs w:val="17"/>
                <w:color w:val="0000FF"/>
              </w:rPr>
              <w:t>A</w:t>
            </w:r>
          </w:p>
        </w:tc>
        <w:tc>
          <w:tcPr>
            <w:tcW w:w="680" w:type="dxa"/>
            <w:vAlign w:val="bottom"/>
          </w:tcPr>
          <w:p>
            <w:pPr>
              <w:jc w:val="center"/>
              <w:ind w:right="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3.88</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1,068,970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gridSpan w:val="3"/>
          </w:tcPr>
          <w:p>
            <w:pPr>
              <w:spacing w:after="0"/>
              <w:rPr>
                <w:sz w:val="5"/>
                <w:szCs w:val="5"/>
                <w:color w:val="auto"/>
              </w:rPr>
            </w:pPr>
          </w:p>
        </w:tc>
        <w:tc>
          <w:tcPr>
            <w:tcW w:w="204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Common Stock, $0.01 par value</w:t>
            </w:r>
          </w:p>
        </w:tc>
        <w:tc>
          <w:tcPr>
            <w:tcW w:w="2040" w:type="dxa"/>
            <w:vAlign w:val="bottom"/>
            <w:tcBorders>
              <w:bottom w:val="single" w:sz="8" w:color="2C2C2C"/>
            </w:tcBorders>
            <w:gridSpan w:val="2"/>
          </w:tcPr>
          <w:p>
            <w:pPr>
              <w:jc w:val="right"/>
              <w:ind w:right="93"/>
              <w:spacing w:after="0"/>
              <w:rPr>
                <w:sz w:val="20"/>
                <w:szCs w:val="20"/>
                <w:color w:val="auto"/>
              </w:rPr>
            </w:pPr>
            <w:r>
              <w:rPr>
                <w:rFonts w:ascii="Arial" w:cs="Arial" w:eastAsia="Arial" w:hAnsi="Arial"/>
                <w:sz w:val="17"/>
                <w:szCs w:val="17"/>
                <w:color w:val="0000FF"/>
              </w:rPr>
              <w:t>05/25/2011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84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rPr>
              <w:t>61,422</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jc w:val="center"/>
              <w:ind w:right="1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1,007,528</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By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Commmon Stock, $0.01 par value</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2"/>
              </w:rPr>
              <w:t>15,500</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spouse's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400" w:type="dxa"/>
            <w:vAlign w:val="bottom"/>
            <w:gridSpan w:val="5"/>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IRA</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account.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Reporting</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Person's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held in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w w:val="99"/>
              </w:rPr>
              <w:t>Company's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$0.01 par value</w:t>
            </w: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3,539</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401(k)Plan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w w:val="96"/>
              </w:rPr>
              <w:t>as stated in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Plan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Statement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dated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5/25/11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420" w:type="dxa"/>
            <w:vAlign w:val="bottom"/>
            <w:tcBorders>
              <w:top w:val="single" w:sz="8" w:color="808080"/>
            </w:tcBorders>
            <w:shd w:val="clear" w:color="auto" w:fill="2C2C2C"/>
          </w:tcPr>
          <w:p>
            <w:pPr>
              <w:spacing w:after="0" w:line="20" w:lineRule="exact"/>
              <w:rPr>
                <w:sz w:val="1"/>
                <w:szCs w:val="1"/>
                <w:color w:val="auto"/>
              </w:rPr>
            </w:pPr>
          </w:p>
        </w:tc>
        <w:tc>
          <w:tcPr>
            <w:tcW w:w="15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05/25/2002</w:t>
            </w:r>
            <w:r>
              <w:rPr>
                <w:rFonts w:ascii="Arial" w:cs="Arial" w:eastAsia="Arial" w:hAnsi="Arial"/>
                <w:sz w:val="22"/>
                <w:szCs w:val="22"/>
                <w:color w:val="008000"/>
                <w:vertAlign w:val="superscript"/>
              </w:rPr>
              <w:t>(2)</w:t>
            </w:r>
          </w:p>
        </w:tc>
        <w:tc>
          <w:tcPr>
            <w:tcW w:w="6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63,758</w:t>
            </w: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3.88</w:t>
            </w:r>
          </w:p>
        </w:tc>
        <w:tc>
          <w:tcPr>
            <w:tcW w:w="1120" w:type="dxa"/>
            <w:vAlign w:val="bottom"/>
          </w:tcPr>
          <w:p>
            <w:pPr>
              <w:jc w:val="right"/>
              <w:ind w:right="198"/>
              <w:spacing w:after="0" w:line="144" w:lineRule="exact"/>
              <w:rPr>
                <w:sz w:val="20"/>
                <w:szCs w:val="20"/>
                <w:color w:val="auto"/>
              </w:rPr>
            </w:pPr>
            <w:r>
              <w:rPr>
                <w:rFonts w:ascii="Arial" w:cs="Arial" w:eastAsia="Arial" w:hAnsi="Arial"/>
                <w:sz w:val="13"/>
                <w:szCs w:val="13"/>
                <w:color w:val="0000FF"/>
              </w:rPr>
              <w:t>05/25/2011</w:t>
            </w:r>
          </w:p>
        </w:tc>
        <w:tc>
          <w:tcPr>
            <w:tcW w:w="1120" w:type="dxa"/>
            <w:vAlign w:val="bottom"/>
          </w:tcPr>
          <w:p>
            <w:pPr>
              <w:spacing w:after="0"/>
              <w:rPr>
                <w:sz w:val="12"/>
                <w:szCs w:val="12"/>
                <w:color w:val="auto"/>
              </w:rPr>
            </w:pPr>
          </w:p>
        </w:tc>
        <w:tc>
          <w:tcPr>
            <w:tcW w:w="820" w:type="dxa"/>
            <w:vAlign w:val="bottom"/>
          </w:tcPr>
          <w:p>
            <w:pPr>
              <w:ind w:left="160"/>
              <w:spacing w:after="0" w:line="144" w:lineRule="exact"/>
              <w:rPr>
                <w:sz w:val="20"/>
                <w:szCs w:val="20"/>
                <w:color w:val="auto"/>
              </w:rPr>
            </w:pPr>
            <w:r>
              <w:rPr>
                <w:rFonts w:ascii="Arial" w:cs="Arial" w:eastAsia="Arial" w:hAnsi="Arial"/>
                <w:sz w:val="13"/>
                <w:szCs w:val="13"/>
                <w:color w:val="0000FF"/>
              </w:rPr>
              <w:t>M</w:t>
            </w:r>
          </w:p>
        </w:tc>
        <w:tc>
          <w:tcPr>
            <w:tcW w:w="840" w:type="dxa"/>
            <w:vAlign w:val="bottom"/>
          </w:tcPr>
          <w:p>
            <w:pPr>
              <w:ind w:left="400"/>
              <w:spacing w:after="0" w:line="144" w:lineRule="exact"/>
              <w:rPr>
                <w:sz w:val="20"/>
                <w:szCs w:val="20"/>
                <w:color w:val="auto"/>
              </w:rPr>
            </w:pPr>
            <w:r>
              <w:rPr>
                <w:rFonts w:ascii="Arial" w:cs="Arial" w:eastAsia="Arial" w:hAnsi="Arial"/>
                <w:sz w:val="13"/>
                <w:szCs w:val="13"/>
                <w:color w:val="0000FF"/>
              </w:rPr>
              <w:t>63,758</w:t>
            </w:r>
          </w:p>
        </w:tc>
        <w:tc>
          <w:tcPr>
            <w:tcW w:w="940" w:type="dxa"/>
            <w:vAlign w:val="bottom"/>
            <w:vMerge w:val="continue"/>
          </w:tcPr>
          <w:p>
            <w:pPr>
              <w:spacing w:after="0"/>
              <w:rPr>
                <w:sz w:val="12"/>
                <w:szCs w:val="12"/>
                <w:color w:val="auto"/>
              </w:rPr>
            </w:pPr>
          </w:p>
        </w:tc>
        <w:tc>
          <w:tcPr>
            <w:tcW w:w="680" w:type="dxa"/>
            <w:vAlign w:val="bottom"/>
          </w:tcPr>
          <w:p>
            <w:pPr>
              <w:spacing w:after="0" w:line="144" w:lineRule="exact"/>
              <w:rPr>
                <w:sz w:val="20"/>
                <w:szCs w:val="20"/>
                <w:color w:val="auto"/>
              </w:rPr>
            </w:pPr>
            <w:r>
              <w:rPr>
                <w:rFonts w:ascii="Arial" w:cs="Arial" w:eastAsia="Arial" w:hAnsi="Arial"/>
                <w:sz w:val="13"/>
                <w:szCs w:val="13"/>
                <w:color w:val="0000FF"/>
              </w:rPr>
              <w:t>05/25/2011</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tcPr>
          <w:p>
            <w:pPr>
              <w:ind w:left="2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460"/>
              <w:spacing w:after="0" w:line="144" w:lineRule="exact"/>
              <w:rPr>
                <w:sz w:val="20"/>
                <w:szCs w:val="20"/>
                <w:color w:val="auto"/>
              </w:rPr>
            </w:pPr>
            <w:r>
              <w:rPr>
                <w:rFonts w:ascii="Arial" w:cs="Arial" w:eastAsia="Arial" w:hAnsi="Arial"/>
                <w:sz w:val="13"/>
                <w:szCs w:val="13"/>
                <w:color w:val="0000FF"/>
              </w:rPr>
              <w:t>0</w:t>
            </w:r>
          </w:p>
        </w:tc>
        <w:tc>
          <w:tcPr>
            <w:tcW w:w="76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6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from shares otherwise issuable upon exercise of this option to pay both the exercise price and withholding taxes incurred in connection with the exercise, based on the closing price of the issuer's common stock of $4.10 on the transaction date.</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Vested one-third per year on each of the first three anniversaries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David A. Levin</w:t>
            </w:r>
          </w:p>
        </w:tc>
        <w:tc>
          <w:tcPr>
            <w:tcW w:w="780" w:type="dxa"/>
            <w:vAlign w:val="bottom"/>
          </w:tcPr>
          <w:p>
            <w:pPr>
              <w:spacing w:after="0"/>
              <w:rPr>
                <w:sz w:val="20"/>
                <w:szCs w:val="20"/>
                <w:color w:val="auto"/>
              </w:rPr>
            </w:pPr>
            <w:r>
              <w:rPr>
                <w:rFonts w:ascii="Arial" w:cs="Arial" w:eastAsia="Arial" w:hAnsi="Arial"/>
                <w:sz w:val="17"/>
                <w:szCs w:val="17"/>
                <w:color w:val="0000FF"/>
                <w:w w:val="89"/>
              </w:rPr>
              <w:t>05/26/2011</w:t>
            </w:r>
          </w:p>
        </w:tc>
      </w:tr>
      <w:tr>
        <w:trPr>
          <w:trHeight w:val="20"/>
        </w:trPr>
        <w:tc>
          <w:tcPr>
            <w:tcW w:w="10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3"/>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4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79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2019-12-16T05:20:38Z</dcterms:created>
  <dcterms:modified xsi:type="dcterms:W3CDTF">2019-12-16T05:20:38Z</dcterms:modified>
</cp:coreProperties>
</file>