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1998</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30" w:lineRule="exact"/>
        <w:rPr>
          <w:rFonts w:ascii="Courier New" w:cs="Courier New" w:eastAsia="Courier New" w:hAnsi="Courier New"/>
          <w:sz w:val="18"/>
          <w:szCs w:val="18"/>
          <w:color w:val="auto"/>
        </w:rPr>
      </w:pPr>
    </w:p>
    <w:p>
      <w:pPr>
        <w:ind w:left="860" w:hanging="325"/>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13d-(c)</w:t>
      </w:r>
    </w:p>
    <w:p>
      <w:pPr>
        <w:ind w:left="860" w:hanging="325"/>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23" w:right="1440" w:bottom="144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306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6"/>
              </w:rPr>
              <w:t>CUSIP NO.  25057L102</w:t>
            </w:r>
          </w:p>
        </w:tc>
        <w:tc>
          <w:tcPr>
            <w:tcW w:w="2160" w:type="dxa"/>
            <w:vAlign w:val="bottom"/>
          </w:tcPr>
          <w:p>
            <w:pPr>
              <w:ind w:left="74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2 of 5 Pages</w:t>
            </w:r>
          </w:p>
        </w:tc>
      </w:tr>
      <w:tr>
        <w:trPr>
          <w:trHeight w:val="235"/>
        </w:trPr>
        <w:tc>
          <w:tcPr>
            <w:tcW w:w="3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PERSONS.</w:t>
      </w:r>
    </w:p>
    <w:p>
      <w:pPr>
        <w:ind w:left="640" w:right="3259" w:hanging="527"/>
        <w:spacing w:after="0" w:line="45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1I.R.S. IDENTIFICATION NOS. OF ABOVE PERSONS (ENTITIES ONLY). HEARTLAND ADVISORS, INC.</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#39-1078128</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1"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1"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[_]</w:t>
            </w:r>
          </w:p>
        </w:tc>
      </w:tr>
      <w:tr>
        <w:trPr>
          <w:trHeight w:val="296"/>
        </w:trPr>
        <w:tc>
          <w:tcPr>
            <w:tcW w:w="3360" w:type="dxa"/>
            <w:vAlign w:val="bottom"/>
          </w:tcPr>
          <w:p>
            <w:pPr>
              <w:spacing w:after="0"/>
              <w:rPr>
                <w:sz w:val="24"/>
                <w:szCs w:val="24"/>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bl>
    <w:p>
      <w:pPr>
        <w:spacing w:after="0" w:line="1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640"/>
        <w:spacing w:after="0"/>
        <w:rPr>
          <w:sz w:val="20"/>
          <w:szCs w:val="20"/>
          <w:color w:val="auto"/>
        </w:rPr>
      </w:pPr>
      <w:r>
        <w:rPr>
          <w:rFonts w:ascii="Courier New" w:cs="Courier New" w:eastAsia="Courier New" w:hAnsi="Courier New"/>
          <w:sz w:val="18"/>
          <w:szCs w:val="18"/>
          <w:color w:val="auto"/>
        </w:rPr>
        <w:t>WISCONSIN,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1480" w:type="dxa"/>
            <w:vAlign w:val="bottom"/>
            <w:vMerge w:val="continue"/>
          </w:tcPr>
          <w:p>
            <w:pPr>
              <w:spacing w:after="0"/>
              <w:rPr>
                <w:sz w:val="24"/>
                <w:szCs w:val="24"/>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SHAREDVOTINGPOWER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96"/>
        </w:trPr>
        <w:tc>
          <w:tcPr>
            <w:tcW w:w="1480" w:type="dxa"/>
            <w:vAlign w:val="bottom"/>
            <w:vMerge w:val="restart"/>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96"/>
        </w:trPr>
        <w:tc>
          <w:tcPr>
            <w:tcW w:w="1480" w:type="dxa"/>
            <w:vAlign w:val="bottom"/>
            <w:vMerge w:val="continue"/>
          </w:tcPr>
          <w:p>
            <w:pPr>
              <w:spacing w:after="0"/>
              <w:rPr>
                <w:sz w:val="24"/>
                <w:szCs w:val="24"/>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73"/>
              </w:rPr>
              <w:t>-----------------------------------------------------------</w:t>
            </w:r>
            <w:r>
              <w:rPr>
                <w:rFonts w:ascii="Courier New" w:cs="Courier New" w:eastAsia="Courier New" w:hAnsi="Courier New"/>
                <w:sz w:val="32"/>
                <w:szCs w:val="32"/>
                <w:color w:val="auto"/>
                <w:w w:val="73"/>
                <w:vertAlign w:val="subscript"/>
              </w:rPr>
              <w:t>SHAREDDISPOSITIVEPOWER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38" w:lineRule="auto"/>
        <w:rPr>
          <w:sz w:val="20"/>
          <w:szCs w:val="20"/>
          <w:color w:val="auto"/>
        </w:rPr>
      </w:pPr>
      <w:r>
        <w:rPr>
          <w:rFonts w:ascii="Courier New" w:cs="Courier New" w:eastAsia="Courier New" w:hAnsi="Courier New"/>
          <w:sz w:val="18"/>
          <w:szCs w:val="18"/>
          <w:color w:val="auto"/>
        </w:rPr>
        <w:t>12</w:t>
      </w:r>
    </w:p>
    <w:p>
      <w:pPr>
        <w:ind w:left="640"/>
        <w:spacing w:after="0"/>
        <w:rPr>
          <w:sz w:val="20"/>
          <w:szCs w:val="20"/>
          <w:color w:val="auto"/>
        </w:rPr>
      </w:pPr>
      <w:r>
        <w:rPr>
          <w:rFonts w:ascii="Courier New" w:cs="Courier New" w:eastAsia="Courier New" w:hAnsi="Courier New"/>
          <w:sz w:val="18"/>
          <w:szCs w:val="18"/>
          <w:color w:val="auto"/>
        </w:rPr>
        <w:t>1A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89" w:right="1440" w:bottom="1440" w:gutter="0" w:footer="0" w:header="0"/>
        </w:sectPr>
      </w:pPr>
    </w:p>
    <w:bookmarkStart w:id="2" w:name="page3"/>
    <w:bookmarkEnd w:id="2"/>
    <w:p>
      <w:pPr>
        <w:spacing w:after="0"/>
        <w:tabs>
          <w:tab w:leader="none" w:pos="6520" w:val="left"/>
        </w:tabs>
        <w:rPr>
          <w:sz w:val="20"/>
          <w:szCs w:val="20"/>
          <w:color w:val="auto"/>
        </w:rPr>
      </w:pPr>
      <w:r>
        <w:rPr>
          <w:rFonts w:ascii="Courier New" w:cs="Courier New" w:eastAsia="Courier New" w:hAnsi="Courier New"/>
          <w:sz w:val="18"/>
          <w:szCs w:val="18"/>
          <w:color w:val="auto"/>
        </w:rPr>
        <w:t>CUSIP NUMBER 25057L102</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Designs, Inc.</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30"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right="693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66 B Street Needham, MA 02494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Heartland Advisors, Inc.</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30"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Heartland Advisors, Inc.</w:t>
      </w:r>
    </w:p>
    <w:p>
      <w:pPr>
        <w:ind w:left="1480" w:right="599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790 North Milwaukee Street Milwaukee, WI 53202</w:t>
      </w:r>
    </w:p>
    <w:p>
      <w:pPr>
        <w:spacing w:after="0" w:line="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Heartland Advisors is a Wisconsin corporation.</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25057L102</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(S)(S) 240.13d-1(b) or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160" w:hanging="941"/>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w:t>
      </w:r>
    </w:p>
    <w:p>
      <w:pPr>
        <w:spacing w:after="0" w:line="30"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 (15 U.S.C. 78o).</w:t>
      </w:r>
    </w:p>
    <w:p>
      <w:pPr>
        <w:spacing w:after="0" w:line="169" w:lineRule="exact"/>
        <w:rPr>
          <w:rFonts w:ascii="Courier New" w:cs="Courier New" w:eastAsia="Courier New" w:hAnsi="Courier New"/>
          <w:sz w:val="18"/>
          <w:szCs w:val="18"/>
          <w:color w:val="auto"/>
        </w:rPr>
      </w:pPr>
    </w:p>
    <w:p>
      <w:pPr>
        <w:ind w:left="1160" w:hanging="941"/>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w:t>
      </w:r>
    </w:p>
    <w:p>
      <w:pPr>
        <w:spacing w:after="0" w:line="30"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 (15 U.S.C. 78c).</w:t>
      </w:r>
    </w:p>
    <w:p>
      <w:pPr>
        <w:spacing w:after="0" w:line="169" w:lineRule="exact"/>
        <w:rPr>
          <w:rFonts w:ascii="Courier New" w:cs="Courier New" w:eastAsia="Courier New" w:hAnsi="Courier New"/>
          <w:sz w:val="18"/>
          <w:szCs w:val="18"/>
          <w:color w:val="auto"/>
        </w:rPr>
      </w:pPr>
    </w:p>
    <w:p>
      <w:pPr>
        <w:ind w:left="1160" w:hanging="941"/>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w:t>
      </w:r>
    </w:p>
    <w:p>
      <w:pPr>
        <w:spacing w:after="0" w:line="30"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Act (15 U.S.C.78c).</w:t>
      </w:r>
    </w:p>
    <w:p>
      <w:pPr>
        <w:spacing w:after="0" w:line="169" w:lineRule="exact"/>
        <w:rPr>
          <w:rFonts w:ascii="Courier New" w:cs="Courier New" w:eastAsia="Courier New" w:hAnsi="Courier New"/>
          <w:sz w:val="18"/>
          <w:szCs w:val="18"/>
          <w:color w:val="auto"/>
        </w:rPr>
      </w:pPr>
    </w:p>
    <w:p>
      <w:pPr>
        <w:ind w:left="1160" w:hanging="941"/>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w:t>
      </w:r>
    </w:p>
    <w:p>
      <w:pPr>
        <w:spacing w:after="0" w:line="30"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Company Act of 1940 (15 U.S.C. 80a-8).</w:t>
      </w:r>
    </w:p>
    <w:p>
      <w:pPr>
        <w:spacing w:after="0" w:line="169"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(S) 240.13d-1(b)(1)(ii)(E);</w:t>
      </w:r>
    </w:p>
    <w:p>
      <w:pPr>
        <w:spacing w:after="0" w:line="53" w:lineRule="exact"/>
        <w:rPr>
          <w:rFonts w:ascii="Courier New" w:cs="Courier New" w:eastAsia="Courier New" w:hAnsi="Courier New"/>
          <w:sz w:val="16"/>
          <w:szCs w:val="16"/>
          <w:color w:val="auto"/>
        </w:rPr>
      </w:pPr>
    </w:p>
    <w:p>
      <w:pPr>
        <w:spacing w:after="0"/>
        <w:tabs>
          <w:tab w:leader="none" w:pos="0" w:val="left"/>
        </w:tabs>
        <w:numPr>
          <w:ilvl w:val="1"/>
          <w:numId w:val="6"/>
        </w:numPr>
        <w:rPr>
          <w:rFonts w:ascii="Courier New" w:cs="Courier New" w:eastAsia="Courier New" w:hAnsi="Courier New"/>
          <w:sz w:val="18"/>
          <w:szCs w:val="18"/>
          <w:color w:val="auto"/>
        </w:rPr>
      </w:pPr>
    </w:p>
    <w:p>
      <w:pPr>
        <w:ind w:left="1160" w:hanging="941"/>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w:t>
      </w:r>
    </w:p>
    <w:p>
      <w:pPr>
        <w:spacing w:after="0" w:line="30"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(S)240.13d-1(b)(1)(ii)(F).</w:t>
      </w:r>
    </w:p>
    <w:p>
      <w:pPr>
        <w:sectPr>
          <w:pgSz w:w="11900" w:h="16838" w:orient="portrait"/>
          <w:cols w:equalWidth="0" w:num="1">
            <w:col w:w="10219"/>
          </w:cols>
          <w:pgMar w:left="240" w:top="691" w:right="1440" w:bottom="1440" w:gutter="0" w:footer="0" w:header="0"/>
        </w:sectPr>
      </w:pPr>
    </w:p>
    <w:bookmarkStart w:id="3" w:name="page4"/>
    <w:bookmarkEnd w:id="3"/>
    <w:p>
      <w:pPr>
        <w:ind w:left="1160" w:hanging="941"/>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w:t>
      </w:r>
    </w:p>
    <w:p>
      <w:pPr>
        <w:spacing w:after="0" w:line="30"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(S)240.13d-1(b)(ii)(G);</w:t>
      </w:r>
    </w:p>
    <w:p>
      <w:pPr>
        <w:spacing w:after="0" w:line="169" w:lineRule="exact"/>
        <w:rPr>
          <w:rFonts w:ascii="Courier New" w:cs="Courier New" w:eastAsia="Courier New" w:hAnsi="Courier New"/>
          <w:sz w:val="18"/>
          <w:szCs w:val="18"/>
          <w:color w:val="auto"/>
        </w:rPr>
      </w:pPr>
    </w:p>
    <w:p>
      <w:pPr>
        <w:ind w:left="1160" w:hanging="941"/>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 Section 3(b) of the</w:t>
      </w:r>
    </w:p>
    <w:p>
      <w:pPr>
        <w:spacing w:after="0" w:line="30" w:lineRule="exact"/>
        <w:rPr>
          <w:rFonts w:ascii="Courier New" w:cs="Courier New" w:eastAsia="Courier New" w:hAnsi="Courier New"/>
          <w:sz w:val="18"/>
          <w:szCs w:val="18"/>
          <w:color w:val="auto"/>
        </w:rPr>
      </w:pPr>
    </w:p>
    <w:p>
      <w:pPr>
        <w:ind w:left="1160" w:hanging="625"/>
        <w:spacing w:after="0"/>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Deposit Insurance Act (12 U.S.C. 1813;</w:t>
      </w:r>
    </w:p>
    <w:p>
      <w:pPr>
        <w:spacing w:after="0" w:line="169" w:lineRule="exact"/>
        <w:rPr>
          <w:sz w:val="20"/>
          <w:szCs w:val="20"/>
          <w:color w:val="auto"/>
        </w:rPr>
      </w:pPr>
    </w:p>
    <w:p>
      <w:pPr>
        <w:ind w:left="1160" w:hanging="941"/>
        <w:spacing w:after="0"/>
        <w:tabs>
          <w:tab w:leader="none" w:pos="11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church plan that is excluded from the definition of an investment</w:t>
      </w:r>
    </w:p>
    <w:p>
      <w:pPr>
        <w:spacing w:after="0" w:line="53" w:lineRule="exact"/>
        <w:rPr>
          <w:rFonts w:ascii="Courier New" w:cs="Courier New" w:eastAsia="Courier New" w:hAnsi="Courier New"/>
          <w:sz w:val="16"/>
          <w:szCs w:val="16"/>
          <w:color w:val="auto"/>
        </w:rPr>
      </w:pPr>
    </w:p>
    <w:p>
      <w:pPr>
        <w:ind w:left="1160" w:right="1879" w:hanging="625"/>
        <w:spacing w:after="0" w:line="309" w:lineRule="auto"/>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under section 3(c)(14) of the Investment Company Act of 1940 (15 U.S.C. 80a-3);</w:t>
      </w:r>
    </w:p>
    <w:p>
      <w:pPr>
        <w:spacing w:after="0" w:line="51" w:lineRule="exact"/>
        <w:rPr>
          <w:sz w:val="20"/>
          <w:szCs w:val="20"/>
          <w:color w:val="auto"/>
        </w:rPr>
      </w:pPr>
    </w:p>
    <w:p>
      <w:pPr>
        <w:ind w:left="1160" w:hanging="941"/>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(S)240.13d-1(b)(1)(ii)(J).</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If this statement is filed pursuant to (S)240.13d-1(c), check this box</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For information on ownership, voting and dispositive power with respect to the above listed shares, see Items 5-9 of the Cover Page.</w:t>
      </w: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3479" w:firstLine="527"/>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8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Being Reported on By the Parent Holding Company.</w:t>
      </w: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740" w:space="220"/>
            <w:col w:w="9259"/>
          </w:cols>
          <w:pgMar w:left="240" w:top="69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740" w:space="220"/>
            <w:col w:w="9259"/>
          </w:cols>
          <w:pgMar w:left="240" w:top="69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91" w:right="1440" w:bottom="1440" w:gutter="0" w:footer="0" w:header="0"/>
          <w:type w:val="continuous"/>
        </w:sectPr>
      </w:pPr>
    </w:p>
    <w:p>
      <w:pPr>
        <w:spacing w:after="0" w:line="169"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w:t>
      </w:r>
    </w:p>
    <w:p>
      <w:pPr>
        <w:sectPr>
          <w:pgSz w:w="11900" w:h="16838" w:orient="portrait"/>
          <w:cols w:equalWidth="0" w:num="1">
            <w:col w:w="10219"/>
          </w:cols>
          <w:pgMar w:left="240" w:top="691" w:right="1440" w:bottom="1440" w:gutter="0" w:footer="0" w:header="0"/>
          <w:type w:val="continuous"/>
        </w:sectPr>
      </w:pPr>
    </w:p>
    <w:bookmarkStart w:id="4" w:name="page5"/>
    <w:bookmarkEnd w:id="4"/>
    <w:p>
      <w:pPr>
        <w:ind w:right="1779"/>
        <w:spacing w:after="0" w:line="347" w:lineRule="auto"/>
        <w:rPr>
          <w:sz w:val="20"/>
          <w:szCs w:val="20"/>
          <w:color w:val="auto"/>
        </w:rPr>
      </w:pPr>
      <w:r>
        <w:rPr>
          <w:rFonts w:ascii="Courier New" w:cs="Courier New" w:eastAsia="Courier New" w:hAnsi="Courier New"/>
          <w:sz w:val="18"/>
          <w:szCs w:val="18"/>
          <w:color w:val="auto"/>
        </w:rPr>
        <w:t>and were not acquired and are not held in connection with or as a participant in any transaction having that purpose or effect.</w:t>
      </w: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5, 1999</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8"/>
          <w:szCs w:val="18"/>
          <w:color w:val="auto"/>
        </w:rPr>
        <w:t>By:</w:t>
        <w:tab/>
        <w:t>PATRICK J. RETZER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Patrick J. Retzer</w:t>
      </w:r>
    </w:p>
    <w:p>
      <w:pPr>
        <w:ind w:left="2640"/>
        <w:spacing w:after="0"/>
        <w:rPr>
          <w:sz w:val="20"/>
          <w:szCs w:val="20"/>
          <w:color w:val="auto"/>
        </w:rPr>
      </w:pPr>
      <w:r>
        <w:rPr>
          <w:rFonts w:ascii="Courier New" w:cs="Courier New" w:eastAsia="Courier New" w:hAnsi="Courier New"/>
          <w:sz w:val="18"/>
          <w:szCs w:val="18"/>
          <w:color w:val="auto"/>
        </w:rPr>
        <w:t>Senior Vice President</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lvl w:ilvl="1">
      <w:lvlJc w:val="left"/>
      <w:lvlText w:val="-----"/>
      <w:numFmt w:val="bullet"/>
      <w:start w:val="1"/>
    </w:lvl>
  </w:abstractNum>
  <w:abstractNum w:abstractNumId="6">
    <w:nsid w:val="515F007C"/>
    <w:multiLevelType w:val="hybridMultilevel"/>
    <w:lvl w:ilvl="0">
      <w:lvlJc w:val="left"/>
      <w:lvlText w:val="(%1)"/>
      <w:numFmt w:val="lowerLetter"/>
      <w:start w:val="7"/>
    </w:lvl>
    <w:lvl w:ilvl="1">
      <w:lvlJc w:val="left"/>
      <w:lvlText w:val="-----"/>
      <w:numFmt w:val="bullet"/>
      <w:start w:val="1"/>
    </w:lvl>
  </w:abstractNum>
  <w:abstractNum w:abstractNumId="7">
    <w:nsid w:val="5BD062C2"/>
    <w:multiLevelType w:val="hybridMultilevel"/>
    <w:lvl w:ilvl="0">
      <w:lvlJc w:val="left"/>
      <w:lvlText w:val="(%1)"/>
      <w:numFmt w:val="upperLetter"/>
      <w:start w:val="9"/>
    </w:lvl>
    <w:lvl w:ilvl="1">
      <w:lvlJc w:val="left"/>
      <w:lvlText w:val="-----"/>
      <w:numFmt w:val="bullet"/>
      <w:start w:val="1"/>
    </w:lvl>
  </w:abstractNum>
  <w:abstractNum w:abstractNumId="8">
    <w:nsid w:val="12200854"/>
    <w:multiLevelType w:val="hybridMultilevel"/>
    <w:lvl w:ilvl="0">
      <w:lvlJc w:val="left"/>
      <w:lvlText w:val="(%1)"/>
      <w:numFmt w:val="lowerLetter"/>
      <w:start w:val="10"/>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2020-02-22T11:13:01Z</dcterms:created>
  <dcterms:modified xsi:type="dcterms:W3CDTF">2020-02-22T11:13:01Z</dcterms:modified>
</cp:coreProperties>
</file>