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147955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720" w:right="1600" w:hanging="3699"/>
        <w:spacing w:after="0" w:line="365" w:lineRule="auto"/>
        <w:tabs>
          <w:tab w:leader="none" w:pos="50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November 2,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240" w:right="1580" w:hanging="4219"/>
        <w:spacing w:after="0" w:line="412" w:lineRule="auto"/>
        <w:tabs>
          <w:tab w:leader="none" w:pos="49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26035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p>
      <w:pPr>
        <w:spacing w:after="0" w:line="200" w:lineRule="exact"/>
        <w:rPr>
          <w:sz w:val="24"/>
          <w:szCs w:val="24"/>
          <w:color w:val="auto"/>
        </w:rPr>
      </w:pPr>
    </w:p>
    <w:p>
      <w:pPr>
        <w:spacing w:after="0" w:line="312"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12"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555 Turnpike Street</w:t>
      </w:r>
    </w:p>
    <w:p>
      <w:pPr>
        <w:spacing w:after="0" w:line="12"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Canton, MA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04-2623104</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02021</w:t>
      </w:r>
    </w:p>
    <w:p>
      <w:pPr>
        <w:spacing w:after="0" w:line="27" w:lineRule="exact"/>
        <w:rPr>
          <w:sz w:val="24"/>
          <w:szCs w:val="24"/>
          <w:color w:val="auto"/>
        </w:rPr>
      </w:pPr>
    </w:p>
    <w:p>
      <w:pPr>
        <w:sectPr>
          <w:pgSz w:w="11900" w:h="16838" w:orient="portrait"/>
          <w:cols w:equalWidth="0" w:num="2">
            <w:col w:w="7220" w:space="720"/>
            <w:col w:w="3300"/>
          </w:cols>
          <w:pgMar w:left="320" w:top="1093"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139700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800" w:type="dxa"/>
            <w:vAlign w:val="bottom"/>
          </w:tcPr>
          <w:p>
            <w:pPr>
              <w:spacing w:after="0"/>
              <w:rPr>
                <w:sz w:val="18"/>
                <w:szCs w:val="18"/>
                <w:color w:val="auto"/>
              </w:rPr>
            </w:pPr>
          </w:p>
        </w:tc>
        <w:tc>
          <w:tcPr>
            <w:tcW w:w="4700" w:type="dxa"/>
            <w:vAlign w:val="bottom"/>
          </w:tcPr>
          <w:p>
            <w:pPr>
              <w:spacing w:after="0"/>
              <w:rPr>
                <w:sz w:val="18"/>
                <w:szCs w:val="18"/>
                <w:color w:val="auto"/>
              </w:rPr>
            </w:pPr>
          </w:p>
        </w:tc>
      </w:tr>
      <w:tr>
        <w:trPr>
          <w:trHeight w:val="334"/>
        </w:trPr>
        <w:tc>
          <w:tcPr>
            <w:tcW w:w="140" w:type="dxa"/>
            <w:vAlign w:val="bottom"/>
            <w:tcBorders>
              <w:right w:val="single" w:sz="8" w:color="auto"/>
            </w:tcBorders>
          </w:tcPr>
          <w:p>
            <w:pPr>
              <w:spacing w:after="0"/>
              <w:rPr>
                <w:sz w:val="24"/>
                <w:szCs w:val="24"/>
                <w:color w:val="auto"/>
              </w:rPr>
            </w:pPr>
          </w:p>
        </w:tc>
        <w:tc>
          <w:tcPr>
            <w:tcW w:w="4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30"/>
        </w:trPr>
        <w:tc>
          <w:tcPr>
            <w:tcW w:w="140" w:type="dxa"/>
            <w:vAlign w:val="bottom"/>
            <w:tcBorders>
              <w:right w:val="single" w:sz="8" w:color="auto"/>
            </w:tcBorders>
          </w:tcPr>
          <w:p>
            <w:pPr>
              <w:spacing w:after="0"/>
              <w:rPr>
                <w:sz w:val="20"/>
                <w:szCs w:val="20"/>
                <w:color w:val="auto"/>
              </w:rPr>
            </w:pPr>
          </w:p>
        </w:tc>
        <w:tc>
          <w:tcPr>
            <w:tcW w:w="4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DXLG</w:t>
            </w:r>
          </w:p>
        </w:tc>
        <w:tc>
          <w:tcPr>
            <w:tcW w:w="4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94" w:lineRule="exact"/>
        <w:rPr>
          <w:sz w:val="24"/>
          <w:szCs w:val="24"/>
          <w:color w:val="auto"/>
        </w:rPr>
      </w:pPr>
    </w:p>
    <w:p>
      <w:pPr>
        <w:jc w:val="both"/>
        <w:ind w:firstLine="599"/>
        <w:spacing w:after="0" w:line="22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right="100" w:firstLine="599"/>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2" w:lineRule="exact"/>
        <w:rPr>
          <w:sz w:val="24"/>
          <w:szCs w:val="24"/>
          <w:color w:val="auto"/>
        </w:rPr>
      </w:pPr>
    </w:p>
    <w:p>
      <w:pPr>
        <w:ind w:right="1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88"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360" w:firstLine="599"/>
        <w:spacing w:after="0" w:line="217" w:lineRule="exact"/>
        <w:rPr>
          <w:sz w:val="20"/>
          <w:szCs w:val="20"/>
          <w:color w:val="auto"/>
        </w:rPr>
      </w:pPr>
      <w:r>
        <w:rPr>
          <w:rFonts w:ascii="Times New Roman" w:cs="Times New Roman" w:eastAsia="Times New Roman" w:hAnsi="Times New Roman"/>
          <w:sz w:val="16"/>
          <w:szCs w:val="16"/>
          <w:color w:val="auto"/>
        </w:rPr>
        <w:t xml:space="preserve">Indicate by a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13, 2024, the registrant had 54,307,237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November 2, 2024</w:t>
            </w:r>
          </w:p>
        </w:tc>
        <w:tc>
          <w:tcPr>
            <w:tcW w:w="200" w:type="dxa"/>
            <w:vAlign w:val="bottom"/>
          </w:tcPr>
          <w:p>
            <w:pPr>
              <w:spacing w:after="0"/>
              <w:rPr>
                <w:sz w:val="13"/>
                <w:szCs w:val="13"/>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February 3, 2024</w:t>
            </w:r>
          </w:p>
        </w:tc>
      </w:tr>
      <w:tr>
        <w:trPr>
          <w:trHeight w:val="171"/>
        </w:trPr>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(Fiscal 2024)</w:t>
            </w:r>
          </w:p>
        </w:tc>
        <w:tc>
          <w:tcPr>
            <w:tcW w:w="20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(Fiscal 2023)</w:t>
            </w:r>
          </w:p>
        </w:tc>
      </w:tr>
      <w:tr>
        <w:trPr>
          <w:trHeight w:val="142"/>
        </w:trPr>
        <w:tc>
          <w:tcPr>
            <w:tcW w:w="77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89,139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80,968</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140,257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153,245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Non-current assets: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51,988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43,238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167,814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138,118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income taxes, net of valuation allowance</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381,321</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357,741</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28,013</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26,201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35,302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 current</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35,353</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37,221</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89,567</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liabilities:</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 non-current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145,771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117,316</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146,298</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118,912</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Stockholders' equity:</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none issued</w:t>
            </w: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$0.01 par value, 125,000,000 shares authorized, 79,362,021 and 79,033,378 shares</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 at November 2, 2024 and February 3, 2024, respectively</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20"/>
                <w:szCs w:val="20"/>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327,836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325,202</w:t>
            </w:r>
          </w:p>
        </w:tc>
        <w:tc>
          <w:tcPr>
            <w:tcW w:w="100" w:type="dxa"/>
            <w:vAlign w:val="bottom"/>
            <w:shd w:val="clear" w:color="auto" w:fill="CFF0FC"/>
          </w:tcPr>
          <w:p>
            <w:pPr>
              <w:spacing w:after="0"/>
              <w:rPr>
                <w:sz w:val="18"/>
                <w:szCs w:val="18"/>
                <w:color w:val="auto"/>
              </w:rPr>
            </w:pPr>
          </w:p>
        </w:tc>
      </w:tr>
      <w:tr>
        <w:trPr>
          <w:trHeight w:val="198"/>
        </w:trPr>
        <w:tc>
          <w:tcPr>
            <w:tcW w:w="77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Treasury stock at cost, 24,681,934 shares at November 2, 2024 and 21,041,661 shares at February 3,</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(140,643 )</w:t>
            </w:r>
          </w:p>
        </w:tc>
        <w:tc>
          <w:tcPr>
            <w:tcW w:w="20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(130,137 )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(42,531 )</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(46,902 )</w:t>
            </w:r>
          </w:p>
        </w:tc>
      </w:tr>
      <w:tr>
        <w:trPr>
          <w:trHeight w:val="210"/>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145,456</w:t>
            </w: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148,953</w:t>
            </w:r>
          </w:p>
        </w:tc>
        <w:tc>
          <w:tcPr>
            <w:tcW w:w="100" w:type="dxa"/>
            <w:vAlign w:val="bottom"/>
            <w:tcBorders>
              <w:top w:val="single" w:sz="8" w:color="CFF0FC"/>
            </w:tcBorders>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381,321</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357,741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-4782820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-4782820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-3676650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-2536825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-1979295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0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20" w:type="dxa"/>
            <w:vAlign w:val="bottom"/>
          </w:tcPr>
          <w:p>
            <w:pPr>
              <w:spacing w:after="0"/>
              <w:rPr>
                <w:sz w:val="13"/>
                <w:szCs w:val="13"/>
                <w:color w:val="auto"/>
              </w:rPr>
            </w:pPr>
          </w:p>
        </w:tc>
        <w:tc>
          <w:tcPr>
            <w:tcW w:w="298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color w:val="auto"/>
              </w:rPr>
              <w:t>For the Nine Months Ended</w:t>
            </w:r>
          </w:p>
        </w:tc>
      </w:tr>
      <w:tr>
        <w:trPr>
          <w:trHeight w:val="149"/>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November 2, 2024</w:t>
            </w:r>
          </w:p>
        </w:tc>
        <w:tc>
          <w:tcPr>
            <w:tcW w:w="120" w:type="dxa"/>
            <w:vAlign w:val="bottom"/>
          </w:tcPr>
          <w:p>
            <w:pPr>
              <w:spacing w:after="0"/>
              <w:rPr>
                <w:sz w:val="12"/>
                <w:szCs w:val="12"/>
                <w:color w:val="auto"/>
              </w:rPr>
            </w:pPr>
          </w:p>
        </w:tc>
        <w:tc>
          <w:tcPr>
            <w:tcW w:w="14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October 28, 2023</w:t>
            </w:r>
          </w:p>
        </w:tc>
        <w:tc>
          <w:tcPr>
            <w:tcW w:w="120" w:type="dxa"/>
            <w:vAlign w:val="bottom"/>
          </w:tcPr>
          <w:p>
            <w:pPr>
              <w:spacing w:after="0"/>
              <w:rPr>
                <w:sz w:val="12"/>
                <w:szCs w:val="12"/>
                <w:color w:val="auto"/>
              </w:rPr>
            </w:pPr>
          </w:p>
        </w:tc>
        <w:tc>
          <w:tcPr>
            <w:tcW w:w="1220" w:type="dxa"/>
            <w:vAlign w:val="bottom"/>
          </w:tcPr>
          <w:p>
            <w:pPr>
              <w:jc w:val="right"/>
              <w:ind w:right="53"/>
              <w:spacing w:after="0" w:line="149" w:lineRule="exact"/>
              <w:rPr>
                <w:sz w:val="20"/>
                <w:szCs w:val="20"/>
                <w:color w:val="auto"/>
              </w:rPr>
            </w:pPr>
            <w:r>
              <w:rPr>
                <w:rFonts w:ascii="Times New Roman" w:cs="Times New Roman" w:eastAsia="Times New Roman" w:hAnsi="Times New Roman"/>
                <w:sz w:val="14"/>
                <w:szCs w:val="14"/>
                <w:color w:val="auto"/>
              </w:rPr>
              <w:t>November 2, 2024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October 28, 2023</w:t>
            </w:r>
          </w:p>
        </w:tc>
      </w:tr>
      <w:tr>
        <w:trPr>
          <w:trHeight w:val="171"/>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rPr>
              <w:t>(Fiscal 2024)</w:t>
            </w:r>
          </w:p>
        </w:tc>
        <w:tc>
          <w:tcPr>
            <w:tcW w:w="12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(Fiscal 2023)</w:t>
            </w:r>
          </w:p>
        </w:tc>
        <w:tc>
          <w:tcPr>
            <w:tcW w:w="120" w:type="dxa"/>
            <w:vAlign w:val="bottom"/>
          </w:tcPr>
          <w:p>
            <w:pPr>
              <w:spacing w:after="0"/>
              <w:rPr>
                <w:sz w:val="14"/>
                <w:szCs w:val="14"/>
                <w:color w:val="auto"/>
              </w:rPr>
            </w:pPr>
          </w:p>
        </w:tc>
        <w:tc>
          <w:tcPr>
            <w:tcW w:w="122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(Fiscal 2024)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(Fiscal 2023)</w:t>
            </w:r>
          </w:p>
        </w:tc>
      </w:tr>
      <w:tr>
        <w:trPr>
          <w:trHeight w:val="142"/>
        </w:trPr>
        <w:tc>
          <w:tcPr>
            <w:tcW w:w="4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107,503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119,188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347,812</w:t>
            </w:r>
          </w:p>
        </w:tc>
        <w:tc>
          <w:tcPr>
            <w:tcW w:w="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384,673</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including occupancy costs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62,577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183,520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196,767</w:t>
            </w:r>
          </w:p>
        </w:tc>
        <w:tc>
          <w:tcPr>
            <w:tcW w:w="100" w:type="dxa"/>
            <w:vAlign w:val="bottom"/>
          </w:tcPr>
          <w:p>
            <w:pPr>
              <w:spacing w:after="0"/>
              <w:rPr>
                <w:sz w:val="18"/>
                <w:szCs w:val="18"/>
                <w:color w:val="auto"/>
              </w:rPr>
            </w:pPr>
          </w:p>
        </w:tc>
      </w:tr>
      <w:tr>
        <w:trPr>
          <w:trHeight w:val="20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56,611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164,292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187,906</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143,689</w:t>
            </w:r>
          </w:p>
        </w:tc>
        <w:tc>
          <w:tcPr>
            <w:tcW w:w="100" w:type="dxa"/>
            <w:vAlign w:val="bottom"/>
          </w:tcPr>
          <w:p>
            <w:pPr>
              <w:spacing w:after="0"/>
              <w:rPr>
                <w:sz w:val="18"/>
                <w:szCs w:val="18"/>
                <w:color w:val="auto"/>
              </w:rPr>
            </w:pPr>
          </w:p>
        </w:tc>
      </w:tr>
      <w:tr>
        <w:trPr>
          <w:trHeight w:val="216"/>
        </w:trPr>
        <w:tc>
          <w:tcPr>
            <w:tcW w:w="4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50,978</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158,826</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154,027</w:t>
            </w:r>
          </w:p>
        </w:tc>
        <w:tc>
          <w:tcPr>
            <w:tcW w:w="100" w:type="dxa"/>
            <w:vAlign w:val="bottom"/>
          </w:tcPr>
          <w:p>
            <w:pPr>
              <w:spacing w:after="0"/>
              <w:rPr>
                <w:sz w:val="18"/>
                <w:szCs w:val="18"/>
                <w:color w:val="auto"/>
              </w:rPr>
            </w:pPr>
          </w:p>
        </w:tc>
      </w:tr>
      <w:tr>
        <w:trPr>
          <w:trHeight w:val="210"/>
        </w:trPr>
        <w:tc>
          <w:tcPr>
            <w:tcW w:w="4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(2,539 )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33,879</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termination of retirement plans</w:t>
            </w:r>
          </w:p>
        </w:tc>
        <w:tc>
          <w:tcPr>
            <w:tcW w:w="140" w:type="dxa"/>
            <w:vAlign w:val="bottom"/>
          </w:tcPr>
          <w:p>
            <w:pPr>
              <w:spacing w:after="0"/>
              <w:rPr>
                <w:sz w:val="18"/>
                <w:szCs w:val="18"/>
                <w:color w:val="auto"/>
              </w:rPr>
            </w:pPr>
          </w:p>
        </w:tc>
        <w:tc>
          <w:tcPr>
            <w:tcW w:w="15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(4,231 )</w:t>
            </w:r>
          </w:p>
        </w:tc>
      </w:tr>
      <w:tr>
        <w:trPr>
          <w:trHeight w:val="216"/>
        </w:trPr>
        <w:tc>
          <w:tcPr>
            <w:tcW w:w="4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(1,987 )</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31,056</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100" w:type="dxa"/>
            <w:vAlign w:val="bottom"/>
          </w:tcPr>
          <w:p>
            <w:pPr>
              <w:spacing w:after="0"/>
              <w:rPr>
                <w:sz w:val="18"/>
                <w:szCs w:val="18"/>
                <w:color w:val="auto"/>
              </w:rPr>
            </w:pPr>
          </w:p>
        </w:tc>
      </w:tr>
      <w:tr>
        <w:trPr>
          <w:trHeight w:val="209"/>
        </w:trPr>
        <w:tc>
          <w:tcPr>
            <w:tcW w:w="49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(1,805 )</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22,620</w:t>
            </w:r>
          </w:p>
        </w:tc>
        <w:tc>
          <w:tcPr>
            <w:tcW w:w="100" w:type="dxa"/>
            <w:vAlign w:val="bottom"/>
            <w:shd w:val="clear" w:color="auto" w:fill="CFF0FC"/>
          </w:tcPr>
          <w:p>
            <w:pPr>
              <w:spacing w:after="0"/>
              <w:rPr>
                <w:sz w:val="22"/>
                <w:szCs w:val="22"/>
                <w:color w:val="auto"/>
              </w:rPr>
            </w:pPr>
          </w:p>
        </w:tc>
      </w:tr>
      <w:tr>
        <w:trPr>
          <w:trHeight w:val="196"/>
        </w:trPr>
        <w:tc>
          <w:tcPr>
            <w:tcW w:w="49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4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(0.03 )</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(0.03 )</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61,612</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57,135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63,464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60,642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64,995</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-2802255</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-2802255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-2802255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-1962785</wp:posOffset>
            </wp:positionV>
            <wp:extent cx="768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-1962785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-1962785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-1962785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-1122045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-1105535</wp:posOffset>
            </wp:positionV>
            <wp:extent cx="76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-1122045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-1105535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-1122045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-1105535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-1105535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60" w:type="dxa"/>
            <w:vAlign w:val="bottom"/>
          </w:tcPr>
          <w:p>
            <w:pPr>
              <w:spacing w:after="0"/>
              <w:rPr>
                <w:sz w:val="14"/>
                <w:szCs w:val="14"/>
                <w:color w:val="auto"/>
              </w:rPr>
            </w:pPr>
          </w:p>
        </w:tc>
        <w:tc>
          <w:tcPr>
            <w:tcW w:w="276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color w:val="auto"/>
              </w:rPr>
              <w:t>For the Nine Months Ended</w:t>
            </w:r>
          </w:p>
        </w:tc>
      </w:tr>
      <w:tr>
        <w:trPr>
          <w:trHeight w:val="149"/>
        </w:trPr>
        <w:tc>
          <w:tcPr>
            <w:tcW w:w="5300" w:type="dxa"/>
            <w:vAlign w:val="bottom"/>
          </w:tcPr>
          <w:p>
            <w:pPr>
              <w:spacing w:after="0"/>
              <w:rPr>
                <w:sz w:val="12"/>
                <w:szCs w:val="12"/>
                <w:color w:val="auto"/>
              </w:rPr>
            </w:pPr>
          </w:p>
        </w:tc>
        <w:tc>
          <w:tcPr>
            <w:tcW w:w="1520" w:type="dxa"/>
            <w:vAlign w:val="bottom"/>
            <w:gridSpan w:val="3"/>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November 2, 2024</w:t>
            </w:r>
          </w:p>
        </w:tc>
        <w:tc>
          <w:tcPr>
            <w:tcW w:w="100" w:type="dxa"/>
            <w:vAlign w:val="bottom"/>
          </w:tcPr>
          <w:p>
            <w:pPr>
              <w:spacing w:after="0"/>
              <w:rPr>
                <w:sz w:val="12"/>
                <w:szCs w:val="12"/>
                <w:color w:val="auto"/>
              </w:rPr>
            </w:pPr>
          </w:p>
        </w:tc>
        <w:tc>
          <w:tcPr>
            <w:tcW w:w="14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October 28, 2023</w:t>
            </w: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November 2, 2024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October 28, 2023</w:t>
            </w:r>
          </w:p>
        </w:tc>
      </w:tr>
      <w:tr>
        <w:trPr>
          <w:trHeight w:val="171"/>
        </w:trPr>
        <w:tc>
          <w:tcPr>
            <w:tcW w:w="5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color w:val="auto"/>
              </w:rPr>
              <w:t>(Fiscal 2024)</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color w:val="auto"/>
              </w:rPr>
              <w:t>(Fiscal 2023)</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color w:val="auto"/>
              </w:rPr>
              <w:t>(Fiscal 2024)</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color w:val="auto"/>
              </w:rPr>
              <w:t>(Fiscal 2023)</w:t>
            </w:r>
          </w:p>
        </w:tc>
        <w:tc>
          <w:tcPr>
            <w:tcW w:w="240" w:type="dxa"/>
            <w:vAlign w:val="bottom"/>
          </w:tcPr>
          <w:p>
            <w:pPr>
              <w:spacing w:after="0"/>
              <w:rPr>
                <w:sz w:val="14"/>
                <w:szCs w:val="14"/>
                <w:color w:val="auto"/>
              </w:rPr>
            </w:pPr>
          </w:p>
        </w:tc>
      </w:tr>
      <w:tr>
        <w:trPr>
          <w:trHeight w:val="209"/>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(1,805 )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22,620</w:t>
            </w:r>
          </w:p>
        </w:tc>
        <w:tc>
          <w:tcPr>
            <w:tcW w:w="24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taxes:</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Retirement plans</w:t>
            </w:r>
          </w:p>
        </w:tc>
        <w:tc>
          <w:tcPr>
            <w:tcW w:w="1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tcPr>
          <w:p>
            <w:pPr>
              <w:spacing w:after="0"/>
              <w:rPr>
                <w:sz w:val="18"/>
                <w:szCs w:val="18"/>
                <w:color w:val="auto"/>
              </w:rPr>
            </w:pPr>
          </w:p>
        </w:tc>
      </w:tr>
      <w:tr>
        <w:trPr>
          <w:trHeight w:val="216"/>
        </w:trPr>
        <w:tc>
          <w:tcPr>
            <w:tcW w:w="5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Recognized loss on termination of retirement plans</w:t>
            </w: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240" w:type="dxa"/>
            <w:vAlign w:val="bottom"/>
            <w:tcBorders>
              <w:bottom w:val="single" w:sz="8" w:color="CFF0FC"/>
            </w:tcBorders>
            <w:shd w:val="clear" w:color="auto" w:fill="CFF0FC"/>
          </w:tcPr>
          <w:p>
            <w:pPr>
              <w:spacing w:after="0"/>
              <w:rPr>
                <w:sz w:val="18"/>
                <w:szCs w:val="18"/>
                <w:color w:val="auto"/>
              </w:rPr>
            </w:pPr>
          </w:p>
        </w:tc>
      </w:tr>
      <w:tr>
        <w:trPr>
          <w:trHeight w:val="209"/>
        </w:trPr>
        <w:tc>
          <w:tcPr>
            <w:tcW w:w="5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income before taxes</w:t>
            </w:r>
          </w:p>
        </w:tc>
        <w:tc>
          <w:tcPr>
            <w:tcW w:w="1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240" w:type="dxa"/>
            <w:vAlign w:val="bottom"/>
          </w:tcPr>
          <w:p>
            <w:pPr>
              <w:spacing w:after="0"/>
              <w:rPr>
                <w:sz w:val="18"/>
                <w:szCs w:val="18"/>
                <w:color w:val="auto"/>
              </w:rPr>
            </w:pPr>
          </w:p>
        </w:tc>
      </w:tr>
      <w:tr>
        <w:trPr>
          <w:trHeight w:val="21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effect related to items of other comprehensive income</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(17 )</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(1,145 )</w:t>
            </w:r>
          </w:p>
        </w:tc>
      </w:tr>
      <w:tr>
        <w:trPr>
          <w:trHeight w:val="209"/>
        </w:trPr>
        <w:tc>
          <w:tcPr>
            <w:tcW w:w="53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240" w:type="dxa"/>
            <w:vAlign w:val="bottom"/>
            <w:tcBorders>
              <w:top w:val="single" w:sz="8" w:color="CFF0FC"/>
            </w:tcBorders>
          </w:tcPr>
          <w:p>
            <w:pPr>
              <w:spacing w:after="0"/>
              <w:rPr>
                <w:sz w:val="18"/>
                <w:szCs w:val="18"/>
                <w:color w:val="auto"/>
              </w:rPr>
            </w:pPr>
          </w:p>
        </w:tc>
      </w:tr>
      <w:tr>
        <w:trPr>
          <w:trHeight w:val="229"/>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(1,805 )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25,877</w:t>
            </w:r>
          </w:p>
        </w:tc>
        <w:tc>
          <w:tcPr>
            <w:tcW w:w="240" w:type="dxa"/>
            <w:vAlign w:val="bottom"/>
            <w:shd w:val="clear" w:color="auto" w:fill="CFF0FC"/>
          </w:tcPr>
          <w:p>
            <w:pPr>
              <w:spacing w:after="0"/>
              <w:rPr>
                <w:sz w:val="19"/>
                <w:szCs w:val="19"/>
                <w:color w:val="auto"/>
              </w:rPr>
            </w:pPr>
          </w:p>
        </w:tc>
      </w:tr>
      <w:tr>
        <w:trPr>
          <w:trHeight w:val="20"/>
        </w:trPr>
        <w:tc>
          <w:tcPr>
            <w:tcW w:w="5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-599440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-599440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-599440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-599440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-316230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-316230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-316230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-316230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-25400</wp:posOffset>
            </wp:positionV>
            <wp:extent cx="768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-25400</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-25400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color w:val="auto"/>
                <w:w w:val="97"/>
              </w:rPr>
              <w:t>Additional</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800" w:type="dxa"/>
            <w:vAlign w:val="bottom"/>
          </w:tcPr>
          <w:p>
            <w:pPr>
              <w:spacing w:after="0"/>
              <w:rPr>
                <w:sz w:val="11"/>
                <w:szCs w:val="11"/>
                <w:color w:val="auto"/>
              </w:rPr>
            </w:pPr>
          </w:p>
        </w:tc>
        <w:tc>
          <w:tcPr>
            <w:tcW w:w="1720" w:type="dxa"/>
            <w:vAlign w:val="bottom"/>
            <w:gridSpan w:val="4"/>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360"/>
              <w:spacing w:after="0" w:line="135" w:lineRule="exact"/>
              <w:rPr>
                <w:sz w:val="20"/>
                <w:szCs w:val="20"/>
                <w:color w:val="auto"/>
              </w:rPr>
            </w:pPr>
            <w:r>
              <w:rPr>
                <w:rFonts w:ascii="Times New Roman" w:cs="Times New Roman" w:eastAsia="Times New Roman" w:hAnsi="Times New Roman"/>
                <w:sz w:val="13"/>
                <w:szCs w:val="13"/>
                <w:color w:val="auto"/>
                <w:w w:val="95"/>
              </w:rPr>
              <w:t>Paid-in</w:t>
            </w:r>
          </w:p>
        </w:tc>
        <w:tc>
          <w:tcPr>
            <w:tcW w:w="2080" w:type="dxa"/>
            <w:vAlign w:val="bottom"/>
            <w:gridSpan w:val="6"/>
          </w:tcPr>
          <w:p>
            <w:pPr>
              <w:jc w:val="right"/>
              <w:ind w:right="760"/>
              <w:spacing w:after="0" w:line="135" w:lineRule="exact"/>
              <w:rPr>
                <w:sz w:val="20"/>
                <w:szCs w:val="20"/>
                <w:color w:val="auto"/>
              </w:rPr>
            </w:pPr>
            <w:r>
              <w:rPr>
                <w:rFonts w:ascii="Times New Roman" w:cs="Times New Roman" w:eastAsia="Times New Roman" w:hAnsi="Times New Roman"/>
                <w:sz w:val="13"/>
                <w:szCs w:val="13"/>
                <w:color w:val="auto"/>
              </w:rPr>
              <w:t>Treasury Stock</w:t>
            </w:r>
          </w:p>
        </w:tc>
        <w:tc>
          <w:tcPr>
            <w:tcW w:w="100" w:type="dxa"/>
            <w:vAlign w:val="bottom"/>
          </w:tcPr>
          <w:p>
            <w:pPr>
              <w:spacing w:after="0"/>
              <w:rPr>
                <w:sz w:val="11"/>
                <w:szCs w:val="11"/>
                <w:color w:val="auto"/>
              </w:rPr>
            </w:pPr>
          </w:p>
        </w:tc>
        <w:tc>
          <w:tcPr>
            <w:tcW w:w="100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w w:val="95"/>
              </w:rPr>
              <w:t>Accumulated</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800" w:type="dxa"/>
            <w:vAlign w:val="bottom"/>
          </w:tcPr>
          <w:p>
            <w:pPr>
              <w:spacing w:after="0"/>
              <w:rPr>
                <w:sz w:val="13"/>
                <w:szCs w:val="13"/>
                <w:color w:val="auto"/>
              </w:rPr>
            </w:pPr>
          </w:p>
        </w:tc>
        <w:tc>
          <w:tcPr>
            <w:tcW w:w="7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color w:val="auto"/>
              </w:rPr>
              <w:t>Shares</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color w:val="auto"/>
                <w:w w:val="96"/>
              </w:rPr>
              <w:t>Amounts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3"/>
                <w:szCs w:val="13"/>
                <w:color w:val="auto"/>
                <w:w w:val="95"/>
              </w:rPr>
              <w:t>Capital</w:t>
            </w:r>
          </w:p>
        </w:tc>
        <w:tc>
          <w:tcPr>
            <w:tcW w:w="220" w:type="dxa"/>
            <w:vAlign w:val="bottom"/>
            <w:gridSpan w:val="2"/>
          </w:tcPr>
          <w:p>
            <w:pPr>
              <w:spacing w:after="0"/>
              <w:rPr>
                <w:sz w:val="13"/>
                <w:szCs w:val="13"/>
                <w:color w:val="auto"/>
              </w:rPr>
            </w:pPr>
          </w:p>
        </w:tc>
        <w:tc>
          <w:tcPr>
            <w:tcW w:w="7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color w:val="auto"/>
              </w:rPr>
              <w:t>Shares</w:t>
            </w:r>
          </w:p>
        </w:tc>
        <w:tc>
          <w:tcPr>
            <w:tcW w:w="220" w:type="dxa"/>
            <w:vAlign w:val="bottom"/>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color w:val="auto"/>
              </w:rPr>
              <w:t>Amounts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color w:val="auto"/>
              </w:rPr>
              <w:t>Deficit</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spacing w:after="0"/>
              <w:rPr>
                <w:sz w:val="13"/>
                <w:szCs w:val="13"/>
                <w:color w:val="auto"/>
              </w:rPr>
            </w:pPr>
          </w:p>
        </w:tc>
      </w:tr>
      <w:tr>
        <w:trPr>
          <w:trHeight w:val="19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February 3, 2024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79,033</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325,202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(21,041 )</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(130,137 )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(46,902 )</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148,953</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7"/>
                <w:szCs w:val="17"/>
                <w:color w:val="auto"/>
              </w:rPr>
            </w:pPr>
          </w:p>
        </w:tc>
      </w:tr>
      <w:tr>
        <w:trPr>
          <w:trHeight w:val="203"/>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17"/>
                <w:szCs w:val="17"/>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Shares withheld for taxes related to net share settlement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(48 )</w:t>
            </w:r>
          </w:p>
        </w:tc>
        <w:tc>
          <w:tcPr>
            <w:tcW w:w="12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(48 )</w:t>
            </w:r>
          </w:p>
        </w:tc>
      </w:tr>
      <w:tr>
        <w:trPr>
          <w:trHeight w:val="20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7"/>
                <w:szCs w:val="17"/>
                <w:color w:val="auto"/>
              </w:rPr>
            </w:pPr>
          </w:p>
        </w:tc>
      </w:tr>
      <w:tr>
        <w:trPr>
          <w:trHeight w:val="203"/>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(211 )</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(211 )</w:t>
            </w:r>
          </w:p>
        </w:tc>
      </w:tr>
      <w:tr>
        <w:trPr>
          <w:trHeight w:val="20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3,793</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3,793</w:t>
            </w:r>
          </w:p>
        </w:tc>
        <w:tc>
          <w:tcPr>
            <w:tcW w:w="100" w:type="dxa"/>
            <w:vAlign w:val="bottom"/>
          </w:tcPr>
          <w:p>
            <w:pPr>
              <w:spacing w:after="0"/>
              <w:rPr>
                <w:sz w:val="17"/>
                <w:szCs w:val="17"/>
                <w:color w:val="auto"/>
              </w:rPr>
            </w:pPr>
          </w:p>
        </w:tc>
      </w:tr>
      <w:tr>
        <w:trPr>
          <w:trHeight w:val="19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May 4, 2024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79,298</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326,214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(21,094 )</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(130,348 )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(43,109 )</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153,550</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tcPr>
          <w:p>
            <w:pPr>
              <w:spacing w:after="0"/>
              <w:rPr>
                <w:sz w:val="17"/>
                <w:szCs w:val="17"/>
                <w:color w:val="auto"/>
              </w:rPr>
            </w:pPr>
          </w:p>
        </w:tc>
      </w:tr>
      <w:tr>
        <w:trPr>
          <w:trHeight w:val="203"/>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100" w:type="dxa"/>
            <w:vAlign w:val="bottom"/>
          </w:tcPr>
          <w:p>
            <w:pPr>
              <w:spacing w:after="0"/>
              <w:rPr>
                <w:sz w:val="17"/>
                <w:szCs w:val="17"/>
                <w:color w:val="auto"/>
              </w:rPr>
            </w:pPr>
          </w:p>
        </w:tc>
      </w:tr>
      <w:tr>
        <w:trPr>
          <w:trHeight w:val="19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August 3, 2024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79,329</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327,235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(21,094 )</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(130,348 )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(40,726 )</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156,954</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Pr>
          <w:p>
            <w:pPr>
              <w:spacing w:after="0"/>
              <w:rPr>
                <w:sz w:val="17"/>
                <w:szCs w:val="17"/>
                <w:color w:val="auto"/>
              </w:rPr>
            </w:pPr>
          </w:p>
        </w:tc>
      </w:tr>
      <w:tr>
        <w:trPr>
          <w:trHeight w:val="203"/>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withheld for taxes related to net share settlement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spacing w:after="0"/>
              <w:rPr>
                <w:sz w:val="17"/>
                <w:szCs w:val="17"/>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(17 )</w:t>
            </w:r>
          </w:p>
        </w:tc>
      </w:tr>
      <w:tr>
        <w:trPr>
          <w:trHeight w:val="203"/>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(3,588 )</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(10,295 )</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(10,295 )</w:t>
            </w:r>
          </w:p>
        </w:tc>
      </w:tr>
      <w:tr>
        <w:trPr>
          <w:trHeight w:val="20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(1,805 )</w:t>
            </w:r>
          </w:p>
        </w:tc>
        <w:tc>
          <w:tcPr>
            <w:tcW w:w="26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(1,805 )</w:t>
            </w:r>
          </w:p>
        </w:tc>
      </w:tr>
      <w:tr>
        <w:trPr>
          <w:trHeight w:val="20"/>
        </w:trPr>
        <w:tc>
          <w:tcPr>
            <w:tcW w:w="3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November 2, 2024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79,362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260" w:type="dxa"/>
            <w:vAlign w:val="bottom"/>
            <w:gridSpan w:val="2"/>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327,836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(24,682 )</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(140,643 )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(42,531 )</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145,456</w:t>
            </w:r>
          </w:p>
        </w:tc>
        <w:tc>
          <w:tcPr>
            <w:tcW w:w="100" w:type="dxa"/>
            <w:vAlign w:val="bottom"/>
            <w:shd w:val="clear" w:color="auto" w:fill="CFF0FC"/>
          </w:tcPr>
          <w:p>
            <w:pPr>
              <w:spacing w:after="0"/>
              <w:rPr>
                <w:sz w:val="18"/>
                <w:szCs w:val="18"/>
                <w:color w:val="auto"/>
              </w:rPr>
            </w:pPr>
          </w:p>
        </w:tc>
      </w:tr>
      <w:tr>
        <w:trPr>
          <w:trHeight w:val="20"/>
        </w:trPr>
        <w:tc>
          <w:tcPr>
            <w:tcW w:w="38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-24765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-7620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-24765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9" w:lineRule="exact"/>
        <w:rPr>
          <w:sz w:val="20"/>
          <w:szCs w:val="20"/>
          <w:color w:val="auto"/>
        </w:rPr>
      </w:pPr>
    </w:p>
    <w:p>
      <w:pPr>
        <w:jc w:val="right"/>
        <w:ind w:right="51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right"/>
        <w:ind w:right="51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w w:val="95"/>
              </w:rPr>
              <w:t>Accumulated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340"/>
              <w:spacing w:after="0" w:line="135" w:lineRule="exact"/>
              <w:rPr>
                <w:sz w:val="20"/>
                <w:szCs w:val="20"/>
                <w:color w:val="auto"/>
              </w:rPr>
            </w:pPr>
            <w:r>
              <w:rPr>
                <w:rFonts w:ascii="Times New Roman" w:cs="Times New Roman" w:eastAsia="Times New Roman" w:hAnsi="Times New Roman"/>
                <w:sz w:val="13"/>
                <w:szCs w:val="13"/>
                <w:color w:val="auto"/>
                <w:w w:val="93"/>
              </w:rPr>
              <w:t>Additional</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color w:val="auto"/>
                <w:w w:val="94"/>
              </w:rPr>
              <w:t>Other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480" w:type="dxa"/>
            <w:vAlign w:val="bottom"/>
          </w:tcPr>
          <w:p>
            <w:pPr>
              <w:spacing w:after="0"/>
              <w:rPr>
                <w:sz w:val="11"/>
                <w:szCs w:val="11"/>
                <w:color w:val="auto"/>
              </w:rPr>
            </w:pPr>
          </w:p>
        </w:tc>
        <w:tc>
          <w:tcPr>
            <w:tcW w:w="124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Paid-in</w:t>
            </w:r>
          </w:p>
        </w:tc>
        <w:tc>
          <w:tcPr>
            <w:tcW w:w="1900" w:type="dxa"/>
            <w:vAlign w:val="bottom"/>
            <w:gridSpan w:val="5"/>
          </w:tcPr>
          <w:p>
            <w:pPr>
              <w:jc w:val="right"/>
              <w:ind w:right="660"/>
              <w:spacing w:after="0" w:line="135" w:lineRule="exact"/>
              <w:rPr>
                <w:sz w:val="20"/>
                <w:szCs w:val="20"/>
                <w:color w:val="auto"/>
              </w:rPr>
            </w:pPr>
            <w:r>
              <w:rPr>
                <w:rFonts w:ascii="Times New Roman" w:cs="Times New Roman" w:eastAsia="Times New Roman" w:hAnsi="Times New Roman"/>
                <w:sz w:val="13"/>
                <w:szCs w:val="13"/>
                <w:color w:val="auto"/>
              </w:rPr>
              <w:t>Treasury Stock</w:t>
            </w:r>
          </w:p>
        </w:tc>
        <w:tc>
          <w:tcPr>
            <w:tcW w:w="100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Accumulated</w:t>
            </w:r>
          </w:p>
        </w:tc>
        <w:tc>
          <w:tcPr>
            <w:tcW w:w="116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5"/>
              </w:rPr>
              <w:t>Comprehensive</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480" w:type="dxa"/>
            <w:vAlign w:val="bottom"/>
          </w:tcPr>
          <w:p>
            <w:pPr>
              <w:spacing w:after="0"/>
              <w:rPr>
                <w:sz w:val="13"/>
                <w:szCs w:val="13"/>
                <w:color w:val="auto"/>
              </w:rPr>
            </w:pPr>
          </w:p>
        </w:tc>
        <w:tc>
          <w:tcPr>
            <w:tcW w:w="6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3"/>
                <w:szCs w:val="13"/>
                <w:color w:val="auto"/>
              </w:rPr>
              <w:t>Shares</w:t>
            </w:r>
          </w:p>
        </w:tc>
        <w:tc>
          <w:tcPr>
            <w:tcW w:w="240" w:type="dxa"/>
            <w:vAlign w:val="bottom"/>
            <w:gridSpan w:val="2"/>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Amounts</w:t>
            </w:r>
          </w:p>
        </w:tc>
        <w:tc>
          <w:tcPr>
            <w:tcW w:w="240" w:type="dxa"/>
            <w:vAlign w:val="bottom"/>
            <w:gridSpan w:val="2"/>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color w:val="auto"/>
              </w:rPr>
              <w:t>Capital</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3"/>
                <w:szCs w:val="13"/>
                <w:color w:val="auto"/>
              </w:rPr>
              <w:t>Shares</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3"/>
                <w:szCs w:val="13"/>
                <w:color w:val="auto"/>
              </w:rPr>
              <w:t>Amounts</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color w:val="auto"/>
              </w:rPr>
              <w:t>Deficit</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3"/>
                <w:szCs w:val="13"/>
                <w:color w:val="auto"/>
                <w:w w:val="97"/>
              </w:rPr>
              <w:t>Loss</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spacing w:after="0"/>
              <w:rPr>
                <w:sz w:val="13"/>
                <w:szCs w:val="13"/>
                <w:color w:val="auto"/>
              </w:rPr>
            </w:pPr>
          </w:p>
        </w:tc>
      </w:tr>
      <w:tr>
        <w:trPr>
          <w:trHeight w:val="19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January 28, 2023</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78,230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321,516</w:t>
            </w: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(15,625 )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(105,386 )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(74,756 )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(4,928 )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137,228</w:t>
            </w:r>
          </w:p>
        </w:tc>
        <w:tc>
          <w:tcPr>
            <w:tcW w:w="100" w:type="dxa"/>
            <w:vAlign w:val="bottom"/>
            <w:shd w:val="clear" w:color="auto" w:fill="CFF0FC"/>
          </w:tcPr>
          <w:p>
            <w:pPr>
              <w:spacing w:after="0"/>
              <w:rPr>
                <w:sz w:val="17"/>
                <w:szCs w:val="17"/>
                <w:color w:val="auto"/>
              </w:rPr>
            </w:pPr>
          </w:p>
        </w:tc>
      </w:tr>
      <w:tr>
        <w:trPr>
          <w:trHeight w:val="20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7"/>
                <w:szCs w:val="17"/>
                <w:color w:val="auto"/>
              </w:rPr>
            </w:pPr>
          </w:p>
        </w:tc>
      </w:tr>
      <w:tr>
        <w:trPr>
          <w:trHeight w:val="203"/>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9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5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FF0FC"/>
          </w:tcPr>
          <w:p>
            <w:pPr>
              <w:spacing w:after="0"/>
              <w:rPr>
                <w:sz w:val="17"/>
                <w:szCs w:val="17"/>
                <w:color w:val="auto"/>
              </w:rPr>
            </w:pPr>
          </w:p>
        </w:tc>
      </w:tr>
      <w:tr>
        <w:trPr>
          <w:trHeight w:val="189"/>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 (RSUs) granted for</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achievement of performance-based</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reclassified from liability to equity</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2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00" w:type="dxa"/>
            <w:vAlign w:val="bottom"/>
          </w:tcPr>
          <w:p>
            <w:pPr>
              <w:spacing w:after="0"/>
              <w:rPr>
                <w:sz w:val="18"/>
                <w:szCs w:val="18"/>
                <w:color w:val="auto"/>
              </w:rPr>
            </w:pPr>
          </w:p>
        </w:tc>
      </w:tr>
      <w:tr>
        <w:trPr>
          <w:trHeight w:val="20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(3 )</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withheld for taxes related to net share</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(445 )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(446 )</w:t>
            </w:r>
          </w:p>
        </w:tc>
      </w:tr>
      <w:tr>
        <w:trPr>
          <w:trHeight w:val="20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FF0FC"/>
          </w:tcPr>
          <w:p>
            <w:pPr>
              <w:spacing w:after="0"/>
              <w:rPr>
                <w:sz w:val="17"/>
                <w:szCs w:val="17"/>
                <w:color w:val="auto"/>
              </w:rPr>
            </w:pPr>
          </w:p>
        </w:tc>
      </w:tr>
      <w:tr>
        <w:trPr>
          <w:trHeight w:val="20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taxes</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7"/>
                <w:szCs w:val="17"/>
                <w:color w:val="auto"/>
              </w:rPr>
            </w:pPr>
          </w:p>
        </w:tc>
      </w:tr>
      <w:tr>
        <w:trPr>
          <w:trHeight w:val="203"/>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April 29,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322,941</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(15,625 )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(105,386 )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(67,789 )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(4,879 )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145,672</w:t>
            </w:r>
          </w:p>
        </w:tc>
        <w:tc>
          <w:tcPr>
            <w:tcW w:w="100" w:type="dxa"/>
            <w:vAlign w:val="bottom"/>
          </w:tcPr>
          <w:p>
            <w:pPr>
              <w:spacing w:after="0"/>
              <w:rPr>
                <w:sz w:val="17"/>
                <w:szCs w:val="17"/>
                <w:color w:val="auto"/>
              </w:rPr>
            </w:pPr>
          </w:p>
        </w:tc>
      </w:tr>
      <w:tr>
        <w:trPr>
          <w:trHeight w:val="203"/>
        </w:trPr>
        <w:tc>
          <w:tcPr>
            <w:tcW w:w="34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7"/>
                <w:szCs w:val="17"/>
                <w:color w:val="auto"/>
              </w:rPr>
            </w:pPr>
          </w:p>
        </w:tc>
      </w:tr>
      <w:tr>
        <w:trPr>
          <w:trHeight w:val="203"/>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9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5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shd w:val="clear" w:color="auto" w:fill="CFF0FC"/>
          </w:tcPr>
          <w:p>
            <w:pPr>
              <w:spacing w:after="0"/>
              <w:rPr>
                <w:sz w:val="17"/>
                <w:szCs w:val="17"/>
                <w:color w:val="auto"/>
              </w:rPr>
            </w:pPr>
          </w:p>
        </w:tc>
      </w:tr>
      <w:tr>
        <w:trPr>
          <w:trHeight w:val="20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7"/>
                <w:szCs w:val="17"/>
                <w:color w:val="auto"/>
              </w:rPr>
            </w:pPr>
          </w:p>
        </w:tc>
      </w:tr>
      <w:tr>
        <w:trPr>
          <w:trHeight w:val="203"/>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 of common stock, including excise tax</w:t>
            </w:r>
          </w:p>
        </w:tc>
        <w:tc>
          <w:tcPr>
            <w:tcW w:w="9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5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(2,249 )</w:t>
            </w:r>
          </w:p>
        </w:tc>
        <w:tc>
          <w:tcPr>
            <w:tcW w:w="1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(10,905 )</w:t>
            </w: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(10,905 )</w:t>
            </w:r>
          </w:p>
        </w:tc>
      </w:tr>
      <w:tr>
        <w:trPr>
          <w:trHeight w:val="20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taxes</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3,128</w:t>
            </w:r>
          </w:p>
        </w:tc>
        <w:tc>
          <w:tcPr>
            <w:tcW w:w="100" w:type="dxa"/>
            <w:vAlign w:val="bottom"/>
          </w:tcPr>
          <w:p>
            <w:pPr>
              <w:spacing w:after="0"/>
              <w:rPr>
                <w:sz w:val="17"/>
                <w:szCs w:val="17"/>
                <w:color w:val="auto"/>
              </w:rPr>
            </w:pPr>
          </w:p>
        </w:tc>
      </w:tr>
      <w:tr>
        <w:trPr>
          <w:trHeight w:val="203"/>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11,633</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11,633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July 29,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323,512</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(17,874 )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(116,291 )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(56,156 )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(1,751 )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150,100</w:t>
            </w:r>
          </w:p>
        </w:tc>
        <w:tc>
          <w:tcPr>
            <w:tcW w:w="100" w:type="dxa"/>
            <w:vAlign w:val="bottom"/>
          </w:tcPr>
          <w:p>
            <w:pPr>
              <w:spacing w:after="0"/>
              <w:rPr>
                <w:sz w:val="17"/>
                <w:szCs w:val="17"/>
                <w:color w:val="auto"/>
              </w:rPr>
            </w:pPr>
          </w:p>
        </w:tc>
      </w:tr>
      <w:tr>
        <w:trPr>
          <w:trHeight w:val="203"/>
        </w:trPr>
        <w:tc>
          <w:tcPr>
            <w:tcW w:w="34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r>
      <w:tr>
        <w:trPr>
          <w:trHeight w:val="21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9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shd w:val="clear" w:color="auto" w:fill="CFF0FC"/>
          </w:tcPr>
          <w:p>
            <w:pPr>
              <w:spacing w:after="0"/>
              <w:rPr>
                <w:sz w:val="19"/>
                <w:szCs w:val="19"/>
                <w:color w:val="auto"/>
              </w:rPr>
            </w:pPr>
          </w:p>
        </w:tc>
      </w:tr>
      <w:tr>
        <w:trPr>
          <w:trHeight w:val="21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r>
      <w:tr>
        <w:trPr>
          <w:trHeight w:val="21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(3 )</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withheld for taxes related to net share</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(311 )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(312 )</w:t>
            </w:r>
          </w:p>
        </w:tc>
      </w:tr>
      <w:tr>
        <w:trPr>
          <w:trHeight w:val="21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 of common stock, including excise tax</w:t>
            </w:r>
          </w:p>
        </w:tc>
        <w:tc>
          <w:tcPr>
            <w:tcW w:w="9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(838 )</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(4,065 )</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(4,065 )</w:t>
            </w:r>
          </w:p>
        </w:tc>
      </w:tr>
      <w:tr>
        <w:trPr>
          <w:trHeight w:val="21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taxes</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r>
      <w:tr>
        <w:trPr>
          <w:trHeight w:val="205"/>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4"/>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October 28,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324,141</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(18,712 )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(120,356 )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(52,136 )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(1,671 )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150,767</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-2653030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-2653030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-2653030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-2653030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-2653030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-2653030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-2653030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-2653030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-1616075</wp:posOffset>
            </wp:positionV>
            <wp:extent cx="768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-1616075</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-1616075</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-1616075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-1616075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-1616075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-1616075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-1616075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-141605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-141605</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-141605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-141605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-141605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-141605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-141605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November 2, 2024</w:t>
            </w:r>
          </w:p>
        </w:tc>
        <w:tc>
          <w:tcPr>
            <w:tcW w:w="160" w:type="dxa"/>
            <w:vAlign w:val="bottom"/>
          </w:tcPr>
          <w:p>
            <w:pPr>
              <w:spacing w:after="0"/>
              <w:rPr>
                <w:sz w:val="13"/>
                <w:szCs w:val="13"/>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October 28, 2023</w:t>
            </w:r>
          </w:p>
        </w:tc>
      </w:tr>
      <w:tr>
        <w:trPr>
          <w:trHeight w:val="171"/>
        </w:trPr>
        <w:tc>
          <w:tcPr>
            <w:tcW w:w="8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(Fiscal 2024)</w:t>
            </w:r>
          </w:p>
        </w:tc>
        <w:tc>
          <w:tcPr>
            <w:tcW w:w="16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(Fiscal 2023)</w:t>
            </w:r>
          </w:p>
        </w:tc>
      </w:tr>
      <w:tr>
        <w:trPr>
          <w:trHeight w:val="209"/>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4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4,371</w:t>
            </w:r>
          </w:p>
        </w:tc>
        <w:tc>
          <w:tcPr>
            <w:tcW w:w="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22,620</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deferred debt issuance costs</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Loss on retirement plan terminations</w:t>
            </w: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4,231</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 from the sale of equipment</w:t>
            </w:r>
          </w:p>
        </w:tc>
        <w:tc>
          <w:tcPr>
            <w:tcW w:w="14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(11 )</w:t>
            </w:r>
          </w:p>
        </w:tc>
        <w:tc>
          <w:tcPr>
            <w:tcW w:w="160" w:type="dxa"/>
            <w:vAlign w:val="bottom"/>
          </w:tcPr>
          <w:p>
            <w:pPr>
              <w:spacing w:after="0"/>
              <w:rPr>
                <w:sz w:val="17"/>
                <w:szCs w:val="17"/>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(136 )</w:t>
            </w:r>
          </w:p>
        </w:tc>
      </w:tr>
      <w:tr>
        <w:trPr>
          <w:trHeight w:val="203"/>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10,232</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10,338</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taxes, net of valuation allowance</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9,232</w:t>
            </w:r>
          </w:p>
        </w:tc>
        <w:tc>
          <w:tcPr>
            <w:tcW w:w="100" w:type="dxa"/>
            <w:vAlign w:val="bottom"/>
          </w:tcPr>
          <w:p>
            <w:pPr>
              <w:spacing w:after="0"/>
              <w:rPr>
                <w:sz w:val="17"/>
                <w:szCs w:val="17"/>
                <w:color w:val="auto"/>
              </w:rPr>
            </w:pPr>
          </w:p>
        </w:tc>
      </w:tr>
      <w:tr>
        <w:trPr>
          <w:trHeight w:val="216"/>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100" w:type="dxa"/>
            <w:vAlign w:val="bottom"/>
            <w:shd w:val="clear" w:color="auto" w:fill="CFF0FC"/>
          </w:tcPr>
          <w:p>
            <w:pPr>
              <w:spacing w:after="0"/>
              <w:rPr>
                <w:sz w:val="18"/>
                <w:szCs w:val="18"/>
                <w:color w:val="auto"/>
              </w:rPr>
            </w:pPr>
          </w:p>
        </w:tc>
      </w:tr>
      <w:tr>
        <w:trPr>
          <w:trHeight w:val="203"/>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Board of directors' stock compensation</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(1,994 )</w:t>
            </w:r>
          </w:p>
        </w:tc>
      </w:tr>
      <w:tr>
        <w:trPr>
          <w:trHeight w:val="203"/>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(8,171 )</w:t>
            </w:r>
          </w:p>
        </w:tc>
        <w:tc>
          <w:tcPr>
            <w:tcW w:w="160" w:type="dxa"/>
            <w:vAlign w:val="bottom"/>
          </w:tcPr>
          <w:p>
            <w:pPr>
              <w:spacing w:after="0"/>
              <w:rPr>
                <w:sz w:val="17"/>
                <w:szCs w:val="17"/>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(6,854 )</w:t>
            </w:r>
          </w:p>
        </w:tc>
      </w:tr>
      <w:tr>
        <w:trPr>
          <w:trHeight w:val="203"/>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(118 )</w:t>
            </w:r>
          </w:p>
        </w:tc>
      </w:tr>
      <w:tr>
        <w:trPr>
          <w:trHeight w:val="203"/>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(103 )</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10,660</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leases, net</w:t>
            </w:r>
          </w:p>
        </w:tc>
        <w:tc>
          <w:tcPr>
            <w:tcW w:w="14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(3,109 )</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(9,832 )</w:t>
            </w:r>
          </w:p>
        </w:tc>
        <w:tc>
          <w:tcPr>
            <w:tcW w:w="1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(7,533 )</w:t>
            </w:r>
          </w:p>
        </w:tc>
      </w:tr>
      <w:tr>
        <w:trPr>
          <w:trHeight w:val="196"/>
        </w:trPr>
        <w:tc>
          <w:tcPr>
            <w:tcW w:w="80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12,455</w:t>
            </w: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33,101</w:t>
            </w:r>
          </w:p>
        </w:tc>
        <w:tc>
          <w:tcPr>
            <w:tcW w:w="100" w:type="dxa"/>
            <w:vAlign w:val="bottom"/>
            <w:tcBorders>
              <w:top w:val="single" w:sz="8" w:color="CFF0FC"/>
            </w:tcBorders>
          </w:tcPr>
          <w:p>
            <w:pPr>
              <w:spacing w:after="0"/>
              <w:rPr>
                <w:sz w:val="17"/>
                <w:szCs w:val="17"/>
                <w:color w:val="auto"/>
              </w:rPr>
            </w:pPr>
          </w:p>
        </w:tc>
      </w:tr>
      <w:tr>
        <w:trPr>
          <w:trHeight w:val="196"/>
        </w:trPr>
        <w:tc>
          <w:tcPr>
            <w:tcW w:w="8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Additions to property and equipment, net</w:t>
            </w: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(19,405 )</w:t>
            </w:r>
          </w:p>
        </w:tc>
        <w:tc>
          <w:tcPr>
            <w:tcW w:w="1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(10,404 )</w:t>
            </w:r>
          </w:p>
        </w:tc>
      </w:tr>
      <w:tr>
        <w:trPr>
          <w:trHeight w:val="203"/>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sale of equipment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(39,012 )</w:t>
            </w:r>
          </w:p>
        </w:tc>
        <w:tc>
          <w:tcPr>
            <w:tcW w:w="1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(69,880 )</w:t>
            </w:r>
          </w:p>
        </w:tc>
      </w:tr>
      <w:tr>
        <w:trPr>
          <w:trHeight w:val="203"/>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Maturity of short-term investments</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35,875</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21,007</w:t>
            </w:r>
          </w:p>
        </w:tc>
        <w:tc>
          <w:tcPr>
            <w:tcW w:w="100" w:type="dxa"/>
            <w:vAlign w:val="bottom"/>
          </w:tcPr>
          <w:p>
            <w:pPr>
              <w:spacing w:after="0"/>
              <w:rPr>
                <w:sz w:val="17"/>
                <w:szCs w:val="17"/>
                <w:color w:val="auto"/>
              </w:rPr>
            </w:pPr>
          </w:p>
        </w:tc>
      </w:tr>
      <w:tr>
        <w:trPr>
          <w:trHeight w:val="196"/>
        </w:trPr>
        <w:tc>
          <w:tcPr>
            <w:tcW w:w="8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(22,531 )</w:t>
            </w:r>
          </w:p>
        </w:tc>
        <w:tc>
          <w:tcPr>
            <w:tcW w:w="1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(59,141 )</w:t>
            </w:r>
          </w:p>
        </w:tc>
      </w:tr>
      <w:tr>
        <w:trPr>
          <w:trHeight w:val="20"/>
        </w:trPr>
        <w:tc>
          <w:tcPr>
            <w:tcW w:w="80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-1062355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Repurchase of common stock, excluding excise taxes</w:t>
      </w:r>
    </w:p>
    <w:p>
      <w:pPr>
        <w:spacing w:after="0" w:line="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Tax withholdings paid related to net share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Proceeds from the exercise of stock options</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Net cash used for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End of period</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520" w:type="dxa"/>
            <w:vAlign w:val="bottom"/>
          </w:tcPr>
          <w:p>
            <w:pPr>
              <w:spacing w:after="0"/>
              <w:rPr>
                <w:sz w:val="17"/>
                <w:szCs w:val="17"/>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(10,421 )</w:t>
            </w:r>
          </w:p>
        </w:tc>
        <w:tc>
          <w:tcPr>
            <w:tcW w:w="5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(14,850 )</w:t>
            </w:r>
          </w:p>
        </w:tc>
      </w:tr>
      <w:tr>
        <w:trPr>
          <w:trHeight w:val="203"/>
        </w:trPr>
        <w:tc>
          <w:tcPr>
            <w:tcW w:w="520" w:type="dxa"/>
            <w:vAlign w:val="bottom"/>
          </w:tcPr>
          <w:p>
            <w:pPr>
              <w:spacing w:after="0"/>
              <w:rPr>
                <w:sz w:val="17"/>
                <w:szCs w:val="17"/>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(65 )</w:t>
            </w:r>
          </w:p>
        </w:tc>
        <w:tc>
          <w:tcPr>
            <w:tcW w:w="5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(758 )</w:t>
            </w:r>
          </w:p>
        </w:tc>
      </w:tr>
      <w:tr>
        <w:trPr>
          <w:trHeight w:val="210"/>
        </w:trPr>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60" w:type="dxa"/>
            <w:vAlign w:val="bottom"/>
          </w:tcPr>
          <w:p>
            <w:pPr>
              <w:spacing w:after="0"/>
              <w:rPr>
                <w:sz w:val="18"/>
                <w:szCs w:val="18"/>
                <w:color w:val="auto"/>
              </w:rPr>
            </w:pPr>
          </w:p>
        </w:tc>
      </w:tr>
      <w:tr>
        <w:trPr>
          <w:trHeight w:val="202"/>
        </w:trPr>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(10,406</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(15,311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4"/>
        </w:trPr>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(20,482</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(41,351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394"/>
        </w:trPr>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27,590</w:t>
            </w:r>
          </w:p>
        </w:tc>
        <w:tc>
          <w:tcPr>
            <w:tcW w:w="2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52,074</w:t>
            </w:r>
          </w:p>
        </w:tc>
        <w:tc>
          <w:tcPr>
            <w:tcW w:w="60" w:type="dxa"/>
            <w:vAlign w:val="bottom"/>
          </w:tcPr>
          <w:p>
            <w:pPr>
              <w:spacing w:after="0"/>
              <w:rPr>
                <w:sz w:val="24"/>
                <w:szCs w:val="24"/>
                <w:color w:val="auto"/>
              </w:rPr>
            </w:pPr>
          </w:p>
        </w:tc>
      </w:tr>
      <w:tr>
        <w:trPr>
          <w:trHeight w:val="199"/>
        </w:trPr>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7,108</w:t>
            </w:r>
          </w:p>
        </w:tc>
        <w:tc>
          <w:tcPr>
            <w:tcW w:w="26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10,723</w:t>
            </w:r>
          </w:p>
        </w:tc>
        <w:tc>
          <w:tcPr>
            <w:tcW w:w="60" w:type="dxa"/>
            <w:vAlign w:val="bottom"/>
          </w:tcPr>
          <w:p>
            <w:pPr>
              <w:spacing w:after="0"/>
              <w:rPr>
                <w:sz w:val="17"/>
                <w:szCs w:val="17"/>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00" w:space="720"/>
            <w:col w:w="3220"/>
          </w:cols>
          <w:pgMar w:left="320" w:top="985" w:right="339"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27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03"/>
        </w:trPr>
        <w:tc>
          <w:tcPr>
            <w:tcW w:w="5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during the period for income taxes</w:t>
            </w:r>
          </w:p>
        </w:tc>
        <w:tc>
          <w:tcPr>
            <w:tcW w:w="274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1,015</w:t>
            </w:r>
          </w:p>
        </w:tc>
        <w:tc>
          <w:tcPr>
            <w:tcW w:w="6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453</w:t>
            </w:r>
          </w:p>
        </w:tc>
      </w:tr>
      <w:tr>
        <w:trPr>
          <w:trHeight w:val="203"/>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paid during the period for interest</w:t>
            </w:r>
          </w:p>
        </w:tc>
        <w:tc>
          <w:tcPr>
            <w:tcW w:w="274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288</w:t>
            </w:r>
          </w:p>
        </w:tc>
        <w:tc>
          <w:tcPr>
            <w:tcW w:w="68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250</w:t>
            </w:r>
          </w:p>
        </w:tc>
      </w:tr>
      <w:tr>
        <w:trPr>
          <w:trHeight w:val="203"/>
        </w:trPr>
        <w:tc>
          <w:tcPr>
            <w:tcW w:w="5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activity during the period:</w:t>
            </w:r>
          </w:p>
        </w:tc>
        <w:tc>
          <w:tcPr>
            <w:tcW w:w="2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Capital expenditures incurred but not yet paid</w:t>
            </w:r>
          </w:p>
        </w:tc>
        <w:tc>
          <w:tcPr>
            <w:tcW w:w="274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1,916</w:t>
            </w:r>
          </w:p>
        </w:tc>
        <w:tc>
          <w:tcPr>
            <w:tcW w:w="68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1,588</w:t>
            </w:r>
          </w:p>
        </w:tc>
      </w:tr>
    </w:tbl>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7" w:name="page8"/>
    <w:bookmarkEnd w:id="7"/>
    <w:p>
      <w:pPr>
        <w:ind w:left="428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of Destination XL Group, Inc., a Delaware corporation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3, 2024 included in the Company’s Annual Report on Form 10-K, which was filed with the Securities and Exchange Commission on March 21, 2024.</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fiscal year is a 52- or 53- week period ending on the Saturday closest to January 31. Fiscal 2024 is a 52-week period ending on February 1, 2025 and fiscal 2023 was a 53-week period ending on February 3,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two operating segments: its stores and its direct business. The Company considers its stores and direct operating segments to be similar in terms of economic characteristics, production processes and operations, and has therefore aggregated them into one reportable segment, retail segment, consistent with its omni-channel business approach.</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in banks and short-term investments, which have a maturity of ninety days or less when acquired. Included in cash equivalents are credit card and debit card receivables from banks, which generally settle within two to four business days.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Short-term investments consist of those investments that have a maturity date, when acquired, that is greater than three months and twelve months or less. </w:t>
      </w:r>
      <w:r>
        <w:rPr>
          <w:rFonts w:ascii="Times New Roman" w:cs="Times New Roman" w:eastAsia="Times New Roman" w:hAnsi="Times New Roman"/>
          <w:sz w:val="18"/>
          <w:szCs w:val="18"/>
          <w:color w:val="212121"/>
        </w:rPr>
        <w:t>These investments are classified as held-to-maturity and are carried at amortized cost, which approximates fair value due to the short period between purchase and maturity.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Cash and cash equivalents include amounts due from third party financial institutions, which from time to time, may be in excess of the Federal Deposit Insurance Corporation (“FDIC”) insurance limits. The Company is potentially exposed to a concentration of credit risk when cash and cash equivalent deposits in these financial institutions are in excess of FDIC limits. The Company considers the credit risk associated with these financial instruments to be minimal as cash and cash equivalents are held by financial institutions with high credit ratings and it has not historically sustained any credit losses associated with its cash and cash equivalents balances. In addition, the Company's cash and cash equivalents include money market accounts with Citizens Bank, N.A. and investments in U.S. government-backed securities held with Fidelity Investments.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 xml:space="preserve">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requires disclosure of the fair value of certain financial instruments.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Disclosures</w:t>
      </w:r>
      <w:r>
        <w:rPr>
          <w:rFonts w:ascii="Times New Roman" w:cs="Times New Roman" w:eastAsia="Times New Roman" w:hAnsi="Times New Roman"/>
          <w:sz w:val="18"/>
          <w:szCs w:val="18"/>
          <w:color w:val="auto"/>
        </w:rPr>
        <w:t>,” defines fair value, establishes a framework for measuring fair value and enhances disclosures about fair value measurements.</w:t>
      </w: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8" w:name="page9"/>
    <w:bookmarkEnd w:id="8"/>
    <w:p>
      <w:pPr>
        <w:spacing w:after="0" w:line="282" w:lineRule="auto"/>
        <w:rPr>
          <w:sz w:val="20"/>
          <w:szCs w:val="20"/>
          <w:color w:val="auto"/>
        </w:rPr>
      </w:pPr>
      <w:r>
        <w:rPr>
          <w:rFonts w:ascii="Times New Roman" w:cs="Times New Roman" w:eastAsia="Times New Roman" w:hAnsi="Times New Roman"/>
          <w:sz w:val="18"/>
          <w:szCs w:val="18"/>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sz w:val="20"/>
          <w:szCs w:val="20"/>
          <w:color w:val="auto"/>
        </w:rPr>
      </w:pPr>
    </w:p>
    <w:p>
      <w:pPr>
        <w:ind w:left="260"/>
        <w:spacing w:after="0" w:line="282"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carrying amounts of cash and cash equivalents, accounts receivable, accounts payable and accrued expenses approximate fair value because of the short maturity of these instruments. See Note 9 -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for information regarding the fair value of certain financial assets.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 - (“AOCI”)</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fourth quarter of fiscal 2023, the Company terminated its frozen retirement plans, which was the only AOCI activity. As a result, there was no remaining AOCI as of February 3,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three and nine months of fiscal 2023, other comprehensive income and reclassifications from AOCI was as follows:</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Balance at beginning of fiscal year</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reclassifications, net of taxes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Recognition of loss on retirement plan termination, net of taxes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60"/>
        <w:spacing w:after="0" w:line="211" w:lineRule="auto"/>
        <w:rPr>
          <w:sz w:val="20"/>
          <w:szCs w:val="20"/>
          <w:color w:val="auto"/>
        </w:rPr>
      </w:pPr>
      <w:r>
        <w:rPr>
          <w:rFonts w:ascii="Times New Roman" w:cs="Times New Roman" w:eastAsia="Times New Roman" w:hAnsi="Times New Roman"/>
          <w:sz w:val="18"/>
          <w:szCs w:val="18"/>
          <w:color w:val="auto"/>
        </w:rPr>
        <w:t xml:space="preserve">comprehensive income, net of taxes </w:t>
      </w:r>
      <w:r>
        <w:rPr>
          <w:rFonts w:ascii="Times New Roman" w:cs="Times New Roman" w:eastAsia="Times New Roman" w:hAnsi="Times New Roman"/>
          <w:sz w:val="24"/>
          <w:szCs w:val="24"/>
          <w:color w:val="auto"/>
          <w:vertAlign w:val="superscript"/>
        </w:rPr>
        <w:t>(2)</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end of quarter</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700" w:type="dxa"/>
            <w:vAlign w:val="bottom"/>
            <w:gridSpan w:val="2"/>
            <w:vMerge w:val="restart"/>
          </w:tcPr>
          <w:p>
            <w:pPr>
              <w:jc w:val="right"/>
              <w:ind w:right="390"/>
              <w:spacing w:after="0"/>
              <w:rPr>
                <w:sz w:val="20"/>
                <w:szCs w:val="20"/>
                <w:color w:val="auto"/>
              </w:rPr>
            </w:pPr>
            <w:r>
              <w:rPr>
                <w:rFonts w:ascii="Times New Roman" w:cs="Times New Roman" w:eastAsia="Times New Roman" w:hAnsi="Times New Roman"/>
                <w:sz w:val="14"/>
                <w:szCs w:val="14"/>
                <w:color w:val="auto"/>
              </w:rPr>
              <w:t>For the three months</w:t>
            </w:r>
          </w:p>
        </w:tc>
        <w:tc>
          <w:tcPr>
            <w:tcW w:w="1380" w:type="dxa"/>
            <w:vAlign w:val="bottom"/>
            <w:gridSpan w:val="3"/>
          </w:tcPr>
          <w:p>
            <w:pPr>
              <w:jc w:val="center"/>
              <w:ind w:right="21"/>
              <w:spacing w:after="0"/>
              <w:rPr>
                <w:sz w:val="20"/>
                <w:szCs w:val="20"/>
                <w:color w:val="auto"/>
              </w:rPr>
            </w:pPr>
            <w:r>
              <w:rPr>
                <w:rFonts w:ascii="Times New Roman" w:cs="Times New Roman" w:eastAsia="Times New Roman" w:hAnsi="Times New Roman"/>
                <w:sz w:val="14"/>
                <w:szCs w:val="14"/>
                <w:color w:val="auto"/>
              </w:rPr>
              <w:t>For the nine months</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21"/>
              <w:spacing w:after="0" w:line="149" w:lineRule="exact"/>
              <w:rPr>
                <w:sz w:val="20"/>
                <w:szCs w:val="20"/>
                <w:color w:val="auto"/>
              </w:rPr>
            </w:pPr>
            <w:r>
              <w:rPr>
                <w:rFonts w:ascii="Times New Roman" w:cs="Times New Roman" w:eastAsia="Times New Roman" w:hAnsi="Times New Roman"/>
                <w:sz w:val="14"/>
                <w:szCs w:val="14"/>
                <w:color w:val="auto"/>
              </w:rPr>
              <w:t>ended October 28,</w:t>
            </w:r>
          </w:p>
        </w:tc>
        <w:tc>
          <w:tcPr>
            <w:tcW w:w="0" w:type="dxa"/>
            <w:vAlign w:val="bottom"/>
          </w:tcPr>
          <w:p>
            <w:pPr>
              <w:spacing w:after="0"/>
              <w:rPr>
                <w:sz w:val="1"/>
                <w:szCs w:val="1"/>
                <w:color w:val="auto"/>
              </w:rPr>
            </w:pPr>
          </w:p>
        </w:tc>
      </w:tr>
      <w:tr>
        <w:trPr>
          <w:trHeight w:val="171"/>
        </w:trPr>
        <w:tc>
          <w:tcPr>
            <w:tcW w:w="184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color w:val="auto"/>
              </w:rPr>
              <w:t>ended October 28, 2023</w:t>
            </w:r>
          </w:p>
        </w:tc>
        <w:tc>
          <w:tcPr>
            <w:tcW w:w="100" w:type="dxa"/>
            <w:vAlign w:val="bottom"/>
          </w:tcPr>
          <w:p>
            <w:pPr>
              <w:spacing w:after="0"/>
              <w:rPr>
                <w:sz w:val="14"/>
                <w:szCs w:val="14"/>
                <w:color w:val="auto"/>
              </w:rPr>
            </w:pPr>
          </w:p>
        </w:tc>
        <w:tc>
          <w:tcPr>
            <w:tcW w:w="1220" w:type="dxa"/>
            <w:vAlign w:val="bottom"/>
          </w:tcPr>
          <w:p>
            <w:pPr>
              <w:jc w:val="center"/>
              <w:ind w:right="15"/>
              <w:spacing w:after="0"/>
              <w:rPr>
                <w:sz w:val="20"/>
                <w:szCs w:val="20"/>
                <w:color w:val="auto"/>
              </w:rPr>
            </w:pPr>
            <w:r>
              <w:rPr>
                <w:rFonts w:ascii="Times New Roman" w:cs="Times New Roman" w:eastAsia="Times New Roman" w:hAnsi="Times New Roman"/>
                <w:sz w:val="14"/>
                <w:szCs w:val="14"/>
                <w:color w:val="auto"/>
                <w:w w:val="99"/>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30"/>
        </w:trPr>
        <w:tc>
          <w:tcPr>
            <w:tcW w:w="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3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3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60" w:space="720"/>
            <w:col w:w="3260"/>
          </w:cols>
          <w:pgMar w:left="320" w:top="1201" w:right="339" w:bottom="1440" w:gutter="0" w:footer="0" w:header="0"/>
          <w:type w:val="continuous"/>
        </w:sectPr>
      </w:pPr>
    </w:p>
    <w:p>
      <w:pPr>
        <w:jc w:val="both"/>
        <w:ind w:left="760" w:hanging="378"/>
        <w:spacing w:after="0" w:line="255"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Company's decision to terminate its frozen retirement plans, the Company completed a termination of its Supplemental Executive Retirement Plan ("SERP") in the third quarter of fiscal 2023 and recognized the loss in AOCI of $31,000, with no related tax effect. Results for the nine months ended October 28, 2023 also reflect the partial settlement of the Pension Plan which resulted in the recognition of $4.2 million loss on termination, or $3.1 million net of taxes.</w:t>
      </w:r>
    </w:p>
    <w:p>
      <w:pPr>
        <w:spacing w:after="0" w:line="2" w:lineRule="exact"/>
        <w:rPr>
          <w:rFonts w:ascii="Times New Roman" w:cs="Times New Roman" w:eastAsia="Times New Roman" w:hAnsi="Times New Roman"/>
          <w:sz w:val="18"/>
          <w:szCs w:val="18"/>
          <w:color w:val="auto"/>
        </w:rPr>
      </w:pPr>
    </w:p>
    <w:p>
      <w:pPr>
        <w:jc w:val="both"/>
        <w:ind w:left="760" w:hanging="378"/>
        <w:spacing w:after="0" w:line="255"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amortization of the unrecognized loss on retirement plans, which was charged to “Selling, General and Administrative” Expense on the Consolidated Statements of Operations for all periods presented. The Company recognized expense of $47,000, or $35,000 net of taxes, for the three months ended October 28, 2023 and expense of $139,000, or $103,000 net of taxes, for the nine months ended October 28,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that will ultimately vest requires judgment. Actual results and future changes in estimates may differ from the Company’s current estimates.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grants of stock options in the first nine months of fiscal 2024. For the first nine months of fiscal 2023, the fair value of each stock option grant was estimated on the date of grant using the Black-Scholes option-pricing model based on the assumptions in the table below as it relates to stock options granted.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October 28, 2023</w:t>
            </w:r>
          </w:p>
        </w:tc>
      </w:tr>
      <w:tr>
        <w:trPr>
          <w:trHeight w:val="210"/>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 - 92.1%</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3.71%-4.42%</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2.5 yrs.</w:t>
            </w:r>
          </w:p>
        </w:tc>
      </w:tr>
      <w:tr>
        <w:trPr>
          <w:trHeight w:val="21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2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reviews its long-lived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The Company assesses the recoverability of the assets by determining whether the carrying value of such assets over their respective remaining lives can be recovered through projected undiscounted future cash flows.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asset. The amount of impairment, if any, is measured based on projected discounted future cash flows using a discount rate reflecting the Company’s average cost of funds.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impairments or non-cash gains recognized in the first nine months of fiscal 2024 and fiscal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expenses in-store advertising costs as incurred. Creative production costs, if any, are expensed in the period in which the advertising is first aired, and media costs are expensed as incurred. Direct response advertising costs, if any, are expensed in the period in which the mailing occurs. Advertising expense, which is included in selling, general and administrative expenses, was $6.1 million and $7.5 million for third quarter of fiscal 2024 and fiscal 2023, respectively, and was $24.4 million and $21.5 million for the first nine months of fiscal 2024 and fiscal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the inception of a contract. Right-of-use assets represent the Company’s right to use an underlying asset for the lease term and lease liabilities represent the Company’s obligation to make lease payments arising from the lease. Right-of-use (“ROU”) assets and lease liabilities are recognized at the commencement date based on the present value of the remaining future minimum lease payments, initial direct costs. Lease incentives are included in the value of the ROU assets. As the interest rate implicit in the Company’s leases is not readily determinable, the Company 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842 will not be applied to certain, if any, non-store leases, with a term of 12 months or less, recognizing those lease payments on a straight-line basis over the lease term. At November 2, 2024, the Company had no short-term leases.</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 leases with an initial term of 5 years, the Company evaluates each lease independently and, when the Company considers it reasonably certain that it will exercise an option to extend, the associated payment of that option will be included in the measurement of the ROU asset and lease liability. Renewal options are not included in the lease term for automobile and equipment leases because they are not considered reasonably certain of being exercised at lease commencement. Renewal options were not considered for the Company’s corporate headquarters and distribution center lease, which was entered into in 2006 and was for an initial 20-year term. At the end of the initial term, the Company will have the opportunity to extend this lease for six additional successive periods of five years.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w:t>
      </w: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ROU assets and lease liabilities. Tenant allowances are included as an offset to the ROU asset and amortized as reductions to rent expense over the associated lease term.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Not Yet Adopted</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July 2023, the FASB issued ASU 2023-03, </w:t>
      </w:r>
      <w:r>
        <w:rPr>
          <w:rFonts w:ascii="Times New Roman" w:cs="Times New Roman" w:eastAsia="Times New Roman" w:hAnsi="Times New Roman"/>
          <w:sz w:val="18"/>
          <w:szCs w:val="18"/>
          <w:i w:val="1"/>
          <w:iCs w:val="1"/>
          <w:color w:val="auto"/>
        </w:rPr>
        <w:t>Presentation of Financial Statements (Topic 205), Income Statement - Reporting Comprehensive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220), Distinguishing Liabilities from Equity (Topic 480), Equity (Topic 505), and Compensation - Stock Compensation (Topic 718): Amendments to SEC Paragraphs Pursuant to SEC Staff Accounting Bulletin No. 120, SEC Staff Announcement at the March 24, 2022 EITF Meeting, and Staff Accounting Bulletin Topic 6.B, Accounting Series Release 280 - General Revision of Regulation S-X: Income or Loss Applicable to Common Stock</w:t>
      </w:r>
      <w:r>
        <w:rPr>
          <w:rFonts w:ascii="Times New Roman" w:cs="Times New Roman" w:eastAsia="Times New Roman" w:hAnsi="Times New Roman"/>
          <w:sz w:val="18"/>
          <w:szCs w:val="18"/>
          <w:color w:val="auto"/>
        </w:rPr>
        <w:t>, which amends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supersedes various SEC paragraphs within the Accounting Standards Codification to conform to past SEC announcements and guidance issued by the SEC. The ASU does not provide any new guidance, and as such, there is no transition effective date. ASU 2023-03 is not expected to have a material impact on the Company's Consolidated Financial Statements.</w:t>
      </w:r>
    </w:p>
    <w:p>
      <w:pPr>
        <w:spacing w:after="0" w:line="18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 in Response to the SEC</w:t>
      </w:r>
      <w:r>
        <w:rPr>
          <w:rFonts w:ascii="Times New Roman" w:cs="Times New Roman" w:eastAsia="Times New Roman" w:hAnsi="Times New Roman"/>
          <w:sz w:val="18"/>
          <w:szCs w:val="18"/>
          <w:i w:val="1"/>
          <w:iCs w:val="1"/>
          <w:color w:val="212121"/>
        </w:rPr>
        <w:t>’</w:t>
      </w:r>
      <w:r>
        <w:rPr>
          <w:rFonts w:ascii="Times New Roman" w:cs="Times New Roman" w:eastAsia="Times New Roman" w:hAnsi="Times New Roman"/>
          <w:sz w:val="18"/>
          <w:szCs w:val="18"/>
          <w:i w:val="1"/>
          <w:iCs w:val="1"/>
          <w:color w:val="auto"/>
        </w:rPr>
        <w:t>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52525"/>
        </w:rPr>
        <w:t>ASU-2023-06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121"/>
        </w:rPr>
        <w:t xml:space="preserve">incorporates several disclosure and presentation requirements currently residing in the SEC Regulations S-X and S-K. The amendments will be applied prospectively and are effective when the SEC removes the related requirements from Regulations S-X or S-K. Any amendments the SEC does not remove by June 30, 2027 will not be effective. The </w:t>
      </w:r>
      <w:r>
        <w:rPr>
          <w:rFonts w:ascii="Times New Roman" w:cs="Times New Roman" w:eastAsia="Times New Roman" w:hAnsi="Times New Roman"/>
          <w:sz w:val="18"/>
          <w:szCs w:val="18"/>
          <w:color w:val="252525"/>
        </w:rPr>
        <w:t>ASU</w:t>
      </w:r>
      <w:r>
        <w:rPr>
          <w:rFonts w:ascii="Times New Roman" w:cs="Times New Roman" w:eastAsia="Times New Roman" w:hAnsi="Times New Roman"/>
          <w:sz w:val="18"/>
          <w:szCs w:val="18"/>
          <w:color w:val="212121"/>
        </w:rPr>
        <w:t xml:space="preserve"> is not expected to have a material impact on the Company’s Consolidated Financial Statements or related disclosures because the Company is currently subjected to the reporting requirements of Regulations S-X and S-K.</w:t>
      </w:r>
    </w:p>
    <w:p>
      <w:pPr>
        <w:spacing w:after="0" w:line="18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which requires all public entities to provide enhanced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about significant segment expenses. The amendments in this </w:t>
      </w:r>
      <w:r>
        <w:rPr>
          <w:rFonts w:ascii="Times New Roman" w:cs="Times New Roman" w:eastAsia="Times New Roman" w:hAnsi="Times New Roman"/>
          <w:sz w:val="18"/>
          <w:szCs w:val="18"/>
          <w:color w:val="252525"/>
        </w:rPr>
        <w:t>ASU</w:t>
      </w:r>
      <w:r>
        <w:rPr>
          <w:rFonts w:ascii="Times New Roman" w:cs="Times New Roman" w:eastAsia="Times New Roman" w:hAnsi="Times New Roman"/>
          <w:sz w:val="18"/>
          <w:szCs w:val="18"/>
          <w:color w:val="212121"/>
        </w:rPr>
        <w:t xml:space="preserve"> are to be applied retrospectively and are effective for our annual financial statements starting in fiscal 2024 and interim periods starting in fiscal 2025, with early adoption permitted. We are currently evaluating the impact of this accounting standard on our financial statements </w:t>
      </w:r>
      <w:r>
        <w:rPr>
          <w:rFonts w:ascii="Times New Roman" w:cs="Times New Roman" w:eastAsia="Times New Roman" w:hAnsi="Times New Roman"/>
          <w:sz w:val="18"/>
          <w:szCs w:val="18"/>
          <w:color w:val="000000"/>
        </w:rPr>
        <w:t>and anticipate expanding our segment reporting disclosures in accordance with this new standard.</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which enhances transparency about income tax information through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improvements to income tax disclosures primarily related to the rate reconciliation and income taxes paid and to improve the effectiveness of income tax disclosures. This ASU will be effective in fiscal 2025, and allows for adoption on a prospective basis, with a retrospective option. Early adoption is permitted. We are </w:t>
      </w:r>
      <w:r>
        <w:rPr>
          <w:rFonts w:ascii="Times New Roman" w:cs="Times New Roman" w:eastAsia="Times New Roman" w:hAnsi="Times New Roman"/>
          <w:sz w:val="18"/>
          <w:szCs w:val="18"/>
          <w:color w:val="000000"/>
        </w:rPr>
        <w:t>currently evaluating the impact of adopting this accounting standard on our financial statements or related disclosures.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212121"/>
        </w:rPr>
        <w:t>20-40), which will require disclosure, in the notes to financial statements, of specified information about certain costs and expenses, including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121"/>
        </w:rPr>
        <w:t>of amounts for (a) purchases of inventory, (b) employee compensation, (c) depreciation and (d) intangible asset amortization, included in each relevant expense caption. This ASU will be effective for our annual financial statements starting in fiscal 2027 and interim periods starting in fiscal 2028. We are currently evaluating the impact of this accounting standard on our financial statements or related disclosures.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other new accounting pronouncements, issued or effective during the first nine months of fiscal 2024, which had or are expected to have a significant impact on the Company’s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121"/>
        </w:rPr>
        <w:t xml:space="preserve">The Company operates as a retailer of big and tall men’s clothing, which includes stores and direct. </w:t>
      </w:r>
      <w:r>
        <w:rPr>
          <w:rFonts w:ascii="Times New Roman" w:cs="Times New Roman" w:eastAsia="Times New Roman" w:hAnsi="Times New Roman"/>
          <w:sz w:val="18"/>
          <w:szCs w:val="18"/>
          <w:color w:val="000000"/>
        </w:rPr>
        <w:t>Revenue is recognized by the operating segment that</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 xml:space="preserve">initiates a customer’s order. Store sales are defined as sales that originate and are fulfilled directly at the store level. Direct sales are defined as sales that originate online, including those initiated online at the store level, on its website or on third-party marketplaces. </w:t>
      </w:r>
      <w:r>
        <w:rPr>
          <w:rFonts w:ascii="Times New Roman" w:cs="Times New Roman" w:eastAsia="Times New Roman" w:hAnsi="Times New Roman"/>
          <w:sz w:val="18"/>
          <w:szCs w:val="18"/>
          <w:color w:val="212121"/>
        </w:rPr>
        <w:t>Generally, all revenues are recognized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 xml:space="preserve">when control of the promised goods is transferred to customers, in an amount that reflects the consideration in exchange for those goods. </w:t>
      </w:r>
      <w:r>
        <w:rPr>
          <w:rFonts w:ascii="Times New Roman" w:cs="Times New Roman" w:eastAsia="Times New Roman" w:hAnsi="Times New Roman"/>
          <w:sz w:val="18"/>
          <w:szCs w:val="18"/>
          <w:color w:val="000000"/>
        </w:rPr>
        <w:t>Sales tax</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collected from customers and remitted to taxing authorities is excluded from revenue and is included as part of accrued expenses on the Consolidated Balance Sheets.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Unredeemed Gift Cards, Gift Certificates, and Credit Vouchers. </w:t>
      </w:r>
      <w:r>
        <w:rPr>
          <w:rFonts w:ascii="Times New Roman" w:cs="Times New Roman" w:eastAsia="Times New Roman" w:hAnsi="Times New Roman"/>
          <w:sz w:val="18"/>
          <w:szCs w:val="18"/>
          <w:color w:val="auto"/>
        </w:rPr>
        <w:t>Upon issuance of a gift card, gift certificate, or credit voucher, a liability is established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$1.8 million and $3.2 million at November 2, 2024 and February 3, 2024, respectively.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jc w:val="both"/>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Unredeemed Loyalty Coupons. </w:t>
      </w:r>
      <w:r>
        <w:rPr>
          <w:rFonts w:ascii="Times New Roman" w:cs="Times New Roman" w:eastAsia="Times New Roman" w:hAnsi="Times New Roman"/>
          <w:sz w:val="18"/>
          <w:szCs w:val="18"/>
          <w:color w:val="auto"/>
        </w:rPr>
        <w:t>The Company offers a free loyalty program to its customers for which points accumulate based on the purchase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merchandise.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these loyalty points provide the customer with a material right and a distinct performance obligation with revenue deferred and recognized when the points are expected to be redeemed or expire. The cycle of earning and redeeming loyalty points is generally under one year in duration. The loyalty accrual, net of breakage, was $1.0 million and $1.7 million at November 2, 2024 and February 3, 2024, respectively.</w:t>
      </w:r>
    </w:p>
    <w:p>
      <w:pPr>
        <w:spacing w:after="0" w:line="75"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Shipping. </w:t>
      </w:r>
      <w:r>
        <w:rPr>
          <w:rFonts w:ascii="Times New Roman" w:cs="Times New Roman" w:eastAsia="Times New Roman" w:hAnsi="Times New Roman"/>
          <w:sz w:val="18"/>
          <w:szCs w:val="18"/>
          <w:color w:val="auto"/>
        </w:rPr>
        <w:t>Shipping and handling costs are accounted for as fulfillment costs and are included in cost of sales for all periods presented. Amounts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shipping and handling that are billed to customers are recorded in sales, and the related costs are recorded in cost of goods sold, including occupancy costs, in the Consolidated Statements of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115"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color w:val="auto"/>
        </w:rPr>
        <w:t xml:space="preserve">As noted above under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Note 1, the Company’s business consists of one reportable segment, its retail segment. Substantially all of the Company’s revenue is generated from its stores and direct businesses. Accordingly, the Company has determined that the following sales channels depict the nature, amount, timing, and uncertainty of how revenue and cash flows are affected by economic factors: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80" w:type="dxa"/>
            <w:vAlign w:val="bottom"/>
            <w:gridSpan w:val="5"/>
          </w:tcPr>
          <w:p>
            <w:pPr>
              <w:jc w:val="right"/>
              <w:ind w:right="67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gridSpan w:val="6"/>
          </w:tcPr>
          <w:p>
            <w:pPr>
              <w:jc w:val="right"/>
              <w:ind w:right="570"/>
              <w:spacing w:after="0"/>
              <w:rPr>
                <w:sz w:val="20"/>
                <w:szCs w:val="20"/>
                <w:color w:val="auto"/>
              </w:rPr>
            </w:pPr>
            <w:r>
              <w:rPr>
                <w:rFonts w:ascii="Times New Roman" w:cs="Times New Roman" w:eastAsia="Times New Roman" w:hAnsi="Times New Roman"/>
                <w:sz w:val="18"/>
                <w:szCs w:val="18"/>
                <w:color w:val="auto"/>
              </w:rPr>
              <w:t>For the Nine Months Ended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October 28,</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November 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October 28,</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20"/>
                <w:szCs w:val="20"/>
                <w:color w:val="auto"/>
              </w:rPr>
            </w:pPr>
          </w:p>
        </w:tc>
        <w:tc>
          <w:tcPr>
            <w:tcW w:w="1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November 2, 2024</w:t>
            </w:r>
          </w:p>
        </w:tc>
        <w:tc>
          <w:tcPr>
            <w:tcW w:w="98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70.9%</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69.6%</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69.6 %</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sales</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76,175</w:t>
            </w:r>
          </w:p>
        </w:tc>
        <w:tc>
          <w:tcPr>
            <w:tcW w:w="98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82,997</w:t>
            </w: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244,868</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70.4 %</w:t>
            </w: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267,739</w:t>
            </w:r>
          </w:p>
        </w:tc>
        <w:tc>
          <w:tcPr>
            <w:tcW w:w="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sales</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31,328</w:t>
            </w:r>
          </w:p>
        </w:tc>
        <w:tc>
          <w:tcPr>
            <w:tcW w:w="120" w:type="dxa"/>
            <w:vAlign w:val="bottom"/>
          </w:tcPr>
          <w:p>
            <w:pPr>
              <w:spacing w:after="0"/>
              <w:rPr>
                <w:sz w:val="18"/>
                <w:szCs w:val="18"/>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w w:val="98"/>
              </w:rPr>
              <w:t>29.1%</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36,191</w:t>
            </w:r>
          </w:p>
        </w:tc>
        <w:tc>
          <w:tcPr>
            <w:tcW w:w="12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w w:val="98"/>
              </w:rPr>
              <w:t>30.4%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102,944</w:t>
            </w:r>
          </w:p>
        </w:tc>
        <w:tc>
          <w:tcPr>
            <w:tcW w:w="1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29.6 %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116,934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30.4 %</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2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107,503</w:t>
            </w: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119,188</w:t>
            </w:r>
          </w:p>
        </w:tc>
        <w:tc>
          <w:tcPr>
            <w:tcW w:w="1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347,812</w:t>
            </w: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384,673</w:t>
            </w: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 with Citizens Bank, N.A.</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has a credit facility with Citizens Bank, N.A, which provides for a $125.0 million secured, asset-based credit facility with a maturity date of October 28, 2026 (the "Credit Facility"). The maximum committed borrowing of $125.0 million includes a sublimit of $20.0 million for commercial and standby letters of credit and a sublimit of up to $15.0 million for swing line loans. The Company’s ability to borrow under the Credit Facility is determined using an availability formula based on eligible assets.</w:t>
      </w:r>
    </w:p>
    <w:p>
      <w:pPr>
        <w:spacing w:after="0" w:line="7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Borrowings under the Credit Facility bear interest at either a Base Rate loan or Daily Simple SOFR rate, at the Company's option. Base Rate loans will bear interest at a rate equal to (i) the greater of: (a) the Prime Rate, (b) the Federal Funds effective rate plus 0.50% per annum and (c) the Daily Simple SOFR rate plus 1.00% per annum (provided the Base Rate shall never be less than the Floor (as defined in the Credit Facility)), plus (ii) a varying percentage, based on the Company’s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 The Company is subject to an unused line fee of 0.25%.</w:t>
      </w:r>
    </w:p>
    <w:p>
      <w:pPr>
        <w:spacing w:after="0" w:line="8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Credit Facility are secured by a lien on substantially all of its assets. If the Company’s availability under the Credit Facility at any time is less than the greater of (i) 10% of the Revolving Loan Cap (the lesser of the aggregate revolving commitments or the borrowing base) and (ii) $7.5 million, then the Company is required to maintain a minimum consolidated fixed charge coverage ratio of 1.0:1.0 until such time as availability has exceeded the greater of (1) 10% of the Revolving Loan Cap and (2) $7.5 million for 30 consecutive days.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At November 2, 2024, the Company had no borrowings outstanding under the Credit Facility and unused availability was $78.1 million. The Company had no borrowings during the first nine months of fiscal 2024, resulting in an average unused excess availability of approximately $72.9 million. Outstanding standby letters of credit were $4.2 million and outstanding documentary letters were $0.3 million at November 2, 2024. At November 2, 2024, the Company’s prime-based interest rate was 8.25%.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229"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 The initial term of the lease for the corporate headquarters is for 20 years, with the opportunity to extend for six additional consecutive periods of five years, beginning in fiscal 2026. 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7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ASC 842 requires the assessment of any lease modification to determine if the modification should be treated as a separate lease and if not, modification accounting would be applied. Lease modification accounting requires the recalculation of the ROU asset, lease</w:t>
      </w: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1" w:right="279" w:bottom="1440" w:gutter="0" w:footer="0" w:header="0"/>
        </w:sectPr>
      </w:pPr>
    </w:p>
    <w:bookmarkStart w:id="12" w:name="page13"/>
    <w:bookmarkEnd w:id="12"/>
    <w:p>
      <w:pPr>
        <w:ind w:right="80"/>
        <w:spacing w:after="0" w:line="282" w:lineRule="auto"/>
        <w:rPr>
          <w:sz w:val="20"/>
          <w:szCs w:val="20"/>
          <w:color w:val="auto"/>
        </w:rPr>
      </w:pPr>
      <w:r>
        <w:rPr>
          <w:rFonts w:ascii="Times New Roman" w:cs="Times New Roman" w:eastAsia="Times New Roman" w:hAnsi="Times New Roman"/>
          <w:sz w:val="18"/>
          <w:szCs w:val="18"/>
          <w:color w:val="auto"/>
        </w:rPr>
        <w:t>liability and lease expense over the respective lease term. As of November 2, 2024, the Company’s operating leases liabilities represent the present value of the remaining future minimum lease payments updated based on concessions and lease modifications.</w:t>
      </w:r>
    </w:p>
    <w:p>
      <w:pPr>
        <w:spacing w:after="0" w:line="54"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Lease costs related to store locations are included in cost of goods sold including occupancy costs on the Consolidated Statements of Operations, and expenses and lease costs related to the corporate headquarters and equipment leases are included in selling, general and administrative expenses on the Consolidated Statements of Operations.</w:t>
      </w:r>
    </w:p>
    <w:p>
      <w:pPr>
        <w:spacing w:after="0" w:line="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Company’s components of net lease cost for the three and nine months ended November 2, 2024 and October 28, 2023:</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360" w:type="dxa"/>
            <w:vAlign w:val="bottom"/>
            <w:gridSpan w:val="7"/>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380" w:type="dxa"/>
            <w:vAlign w:val="bottom"/>
            <w:gridSpan w:val="8"/>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For the nine months ended</w:t>
            </w:r>
          </w:p>
        </w:tc>
      </w:tr>
      <w:tr>
        <w:trPr>
          <w:trHeight w:val="176"/>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w w:val="99"/>
              </w:rPr>
              <w:t>November 2, 2024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gridSpan w:val="3"/>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October 28, 2023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w w:val="99"/>
              </w:rPr>
              <w:t>November 2, 2024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October 28, 2023</w:t>
            </w: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12,360</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11,420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36,059</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33,461</w:t>
            </w:r>
          </w:p>
        </w:tc>
        <w:tc>
          <w:tcPr>
            <w:tcW w:w="100" w:type="dxa"/>
            <w:vAlign w:val="bottom"/>
          </w:tcPr>
          <w:p>
            <w:pPr>
              <w:spacing w:after="0"/>
              <w:rPr>
                <w:sz w:val="18"/>
                <w:szCs w:val="18"/>
                <w:color w:val="auto"/>
              </w:rPr>
            </w:pPr>
          </w:p>
        </w:tc>
      </w:tr>
      <w:tr>
        <w:trPr>
          <w:trHeight w:val="216"/>
        </w:trPr>
        <w:tc>
          <w:tcPr>
            <w:tcW w:w="404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4"/>
                <w:szCs w:val="24"/>
                <w:color w:val="auto"/>
                <w:vertAlign w:val="superscript"/>
              </w:rPr>
              <w:t>(1)</w:t>
            </w:r>
          </w:p>
        </w:tc>
        <w:tc>
          <w:tcPr>
            <w:tcW w:w="1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3,297</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3,190</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9,841</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15,657</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14,610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45,900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43,109</w:t>
            </w:r>
          </w:p>
        </w:tc>
        <w:tc>
          <w:tcPr>
            <w:tcW w:w="10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-170815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-170815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Variable lease costs include the cost of property taxes, insurance and common area maintenance fees related to leases.</w:t>
      </w:r>
    </w:p>
    <w:p>
      <w:pPr>
        <w:spacing w:after="0" w:line="117"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Supplemental cash flow and balance sheet information related to leases as of and for the first nine months ended November 2, 2024 and October 28, 2023 was as follows: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500" w:type="dxa"/>
            <w:vAlign w:val="bottom"/>
            <w:gridSpan w:val="7"/>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For the Nine Months Ended</w:t>
            </w:r>
          </w:p>
        </w:tc>
        <w:tc>
          <w:tcPr>
            <w:tcW w:w="60" w:type="dxa"/>
            <w:vAlign w:val="bottom"/>
          </w:tcPr>
          <w:p>
            <w:pPr>
              <w:spacing w:after="0"/>
              <w:rPr>
                <w:sz w:val="18"/>
                <w:szCs w:val="18"/>
                <w:color w:val="auto"/>
              </w:rPr>
            </w:pPr>
          </w:p>
        </w:tc>
      </w:tr>
      <w:tr>
        <w:trPr>
          <w:trHeight w:val="176"/>
        </w:trPr>
        <w:tc>
          <w:tcPr>
            <w:tcW w:w="7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3"/>
          </w:tcPr>
          <w:p>
            <w:pPr>
              <w:jc w:val="right"/>
              <w:ind w:right="380"/>
              <w:spacing w:after="0" w:line="176" w:lineRule="exact"/>
              <w:rPr>
                <w:sz w:val="20"/>
                <w:szCs w:val="20"/>
                <w:color w:val="auto"/>
              </w:rPr>
            </w:pPr>
            <w:r>
              <w:rPr>
                <w:rFonts w:ascii="Times New Roman" w:cs="Times New Roman" w:eastAsia="Times New Roman" w:hAnsi="Times New Roman"/>
                <w:sz w:val="18"/>
                <w:szCs w:val="18"/>
                <w:color w:val="auto"/>
                <w:w w:val="99"/>
              </w:rPr>
              <w:t>November 2, 2024</w:t>
            </w:r>
          </w:p>
        </w:tc>
        <w:tc>
          <w:tcPr>
            <w:tcW w:w="200" w:type="dxa"/>
            <w:vAlign w:val="bottom"/>
          </w:tcPr>
          <w:p>
            <w:pPr>
              <w:spacing w:after="0"/>
              <w:rPr>
                <w:sz w:val="15"/>
                <w:szCs w:val="15"/>
                <w:color w:val="auto"/>
              </w:rPr>
            </w:pPr>
          </w:p>
        </w:tc>
        <w:tc>
          <w:tcPr>
            <w:tcW w:w="15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October 28, 2023</w:t>
            </w:r>
          </w:p>
        </w:tc>
        <w:tc>
          <w:tcPr>
            <w:tcW w:w="60" w:type="dxa"/>
            <w:vAlign w:val="bottom"/>
          </w:tcPr>
          <w:p>
            <w:pPr>
              <w:spacing w:after="0"/>
              <w:rPr>
                <w:sz w:val="15"/>
                <w:szCs w:val="15"/>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740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Operating cash flows for operating leases </w:t>
            </w:r>
            <w:r>
              <w:rPr>
                <w:rFonts w:ascii="Times New Roman" w:cs="Times New Roman" w:eastAsia="Times New Roman" w:hAnsi="Times New Roman"/>
                <w:sz w:val="24"/>
                <w:szCs w:val="24"/>
                <w:color w:val="auto"/>
                <w:vertAlign w:val="superscript"/>
              </w:rPr>
              <w:t>(1)</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39,080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34,121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operating activities: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56,927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39,119</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November 2, 2024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28, 2023</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5.3 yrs.</w:t>
            </w:r>
          </w:p>
        </w:tc>
        <w:tc>
          <w:tcPr>
            <w:tcW w:w="200" w:type="dxa"/>
            <w:vAlign w:val="bottom"/>
          </w:tcPr>
          <w:p>
            <w:pPr>
              <w:spacing w:after="0"/>
              <w:rPr>
                <w:sz w:val="18"/>
                <w:szCs w:val="18"/>
                <w:color w:val="auto"/>
              </w:rPr>
            </w:pPr>
          </w:p>
        </w:tc>
        <w:tc>
          <w:tcPr>
            <w:tcW w:w="156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4.8 yrs.</w:t>
            </w:r>
          </w:p>
        </w:tc>
        <w:tc>
          <w:tcPr>
            <w:tcW w:w="60" w:type="dxa"/>
            <w:vAlign w:val="bottom"/>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6.34 %</w:t>
            </w:r>
          </w:p>
        </w:tc>
        <w:tc>
          <w:tcPr>
            <w:tcW w:w="20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6.48 %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-281940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cash paid for the first nine months of fiscal 2024 and fiscal 2023 included prepaid rent of $4.4 million and $0.6 million, respectively.</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Consolidated Balance Sheet as of November 2,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(remaining)</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52,644</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42,107</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35,351</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26,838</w:t>
            </w:r>
          </w:p>
        </w:tc>
        <w:tc>
          <w:tcPr>
            <w:tcW w:w="100" w:type="dxa"/>
            <w:vAlign w:val="bottom"/>
          </w:tcPr>
          <w:p>
            <w:pPr>
              <w:spacing w:after="0"/>
              <w:rPr>
                <w:sz w:val="18"/>
                <w:szCs w:val="18"/>
                <w:color w:val="auto"/>
              </w:rPr>
            </w:pPr>
          </w:p>
        </w:tc>
      </w:tr>
      <w:tr>
        <w:trPr>
          <w:trHeight w:val="216"/>
        </w:trPr>
        <w:tc>
          <w:tcPr>
            <w:tcW w:w="6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215,432</w:t>
            </w:r>
          </w:p>
        </w:tc>
        <w:tc>
          <w:tcPr>
            <w:tcW w:w="100" w:type="dxa"/>
            <w:vAlign w:val="bottom"/>
          </w:tcPr>
          <w:p>
            <w:pPr>
              <w:spacing w:after="0"/>
              <w:rPr>
                <w:sz w:val="18"/>
                <w:szCs w:val="18"/>
                <w:color w:val="auto"/>
              </w:rPr>
            </w:pPr>
          </w:p>
        </w:tc>
      </w:tr>
      <w:tr>
        <w:trPr>
          <w:trHeight w:val="216"/>
        </w:trPr>
        <w:tc>
          <w:tcPr>
            <w:tcW w:w="6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34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181,124</w:t>
            </w:r>
          </w:p>
        </w:tc>
        <w:tc>
          <w:tcPr>
            <w:tcW w:w="100" w:type="dxa"/>
            <w:vAlign w:val="bottom"/>
          </w:tcPr>
          <w:p>
            <w:pPr>
              <w:spacing w:after="0"/>
              <w:rPr>
                <w:sz w:val="18"/>
                <w:szCs w:val="18"/>
                <w:color w:val="auto"/>
              </w:rPr>
            </w:pPr>
          </w:p>
        </w:tc>
      </w:tr>
      <w:tr>
        <w:trPr>
          <w:trHeight w:val="216"/>
        </w:trPr>
        <w:tc>
          <w:tcPr>
            <w:tcW w:w="6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34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145,771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-722630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-439420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of November 2, 2024, the Company had entered into 10 ten-year store leases that have not yet commenced with aggregated estimated future lease payments of approximately $12.3 million, which are not included in the above table. The leases are expected to commence through the end of the second quarter of fiscal 2025.</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5. Long-Term Incentive Plans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following is a summary of the Company’s Long-Term Incentive Plan (“LTIP”). All equity awards granted under long-term incentive plans are issued from the Company’s stockholder-approved 2016 Plan. See Note 6,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LTIPs are granted annually and each LTIP covers a three-year performance period. Each participant in the LTIP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Awards for any achievement of performance targets are not granted until the performance targets are achieved and then are subject to additional vesting through August 31 following the end of the applicable performance period.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2021-2023 LTIP</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performance targets for the Company’s 2021-2023 LTIP were approved by the Compensation Committee of the Board of Directors (the "Compensation Committee”) on March 8, 2021, and covered a three-year period performance period, which ended on February 3, 2024. The time-vested portion of the 2021-2023 LTIP vests in four annual installments, with the remaining installment vesting on April 1,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29, 2024, the Compensation Committee approved a grant of awards, effective April 1, 2024, equal to $3.0 million for the achievement of the performance target for the 2021-2023 LTIP. In an effort to preserve share availability under the 2016 Plan, all awards, which were subject to further vesting through August 31, 2024, were granted in cash.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Active LTIPs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November 2, 2024, the Company had three active LTIPs: the 2022-2024 LTIP, the 2023-2025 LTIP and the 2024-2026 LTIP. The time-based awards under each LTIP were granted in a combination of 50% RSUs and 50% cash.</w:t>
      </w:r>
    </w:p>
    <w:p>
      <w:pPr>
        <w:spacing w:after="0" w:line="5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Performance targets for the 2022-2024 LTIP, the 2023-2025 LTIP and the 2024-2026 LTIP were established and approved by the Compensation Committee on April 9, 2022, May 1, 2023 and April 1, 2024, respectively. The performance period for each LTIP is three years. Awards for any achievement of performance targets will not be granted until the performance targets are achieved and then will be subject to an additional service requirement through August 31, 2025, August 31, 2026 and August 31, 2027, respectively. The time-based awards under the 2022-2024 LTIP, the 2023-2025 LTIP, and the</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2024-2026 LTIP vest in four equal installments through April 1, 2026, April 1, 2027 and April 1, 2028, respectively. Assuming that the Company achieves the performance targets at target levels and all time-based awards vest, the compensation expense associated with the 2022-2024 LTIP, 2023-2025 LTIP and 2024-2026 LTIP is estimated to be approximately $4.8 million, $5.1 million and $5.3 million, respectively. Approximately half of the compensation expense for each LTIP relates to the time-based awards, which are being expensed straight-line over 48 months, 47 months and 49 months, respectively.</w:t>
      </w:r>
    </w:p>
    <w:p>
      <w:pPr>
        <w:spacing w:after="0" w:line="8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At November 2, 2024, the Company had accrued $1.8 million under the 2022-2024 LTIP, $0.3 million under the 2023-2025 LTIP and $0.2 million under the 2024-2026 LTIP for the performance awards.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has one active stock-based compensation plan: the Second Amended and Restated 2016 Incentive Compensation Plan (the “2016 Plan”).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At the Company's Annual Meeting of Stockholders held on August 8, 2024, the Company's stockholders approved an increase of 6,150,000 shares authorized for future grant under the 2016 Plan. At November 2, 2024, 21,270,538 shares were authorized under the 2016 Plan, of which 7,521,274 shares remained available for grant.</w:t>
      </w:r>
    </w:p>
    <w:p>
      <w:pPr>
        <w:spacing w:after="0" w:line="79"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share activity and stock option activity for the first nine months of fiscal 2024:</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color w:val="auto"/>
              </w:rPr>
              <w:t>Deferred</w:t>
            </w:r>
          </w:p>
        </w:tc>
        <w:tc>
          <w:tcPr>
            <w:tcW w:w="240" w:type="dxa"/>
            <w:vAlign w:val="bottom"/>
          </w:tcPr>
          <w:p>
            <w:pPr>
              <w:spacing w:after="0"/>
              <w:rPr>
                <w:sz w:val="12"/>
                <w:szCs w:val="12"/>
                <w:color w:val="auto"/>
              </w:rPr>
            </w:pPr>
          </w:p>
        </w:tc>
        <w:tc>
          <w:tcPr>
            <w:tcW w:w="92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color w:val="auto"/>
              </w:rPr>
              <w:t>Performance</w:t>
            </w:r>
          </w:p>
        </w:tc>
        <w:tc>
          <w:tcPr>
            <w:tcW w:w="200" w:type="dxa"/>
            <w:vAlign w:val="bottom"/>
          </w:tcPr>
          <w:p>
            <w:pPr>
              <w:spacing w:after="0"/>
              <w:rPr>
                <w:sz w:val="12"/>
                <w:szCs w:val="12"/>
                <w:color w:val="auto"/>
              </w:rPr>
            </w:pPr>
          </w:p>
        </w:tc>
        <w:tc>
          <w:tcPr>
            <w:tcW w:w="11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Fully-Vested</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Total number</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4"/>
        </w:trPr>
        <w:tc>
          <w:tcPr>
            <w:tcW w:w="4700" w:type="dxa"/>
            <w:vAlign w:val="bottom"/>
          </w:tcPr>
          <w:p>
            <w:pPr>
              <w:spacing w:after="0"/>
              <w:rPr>
                <w:sz w:val="12"/>
                <w:szCs w:val="12"/>
                <w:color w:val="auto"/>
              </w:rPr>
            </w:pPr>
          </w:p>
        </w:tc>
        <w:tc>
          <w:tcPr>
            <w:tcW w:w="11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 xml:space="preserve">RSUs </w:t>
            </w:r>
            <w:r>
              <w:rPr>
                <w:rFonts w:ascii="Times New Roman" w:cs="Times New Roman" w:eastAsia="Times New Roman" w:hAnsi="Times New Roman"/>
                <w:sz w:val="19"/>
                <w:szCs w:val="19"/>
                <w:color w:val="auto"/>
                <w:vertAlign w:val="superscript"/>
              </w:rPr>
              <w:t>(1)</w:t>
            </w: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grant-date</w:t>
            </w:r>
          </w:p>
        </w:tc>
        <w:tc>
          <w:tcPr>
            <w:tcW w:w="0" w:type="dxa"/>
            <w:vAlign w:val="bottom"/>
          </w:tcPr>
          <w:p>
            <w:pPr>
              <w:spacing w:after="0"/>
              <w:rPr>
                <w:sz w:val="1"/>
                <w:szCs w:val="1"/>
                <w:color w:val="auto"/>
              </w:rPr>
            </w:pPr>
          </w:p>
        </w:tc>
      </w:tr>
      <w:tr>
        <w:trPr>
          <w:trHeight w:val="176"/>
        </w:trPr>
        <w:tc>
          <w:tcPr>
            <w:tcW w:w="47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20" w:type="dxa"/>
            <w:vAlign w:val="bottom"/>
          </w:tcPr>
          <w:p>
            <w:pPr>
              <w:jc w:val="right"/>
              <w:ind w:right="75"/>
              <w:spacing w:after="0" w:line="175" w:lineRule="exact"/>
              <w:rPr>
                <w:sz w:val="20"/>
                <w:szCs w:val="20"/>
                <w:color w:val="auto"/>
              </w:rPr>
            </w:pPr>
            <w:r>
              <w:rPr>
                <w:rFonts w:ascii="Times New Roman" w:cs="Times New Roman" w:eastAsia="Times New Roman" w:hAnsi="Times New Roman"/>
                <w:sz w:val="14"/>
                <w:szCs w:val="14"/>
                <w:color w:val="auto"/>
              </w:rPr>
              <w:t xml:space="preserve">shares </w:t>
            </w:r>
            <w:r>
              <w:rPr>
                <w:rFonts w:ascii="Times New Roman" w:cs="Times New Roman" w:eastAsia="Times New Roman" w:hAnsi="Times New Roman"/>
                <w:sz w:val="19"/>
                <w:szCs w:val="19"/>
                <w:color w:val="auto"/>
                <w:vertAlign w:val="superscript"/>
              </w:rPr>
              <w:t>(2)</w:t>
            </w:r>
          </w:p>
        </w:tc>
        <w:tc>
          <w:tcPr>
            <w:tcW w:w="2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4"/>
                <w:szCs w:val="14"/>
                <w:color w:val="auto"/>
              </w:rPr>
              <w:t xml:space="preserve">Share Units </w:t>
            </w:r>
            <w:r>
              <w:rPr>
                <w:rFonts w:ascii="Times New Roman" w:cs="Times New Roman" w:eastAsia="Times New Roman" w:hAnsi="Times New Roman"/>
                <w:sz w:val="19"/>
                <w:szCs w:val="19"/>
                <w:color w:val="auto"/>
                <w:vertAlign w:val="superscript"/>
              </w:rPr>
              <w:t>(3)</w:t>
            </w:r>
          </w:p>
        </w:tc>
        <w:tc>
          <w:tcPr>
            <w:tcW w:w="200" w:type="dxa"/>
            <w:vAlign w:val="bottom"/>
          </w:tcPr>
          <w:p>
            <w:pPr>
              <w:spacing w:after="0"/>
              <w:rPr>
                <w:sz w:val="15"/>
                <w:szCs w:val="15"/>
                <w:color w:val="auto"/>
              </w:rPr>
            </w:pPr>
          </w:p>
        </w:tc>
        <w:tc>
          <w:tcPr>
            <w:tcW w:w="1120" w:type="dxa"/>
            <w:vAlign w:val="bottom"/>
            <w:gridSpan w:val="2"/>
          </w:tcPr>
          <w:p>
            <w:pPr>
              <w:jc w:val="right"/>
              <w:ind w:right="380"/>
              <w:spacing w:after="0" w:line="175" w:lineRule="exact"/>
              <w:rPr>
                <w:sz w:val="20"/>
                <w:szCs w:val="20"/>
                <w:color w:val="auto"/>
              </w:rPr>
            </w:pPr>
            <w:r>
              <w:rPr>
                <w:rFonts w:ascii="Times New Roman" w:cs="Times New Roman" w:eastAsia="Times New Roman" w:hAnsi="Times New Roman"/>
                <w:sz w:val="14"/>
                <w:szCs w:val="14"/>
                <w:color w:val="auto"/>
              </w:rPr>
              <w:t xml:space="preserve">Shares </w:t>
            </w:r>
            <w:r>
              <w:rPr>
                <w:rFonts w:ascii="Times New Roman" w:cs="Times New Roman" w:eastAsia="Times New Roman" w:hAnsi="Times New Roman"/>
                <w:sz w:val="19"/>
                <w:szCs w:val="19"/>
                <w:color w:val="auto"/>
                <w:vertAlign w:val="superscript"/>
              </w:rPr>
              <w:t>(4)</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of shares</w:t>
            </w: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1,544,85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non-vested shares at beginning of year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536,285</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435,568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573,000</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granted</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388,650</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30,657</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34,250</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453,557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vested and/or issued</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(145,116 )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(34,250 )</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(179,366 )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expired</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forfeited</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470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1,819,04</w:t>
            </w: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non-vested shares at end of quarter</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779,819</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466,225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573,000</w:t>
            </w:r>
          </w:p>
        </w:tc>
        <w:tc>
          <w:tcPr>
            <w:tcW w:w="2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first nine months of fiscal 2024, grants primarily related to the grant of time-based RSUs under its 2024-2026 LTIP. See Note 5, </w:t>
      </w:r>
      <w:r>
        <w:rPr>
          <w:rFonts w:ascii="Times New Roman" w:cs="Times New Roman" w:eastAsia="Times New Roman" w:hAnsi="Times New Roman"/>
          <w:sz w:val="18"/>
          <w:szCs w:val="18"/>
          <w:i w:val="1"/>
          <w:iCs w:val="1"/>
          <w:color w:val="auto"/>
        </w:rPr>
        <w:t>Long-Term Incentive Plans</w:t>
      </w:r>
      <w:r>
        <w:rPr>
          <w:rFonts w:ascii="Times New Roman" w:cs="Times New Roman" w:eastAsia="Times New Roman" w:hAnsi="Times New Roman"/>
          <w:sz w:val="18"/>
          <w:szCs w:val="18"/>
          <w:color w:val="auto"/>
        </w:rPr>
        <w:t>. As a result of net share settlements, of the 145,116 RSUs that vested, 125,125 shares of common stock were issued.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30,657 shares of deferred stock, with a fair value of $108,743 represent director compensation in lieu of cash, in accordance with the director's irrevocable election. The shares of deferred stock will be issued upon the director's separation from service.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54"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11, 2023, the Company granted 573,000 performance share units ("PSUs") in connection with the extension of Mr. Kanter's employment agreement. The award consists of nine tranches, with the first tranche vesting if and when the 30-day volume-weighted closing price of the Company's common stock is equal to or greater than $6.50 per share. Each subsequent tranche will vest upon achievement of the 30-day volume-weighted closing price of the Company's common stock in $0.25 increments with the ninth tranche vesting when such price is equal to or greater than $8.50 per share. The PSUs are subject to a one-year minimum vesting period, and any unvested PSUs will expire on August 11, 2026. The $2.4 million fair value was expensed over the respective derived service periods of each tranche which ranged from 12 to 13 months. The respective fair value and derived service periods assigned to the PSUs were determined using a Monte Carlo model based on: a weighted historical volatility of 57.8%, a term of 3 years, stock price on the date of grant of $4.98 per share, a risk-free rate of 4.6% and a cost of equity of 11.0%.</w:t>
      </w:r>
    </w:p>
    <w:p>
      <w:pPr>
        <w:spacing w:after="0" w:line="80"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Represented compensation, with a fair value of $121,487, to certain directors, who are required to receive shares, in lieu of cash, in order to satisfy their minimum equity ownership under the Non-Employee Director Compensation Plan. Voluntary shares received, in lieu of cash, are reported below under </w:t>
      </w:r>
      <w:r>
        <w:rPr>
          <w:rFonts w:ascii="Times New Roman" w:cs="Times New Roman" w:eastAsia="Times New Roman" w:hAnsi="Times New Roman"/>
          <w:sz w:val="18"/>
          <w:szCs w:val="18"/>
          <w:i w:val="1"/>
          <w:iCs w:val="1"/>
          <w:color w:val="auto"/>
        </w:rPr>
        <w:t>Non-Employee Director Compensation Plan</w:t>
      </w:r>
      <w:r>
        <w:rPr>
          <w:rFonts w:ascii="Times New Roman" w:cs="Times New Roman" w:eastAsia="Times New Roman" w:hAnsi="Times New Roman"/>
          <w:sz w:val="18"/>
          <w:szCs w:val="18"/>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17"/>
              <w:spacing w:after="0"/>
              <w:rPr>
                <w:sz w:val="20"/>
                <w:szCs w:val="20"/>
                <w:color w:val="auto"/>
              </w:rPr>
            </w:pPr>
            <w:r>
              <w:rPr>
                <w:rFonts w:ascii="Times New Roman" w:cs="Times New Roman" w:eastAsia="Times New Roman" w:hAnsi="Times New Roman"/>
                <w:sz w:val="14"/>
                <w:szCs w:val="14"/>
                <w:color w:val="auto"/>
              </w:rPr>
              <w:t>Weighted-</w:t>
            </w: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Weighted-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Aggregate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5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color w:val="auto"/>
              </w:rPr>
              <w:t>Number of</w:t>
            </w:r>
          </w:p>
        </w:tc>
        <w:tc>
          <w:tcPr>
            <w:tcW w:w="100" w:type="dxa"/>
            <w:vAlign w:val="bottom"/>
          </w:tcPr>
          <w:p>
            <w:pPr>
              <w:spacing w:after="0"/>
              <w:rPr>
                <w:sz w:val="12"/>
                <w:szCs w:val="12"/>
                <w:color w:val="auto"/>
              </w:rPr>
            </w:pPr>
          </w:p>
        </w:tc>
        <w:tc>
          <w:tcPr>
            <w:tcW w:w="9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color w:val="auto"/>
              </w:rPr>
              <w:t>exercise price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intrinsic value</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 option</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contractual term</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(000's)</w:t>
            </w: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options at beginning of year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3,180,739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(139,667 )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expired</w:t>
            </w: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(53,441 )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forfeited</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(1,715 )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options at end of quarter</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2,985,916</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 years</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exercisable at end of quarter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2,745,724</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years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first nine months of fiscal 2024, the Company granted 388,650 restricted stock units, 30,657 shares of deferred stock and 34,250 fully-vested shares. For the first nine months of fiscal 2023, the Company granted stock options to purchase an aggregate of 1,317 shares of common stock, 547,294 restricted stock units and 19,772 fully-vested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Non-Employee Director Compensation Plan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granted 29,599 shares of common stock, with a fair value of approximately $104,990, to certain of its non-employee directors as compensation in lieu of cash in the first nine months of fiscal 2024. These shares are in addition to any shares that may be granted under the 2016 Plan related to the requirement to receive equity if a director has not yet satisfied his or her minimum equity ownership requirement under the Non-Employee Director Compensation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Compensation Expense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total stock-based compensation expense of $2.3 million and $1.6 million for the first nine months of fiscal 2024 and fiscal 2023, respectively. The total compensation cost related to time-vested stock options and RSU awards not yet recognized</w:t>
      </w: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5" w:name="page16"/>
    <w:bookmarkEnd w:id="15"/>
    <w:p>
      <w:pPr>
        <w:spacing w:after="0" w:line="282" w:lineRule="auto"/>
        <w:rPr>
          <w:sz w:val="20"/>
          <w:szCs w:val="20"/>
          <w:color w:val="auto"/>
        </w:rPr>
      </w:pPr>
      <w:r>
        <w:rPr>
          <w:rFonts w:ascii="Times New Roman" w:cs="Times New Roman" w:eastAsia="Times New Roman" w:hAnsi="Times New Roman"/>
          <w:sz w:val="18"/>
          <w:szCs w:val="18"/>
          <w:color w:val="auto"/>
        </w:rPr>
        <w:t>as of November 2, 2024 was approximately $2.5 million, net of estimated forfeitures, which will be expensed over a weighted average remaining life of 32 months.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Equity and 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number of shares outstanding for basic and diluted earnings per share:</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600" w:type="dxa"/>
            <w:vAlign w:val="bottom"/>
            <w:gridSpan w:val="3"/>
          </w:tcPr>
          <w:p>
            <w:pPr>
              <w:jc w:val="right"/>
              <w:ind w:right="439"/>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00" w:type="dxa"/>
            <w:vAlign w:val="bottom"/>
          </w:tcPr>
          <w:p>
            <w:pPr>
              <w:spacing w:after="0"/>
              <w:rPr>
                <w:sz w:val="13"/>
                <w:szCs w:val="13"/>
                <w:color w:val="auto"/>
              </w:rPr>
            </w:pPr>
          </w:p>
        </w:tc>
        <w:tc>
          <w:tcPr>
            <w:tcW w:w="2640" w:type="dxa"/>
            <w:vAlign w:val="bottom"/>
            <w:gridSpan w:val="4"/>
          </w:tcPr>
          <w:p>
            <w:pPr>
              <w:ind w:left="50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71"/>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b w:val="1"/>
                <w:bCs w:val="1"/>
                <w:i w:val="1"/>
                <w:i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2, 2024</w:t>
            </w:r>
          </w:p>
        </w:tc>
        <w:tc>
          <w:tcPr>
            <w:tcW w:w="200" w:type="dxa"/>
            <w:vAlign w:val="bottom"/>
          </w:tcPr>
          <w:p>
            <w:pPr>
              <w:spacing w:after="0"/>
              <w:rPr>
                <w:sz w:val="14"/>
                <w:szCs w:val="14"/>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4"/>
                <w:szCs w:val="14"/>
                <w:color w:val="auto"/>
              </w:rPr>
              <w:t>October 28, 2023</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2, 2024</w:t>
            </w:r>
          </w:p>
        </w:tc>
        <w:tc>
          <w:tcPr>
            <w:tcW w:w="20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October 28, 2023</w:t>
            </w:r>
          </w:p>
        </w:tc>
        <w:tc>
          <w:tcPr>
            <w:tcW w:w="0" w:type="dxa"/>
            <w:vAlign w:val="bottom"/>
          </w:tcPr>
          <w:p>
            <w:pPr>
              <w:spacing w:after="0"/>
              <w:rPr>
                <w:sz w:val="1"/>
                <w:szCs w:val="1"/>
                <w:color w:val="auto"/>
              </w:rPr>
            </w:pPr>
          </w:p>
        </w:tc>
      </w:tr>
      <w:tr>
        <w:trPr>
          <w:trHeight w:val="142"/>
        </w:trPr>
        <w:tc>
          <w:tcPr>
            <w:tcW w:w="4660" w:type="dxa"/>
            <w:vAlign w:val="bottom"/>
            <w:vMerge w:val="continue"/>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60,169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66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Common stock equivalents – stock options, restricted stock</w:t>
            </w: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660" w:type="dxa"/>
            <w:vAlign w:val="bottom"/>
            <w:tcBorders>
              <w:bottom w:val="single" w:sz="8" w:color="CFF0FC"/>
            </w:tcBorders>
            <w:shd w:val="clear" w:color="auto" w:fill="CFF0FC"/>
          </w:tcPr>
          <w:p>
            <w:pPr>
              <w:spacing w:after="0" w:line="241" w:lineRule="exact"/>
              <w:rPr>
                <w:sz w:val="20"/>
                <w:szCs w:val="20"/>
                <w:color w:val="auto"/>
              </w:rPr>
            </w:pPr>
            <w:r>
              <w:rPr>
                <w:rFonts w:ascii="Times New Roman" w:cs="Times New Roman" w:eastAsia="Times New Roman" w:hAnsi="Times New Roman"/>
                <w:sz w:val="18"/>
                <w:szCs w:val="18"/>
                <w:color w:val="auto"/>
              </w:rPr>
              <w:t xml:space="preserve">units and deferred stock </w:t>
            </w:r>
            <w:r>
              <w:rPr>
                <w:rFonts w:ascii="Times New Roman" w:cs="Times New Roman" w:eastAsia="Times New Roman" w:hAnsi="Times New Roman"/>
                <w:sz w:val="24"/>
                <w:szCs w:val="24"/>
                <w:color w:val="auto"/>
                <w:vertAlign w:val="superscript"/>
              </w:rPr>
              <w:t>(1)</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20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20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63,464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60,642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-156845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-156845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-156845</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-156845</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9" w:lineRule="exact"/>
        <w:rPr>
          <w:sz w:val="20"/>
          <w:szCs w:val="20"/>
          <w:color w:val="auto"/>
        </w:rPr>
      </w:pPr>
    </w:p>
    <w:p>
      <w:pPr>
        <w:ind w:left="760" w:right="20" w:hanging="3"/>
        <w:spacing w:after="0" w:line="282" w:lineRule="auto"/>
        <w:tabs>
          <w:tab w:leader="none" w:pos="10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equivalents of 2.7 million for the third quarter of fiscal 2024 were excluded from the determination of diluted weighted average common shares outstanding due to the net loss reported for the third quarter of fiscal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the unearned compensation associated with stock options or restricted stock units had an anti-dilutive effect.</w:t>
      </w:r>
    </w:p>
    <w:p>
      <w:pPr>
        <w:spacing w:after="0" w:line="15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2680" w:type="dxa"/>
            <w:vAlign w:val="bottom"/>
            <w:gridSpan w:val="3"/>
          </w:tcPr>
          <w:p>
            <w:pPr>
              <w:jc w:val="right"/>
              <w:ind w:right="488"/>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20" w:type="dxa"/>
            <w:vAlign w:val="bottom"/>
          </w:tcPr>
          <w:p>
            <w:pPr>
              <w:spacing w:after="0"/>
              <w:rPr>
                <w:sz w:val="13"/>
                <w:szCs w:val="13"/>
                <w:color w:val="auto"/>
              </w:rPr>
            </w:pPr>
          </w:p>
        </w:tc>
        <w:tc>
          <w:tcPr>
            <w:tcW w:w="2700" w:type="dxa"/>
            <w:vAlign w:val="bottom"/>
            <w:gridSpan w:val="4"/>
          </w:tcPr>
          <w:p>
            <w:pPr>
              <w:ind w:left="54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71"/>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exercise prices)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2, 2024</w:t>
            </w:r>
          </w:p>
        </w:tc>
        <w:tc>
          <w:tcPr>
            <w:tcW w:w="220" w:type="dxa"/>
            <w:vAlign w:val="bottom"/>
          </w:tcPr>
          <w:p>
            <w:pPr>
              <w:spacing w:after="0"/>
              <w:rPr>
                <w:sz w:val="14"/>
                <w:szCs w:val="14"/>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October 28, 2023</w:t>
            </w:r>
          </w:p>
        </w:tc>
        <w:tc>
          <w:tcPr>
            <w:tcW w:w="2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November 2, 2024</w:t>
            </w:r>
          </w:p>
        </w:tc>
        <w:tc>
          <w:tcPr>
            <w:tcW w:w="18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October 28, 2023</w:t>
            </w:r>
          </w:p>
        </w:tc>
        <w:tc>
          <w:tcPr>
            <w:tcW w:w="0" w:type="dxa"/>
            <w:vAlign w:val="bottom"/>
          </w:tcPr>
          <w:p>
            <w:pPr>
              <w:spacing w:after="0"/>
              <w:rPr>
                <w:sz w:val="1"/>
                <w:szCs w:val="1"/>
                <w:color w:val="auto"/>
              </w:rPr>
            </w:pPr>
          </w:p>
        </w:tc>
      </w:tr>
      <w:tr>
        <w:trPr>
          <w:trHeight w:val="155"/>
        </w:trPr>
        <w:tc>
          <w:tcPr>
            <w:tcW w:w="4820" w:type="dxa"/>
            <w:vAlign w:val="bottom"/>
            <w:vMerge w:val="continue"/>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and deferred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Range of exercise prices of such options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$4.48-$6.59</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$4.48 - $6.59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$4.48 - $6.59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$4.48 - $6.59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options, which were outstanding at November 2, 2024, expire from November 10, 2024 to March 20, 2033.</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Excluded from the computation of basic and diluted earnings per share were 573,000 shares for the first three and nine months of fiscal 2024. These performance-based awards will be included in the computation of basic and diluted earnings per share if, and when, the respective performance targets are achieved. In addition, 466,225 shares and 435,568 shares of deferred stock at November 2, 2024 and October 28, 2023, respectively, were excluded from the computation of basic earnings per share. Shares of deferred stock are not considered issued and outstanding until the vesting date of the deferral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 xml:space="preserve">The Company's tax provision for income taxes for interim periods is determined using an estimate of its annual effective tax rate, adjusted for discrete items, if any. Each quarter, the Company updates its estimate of the annual effective </w:t>
      </w:r>
      <w:r>
        <w:rPr>
          <w:rFonts w:ascii="Times New Roman" w:cs="Times New Roman" w:eastAsia="Times New Roman" w:hAnsi="Times New Roman"/>
          <w:sz w:val="17"/>
          <w:szCs w:val="17"/>
          <w:color w:val="252525"/>
        </w:rPr>
        <w:t>tax rate</w:t>
      </w:r>
      <w:r>
        <w:rPr>
          <w:rFonts w:ascii="Times New Roman" w:cs="Times New Roman" w:eastAsia="Times New Roman" w:hAnsi="Times New Roman"/>
          <w:sz w:val="17"/>
          <w:szCs w:val="17"/>
          <w:color w:val="auto"/>
        </w:rPr>
        <w:t xml:space="preserve"> and makes a year-to-date adjustment to the provision.</w:t>
      </w:r>
    </w:p>
    <w:p>
      <w:pPr>
        <w:spacing w:after="0" w:line="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first nine months of fiscal 2024 and 2023, the Company’s effective tax rate was 38.8% and 27.2%, respectively. The increase in the effective tax rate was primarily due to permanent book-to-tax differences combined with a lower pretax income as compared to the first nine months of fiscal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Fair Value Measurement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November 2, 2024 and February 3, 2024, the Company held U.S. treasury bills which were classified as held-to maturity and carried at amortized cost.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Fair Value</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Quoted Prices</w:t>
            </w: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Active</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Significant</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Markets for</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Observable</w:t>
            </w:r>
          </w:p>
        </w:tc>
        <w:tc>
          <w:tcPr>
            <w:tcW w:w="220" w:type="dxa"/>
            <w:vAlign w:val="bottom"/>
          </w:tcPr>
          <w:p>
            <w:pPr>
              <w:spacing w:after="0"/>
              <w:rPr>
                <w:sz w:val="18"/>
                <w:szCs w:val="18"/>
                <w:color w:val="auto"/>
              </w:rPr>
            </w:pPr>
          </w:p>
        </w:tc>
        <w:tc>
          <w:tcPr>
            <w:tcW w:w="1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4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Identical Assets</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Inputs</w:t>
            </w:r>
          </w:p>
        </w:tc>
        <w:tc>
          <w:tcPr>
            <w:tcW w:w="220" w:type="dxa"/>
            <w:vAlign w:val="bottom"/>
          </w:tcPr>
          <w:p>
            <w:pPr>
              <w:spacing w:after="0"/>
              <w:rPr>
                <w:sz w:val="18"/>
                <w:szCs w:val="18"/>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Carrying value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Pr>
          <w:p>
            <w:pPr>
              <w:spacing w:after="0"/>
              <w:rPr>
                <w:sz w:val="20"/>
                <w:szCs w:val="20"/>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Inputs (Level 3)</w:t>
            </w:r>
          </w:p>
        </w:tc>
      </w:tr>
      <w:tr>
        <w:trPr>
          <w:trHeight w:val="209"/>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At November 2, 2024:</w:t>
            </w:r>
          </w:p>
        </w:tc>
        <w:tc>
          <w:tcPr>
            <w:tcW w:w="13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35,851</w:t>
            </w:r>
          </w:p>
        </w:tc>
        <w:tc>
          <w:tcPr>
            <w:tcW w:w="2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35,910</w:t>
            </w: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At February 3, 2024:</w:t>
            </w: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240" w:type="dxa"/>
            <w:vAlign w:val="bottom"/>
          </w:tcPr>
          <w:p>
            <w:pPr>
              <w:spacing w:after="0"/>
              <w:rPr>
                <w:sz w:val="18"/>
                <w:szCs w:val="18"/>
                <w:color w:val="auto"/>
              </w:rPr>
            </w:pPr>
          </w:p>
        </w:tc>
        <w:tc>
          <w:tcPr>
            <w:tcW w:w="158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32,459</w:t>
            </w:r>
          </w:p>
        </w:tc>
        <w:tc>
          <w:tcPr>
            <w:tcW w:w="2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32,479</w:t>
            </w: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 Repurchase Program</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2024, the Company repurchased 52,802 shares at a total cost, including fees, of $211,182, completing its stock repurchase program that was approved by the Company's Board of Directors ("Board") in March 2023.</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3, 2024, the Board approved a new stock repurchase program pursuant to which the Company is authorized to repurchase up to $15.0 million of its common stock, including excise tax, through open market and privately negotiated transactions. The stock repurchase program will expire on February 1, 2025. During the third quarter of fiscal 2024, the Company repurchased 3.6 million shares at a total cost, including fees, of $10.2 million under this stock repurchase program.</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Inflation Reduction Act of 2022 imposed a nondeductible 1% excise tax on the net value of certain share repurchases made after December 31, 2022. The applicable excise tax is charged to additional paid-in capital in the Company's Consolidated Balance Sheet as part of the cost basis of the shares repurchased, with the corresponding liability for the excise tax payable recorded in accrued expenses and other current liabilities until paid. This liability is partially offset by a 1% credit permitted under the rules for the fair value of shares issued by the Company. At November 2, 2024, the Company had accrued $0.1 million for the payment of excise taxes.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Termination of Retirement Plans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of Casual Male Corp. in May 2002, the Company assumed the assets and liabilities of the frozen Casual Male Noncontributory Pension Plan “Casual Male Corp. Retirement Plan,” which was previously known as the J. Baker, Inc. Qualified Plan (the “Pension Plan”) and the frozen Casual Male Supplemental Executive Retirement Plan ("SERP"). In the second quarter of fiscal 2023, the Company's Board of Directors approved the termination of these frozen plans.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second quarter of fiscal 2023, the Company completed a partial settlement of the Pension Plan through the purchase of nonparticipating annuities. In connection with the partial settlement, the Company recognized a charge of $4.2 million, representing a pro-rata portion of the unrealized loss in "Accumulated Other Comprehensive Loss" on the Consolidated Balance Sheet. The Company settled the remaining obligation and terminated the Pension Plan in the fourth quarter of fiscal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third quarter of fiscal 2023, the Company completed the termination of the SERP though the purchase of a nonparticipating annuity. In connection with the SERP termination, the Company made a cash contribution of $0.4 million and recognized a loss on the termination of the plan of $57,000 in the third quarter of fiscal 2023, which included the recognition of the unrealized loss of $31,000 in Accumulated Other Comprehensive Loss.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our long-range strategic plan and the expected impact of our strategic initiatives on future growth, including with respect to our marketing efforts and raising brand awareness, store development, website replatform and future alliances and collaborations; expected marketing costs, gross margin rates and expected capital expenditures in 2024; expected store openings and store conversions for the remainder of fiscal 2024 and fiscal 2025; expected long-term plans for new stores; the expected completion and impact of our rollout of our improved eCommerce platform; and our expectations regarding liquidity needs for the next 12 months.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February 3, 2024, included in our Annual Report on Form 10-K for the year ended February 3, 2024, as filed with the Securities and Exchange Commission on March 21, 2024 (our “Fiscal 2023 Annual Report”).</w:t>
      </w:r>
    </w:p>
    <w:p>
      <w:pPr>
        <w:spacing w:after="0" w:line="19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Numerous factors could cause our actual results to differ materially from such forward-looking statements. The Company encourages readers to refer to its filings with the SEC that set forth certain risks and uncertainties that may have an impact on future results and direction of our Company, including risks related to changes in consumer spending in response to economic factors; the impact of inflation with rising costs and high interest rates; the impact of ongoing worldwide conflicts, including the Israel-Hamas conflict and the ongoing Russian invasion of Ukraine, on the global economy; potential labor shortages; and the Company’s ability to execute on its marketing, digital, store and collaboration strategies, ability to grow its market share, predict customer tastes and fashion trends, forecast sales growth trends and compete successfully in the United States men’s big and tall apparel market, and the other risks and uncertainties as set forth in the “Risk Factors” section in Part I, Item 1A of our Fiscal 2023 Annual Report.</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12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Destination XL Group, Inc., together with our consolidated subsidiaries (the “Company”), is the largest specialty retailer of big and tall men’s clothing with retail and direct operations in the United States. We operate under the trade names of Destination XL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DXL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DXL Outlets, Casual Male 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Casual Male XL Outlets. At November 2, 2024, we operated 239 Destination XL stores, 15 DXL outlet stores, 12 Casual Male XL retail stores, 19 Casual Male XL outlet stores and a digital business, including an e-commerce site at dxl.com and a mobile site, m.destinationXL.com, mobile app and third-party marketplaces.</w:t>
      </w:r>
    </w:p>
    <w:p>
      <w:pPr>
        <w:spacing w:after="0" w:line="19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all references to “we,” “our,” “us” and “the Company” refer to Destination XL Group, Inc. and our consolidated subsidiaries. We refer to our fiscal years, which end on February 1, 2025 and February 3, 2024 as "fiscal 2024" and “fiscal 2023,” respectively. Fiscal 2024 is a 52-week period and fiscal 2023 was a 53-week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currently have two principal operating segments: our stores and direct business. We consider our stores and direct business segments to be similar in terms of economic characteristics, production processes and operations, and have therefore aggregated them into one reportable segment, retail segment, consistent with our omni-channel business approach.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SALES</w:t>
      </w:r>
    </w:p>
    <w:p>
      <w:pPr>
        <w:spacing w:after="0" w:line="22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Our customer’s shopping experience continues to evolve across multiple channels, and we are continually adapting to meet the guest’s needs. The majority of our stores have the capability of fulfilling online orders if merchandise is not available in the warehouse. As a result, certain transactions that begin online are ultimately completed at the store level. Similarly, if a customer visits a store and the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8" w:name="page19"/>
    <w:bookmarkEnd w:id="18"/>
    <w:p>
      <w:pPr>
        <w:ind w:right="200"/>
        <w:spacing w:after="0" w:line="266" w:lineRule="auto"/>
        <w:rPr>
          <w:sz w:val="20"/>
          <w:szCs w:val="20"/>
          <w:color w:val="auto"/>
        </w:rPr>
      </w:pPr>
      <w:r>
        <w:rPr>
          <w:rFonts w:ascii="Times New Roman" w:cs="Times New Roman" w:eastAsia="Times New Roman" w:hAnsi="Times New Roman"/>
          <w:sz w:val="18"/>
          <w:szCs w:val="18"/>
          <w:color w:val="auto"/>
        </w:rPr>
        <w:t>item is out of stock, the associate can order the item through our website. A customer also has the ability to order online and pick-up in a store and at curbside. We define store sales as sales that originate and are fulfilled directly at the store level. Digital commerce sales, which we also refer to as direct sales, are defined as sales that originate online, whether through our website, at the store level or through a third-party marketplace.</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Stores that have been open for at least 13 months are included in comparable sales. Stores that have been remodeled or relocated during the period are also included in our determination of comparable stores sales. Stores that have been expanded by more than 25% are considered non-comparable for the first 13 months. If a store is temporarily closed for more than 7 days, it is removed from the calculation of comparable sales until it reopens and upon its anniversary is once again removed from the calculation until the reopen date. The method of calculating comparable sales varies across the retail industry and, as a result, our calculation of comparable sales is not necessarily comparable to similarly titled measures reported by other retailers.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0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00" w:type="dxa"/>
            <w:vAlign w:val="bottom"/>
          </w:tcPr>
          <w:p>
            <w:pPr>
              <w:spacing w:after="0"/>
              <w:rPr>
                <w:sz w:val="13"/>
                <w:szCs w:val="13"/>
                <w:color w:val="auto"/>
              </w:rPr>
            </w:pPr>
          </w:p>
        </w:tc>
        <w:tc>
          <w:tcPr>
            <w:tcW w:w="29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color w:val="auto"/>
              </w:rPr>
              <w:t>For the nine months ended</w:t>
            </w: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November 2, 2024</w:t>
            </w:r>
          </w:p>
        </w:tc>
        <w:tc>
          <w:tcPr>
            <w:tcW w:w="10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October 28, 2023</w:t>
            </w:r>
          </w:p>
        </w:tc>
        <w:tc>
          <w:tcPr>
            <w:tcW w:w="100" w:type="dxa"/>
            <w:vAlign w:val="bottom"/>
          </w:tcPr>
          <w:p>
            <w:pPr>
              <w:spacing w:after="0"/>
              <w:rPr>
                <w:sz w:val="14"/>
                <w:szCs w:val="14"/>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November 2, 2024</w:t>
            </w:r>
          </w:p>
        </w:tc>
        <w:tc>
          <w:tcPr>
            <w:tcW w:w="10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October 28, 2023</w:t>
            </w: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3420" w:type="dxa"/>
            <w:vAlign w:val="bottom"/>
            <w:tcBorders>
              <w:bottom w:val="single" w:sz="8" w:color="auto"/>
            </w:tcBorders>
            <w:gridSpan w:val="2"/>
            <w:shd w:val="clear" w:color="auto" w:fill="CFF0FC"/>
          </w:tcPr>
          <w:p>
            <w:pPr>
              <w:spacing w:after="0" w:line="129" w:lineRule="exact"/>
              <w:rPr>
                <w:sz w:val="20"/>
                <w:szCs w:val="20"/>
                <w:color w:val="auto"/>
              </w:rPr>
            </w:pPr>
            <w:r>
              <w:rPr>
                <w:rFonts w:ascii="Times New Roman" w:cs="Times New Roman" w:eastAsia="Times New Roman" w:hAnsi="Times New Roman"/>
                <w:sz w:val="14"/>
                <w:szCs w:val="14"/>
                <w:i w:val="1"/>
                <w:iCs w:val="1"/>
                <w:color w:val="auto"/>
              </w:rPr>
              <w:t>(in millions, except percentage of sales and per share data)</w:t>
            </w:r>
          </w:p>
        </w:tc>
        <w:tc>
          <w:tcPr>
            <w:tcW w:w="15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CFF0FC"/>
            </w:tcBorders>
            <w:shd w:val="clear" w:color="auto" w:fill="CFF0FC"/>
          </w:tcPr>
          <w:p>
            <w:pPr>
              <w:spacing w:after="0"/>
              <w:rPr>
                <w:sz w:val="11"/>
                <w:szCs w:val="11"/>
                <w:color w:val="auto"/>
              </w:rPr>
            </w:pPr>
          </w:p>
        </w:tc>
        <w:tc>
          <w:tcPr>
            <w:tcW w:w="1220" w:type="dxa"/>
            <w:vAlign w:val="bottom"/>
            <w:tcBorders>
              <w:top w:val="single" w:sz="8" w:color="auto"/>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CFF0FC"/>
            </w:tcBorders>
            <w:shd w:val="clear" w:color="auto" w:fill="CFF0FC"/>
          </w:tcPr>
          <w:p>
            <w:pPr>
              <w:spacing w:after="0"/>
              <w:rPr>
                <w:sz w:val="11"/>
                <w:szCs w:val="11"/>
                <w:color w:val="auto"/>
              </w:rPr>
            </w:pPr>
          </w:p>
        </w:tc>
        <w:tc>
          <w:tcPr>
            <w:tcW w:w="1160" w:type="dxa"/>
            <w:vAlign w:val="bottom"/>
            <w:tcBorders>
              <w:top w:val="single" w:sz="8" w:color="auto"/>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CFF0FC"/>
            </w:tcBorders>
            <w:shd w:val="clear" w:color="auto" w:fill="CFF0FC"/>
          </w:tcPr>
          <w:p>
            <w:pPr>
              <w:spacing w:after="0"/>
              <w:rPr>
                <w:sz w:val="11"/>
                <w:szCs w:val="11"/>
                <w:color w:val="auto"/>
              </w:rPr>
            </w:pPr>
          </w:p>
        </w:tc>
        <w:tc>
          <w:tcPr>
            <w:tcW w:w="1180" w:type="dxa"/>
            <w:vAlign w:val="bottom"/>
            <w:tcBorders>
              <w:top w:val="single" w:sz="8" w:color="auto"/>
              <w:bottom w:val="single" w:sz="8" w:color="CFF0FC"/>
            </w:tcBorders>
            <w:shd w:val="clear" w:color="auto" w:fill="CFF0FC"/>
          </w:tcPr>
          <w:p>
            <w:pPr>
              <w:spacing w:after="0"/>
              <w:rPr>
                <w:sz w:val="11"/>
                <w:szCs w:val="11"/>
                <w:color w:val="auto"/>
              </w:rPr>
            </w:pPr>
          </w:p>
        </w:tc>
        <w:tc>
          <w:tcPr>
            <w:tcW w:w="2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CFF0FC"/>
            </w:tcBorders>
            <w:shd w:val="clear" w:color="auto" w:fill="CFF0FC"/>
          </w:tcPr>
          <w:p>
            <w:pPr>
              <w:spacing w:after="0"/>
              <w:rPr>
                <w:sz w:val="11"/>
                <w:szCs w:val="11"/>
                <w:color w:val="auto"/>
              </w:rPr>
            </w:pPr>
          </w:p>
        </w:tc>
        <w:tc>
          <w:tcPr>
            <w:tcW w:w="1160" w:type="dxa"/>
            <w:vAlign w:val="bottom"/>
            <w:tcBorders>
              <w:top w:val="single" w:sz="8" w:color="auto"/>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r>
      <w:tr>
        <w:trPr>
          <w:trHeight w:val="142"/>
        </w:trPr>
        <w:tc>
          <w:tcPr>
            <w:tcW w:w="498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Sales</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107.5</w:t>
            </w:r>
          </w:p>
        </w:tc>
        <w:tc>
          <w:tcPr>
            <w:tcW w:w="30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119.2</w:t>
            </w:r>
          </w:p>
        </w:tc>
        <w:tc>
          <w:tcPr>
            <w:tcW w:w="3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347.8</w:t>
            </w:r>
          </w:p>
        </w:tc>
        <w:tc>
          <w:tcPr>
            <w:tcW w:w="2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384.7</w:t>
            </w:r>
          </w:p>
        </w:tc>
        <w:tc>
          <w:tcPr>
            <w:tcW w:w="220" w:type="dxa"/>
            <w:vAlign w:val="bottom"/>
          </w:tcPr>
          <w:p>
            <w:pPr>
              <w:spacing w:after="0"/>
              <w:rPr>
                <w:sz w:val="12"/>
                <w:szCs w:val="12"/>
                <w:color w:val="auto"/>
              </w:rPr>
            </w:pPr>
          </w:p>
        </w:tc>
      </w:tr>
      <w:tr>
        <w:trPr>
          <w:trHeight w:val="148"/>
        </w:trPr>
        <w:tc>
          <w:tcPr>
            <w:tcW w:w="4980" w:type="dxa"/>
            <w:vAlign w:val="bottom"/>
            <w:gridSpan w:val="4"/>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220" w:type="dxa"/>
            <w:vAlign w:val="bottom"/>
            <w:shd w:val="clear" w:color="auto" w:fill="CFF0FC"/>
          </w:tcPr>
          <w:p>
            <w:pPr>
              <w:spacing w:after="0"/>
              <w:rPr>
                <w:sz w:val="12"/>
                <w:szCs w:val="12"/>
                <w:color w:val="auto"/>
              </w:rPr>
            </w:pPr>
          </w:p>
        </w:tc>
      </w:tr>
      <w:tr>
        <w:trPr>
          <w:trHeight w:val="148"/>
        </w:trPr>
        <w:tc>
          <w:tcPr>
            <w:tcW w:w="49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Adjusted EBITDA (Non-GAAP basis)</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3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3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2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44.2</w:t>
            </w:r>
          </w:p>
        </w:tc>
        <w:tc>
          <w:tcPr>
            <w:tcW w:w="220" w:type="dxa"/>
            <w:vAlign w:val="bottom"/>
          </w:tcPr>
          <w:p>
            <w:pPr>
              <w:spacing w:after="0"/>
              <w:rPr>
                <w:sz w:val="12"/>
                <w:szCs w:val="12"/>
                <w:color w:val="auto"/>
              </w:rPr>
            </w:pPr>
          </w:p>
        </w:tc>
      </w:tr>
      <w:tr>
        <w:trPr>
          <w:trHeight w:val="148"/>
        </w:trPr>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r>
      <w:tr>
        <w:trPr>
          <w:trHeight w:val="148"/>
        </w:trPr>
        <w:tc>
          <w:tcPr>
            <w:tcW w:w="49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Gross margin, as a percentage of sales</w:t>
            </w:r>
          </w:p>
        </w:tc>
        <w:tc>
          <w:tcPr>
            <w:tcW w:w="120" w:type="dxa"/>
            <w:vAlign w:val="bottom"/>
          </w:tcPr>
          <w:p>
            <w:pPr>
              <w:spacing w:after="0"/>
              <w:rPr>
                <w:sz w:val="12"/>
                <w:szCs w:val="12"/>
                <w:color w:val="auto"/>
              </w:rPr>
            </w:pPr>
          </w:p>
        </w:tc>
        <w:tc>
          <w:tcPr>
            <w:tcW w:w="15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45.1 %</w:t>
            </w:r>
          </w:p>
        </w:tc>
        <w:tc>
          <w:tcPr>
            <w:tcW w:w="10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47.5 %</w:t>
            </w:r>
          </w:p>
        </w:tc>
        <w:tc>
          <w:tcPr>
            <w:tcW w:w="100" w:type="dxa"/>
            <w:vAlign w:val="bottom"/>
          </w:tcPr>
          <w:p>
            <w:pPr>
              <w:spacing w:after="0"/>
              <w:rPr>
                <w:sz w:val="12"/>
                <w:szCs w:val="12"/>
                <w:color w:val="auto"/>
              </w:rPr>
            </w:pPr>
          </w:p>
        </w:tc>
        <w:tc>
          <w:tcPr>
            <w:tcW w:w="1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47.2 %</w:t>
            </w:r>
          </w:p>
        </w:tc>
        <w:tc>
          <w:tcPr>
            <w:tcW w:w="100" w:type="dxa"/>
            <w:vAlign w:val="bottom"/>
          </w:tcPr>
          <w:p>
            <w:pPr>
              <w:spacing w:after="0"/>
              <w:rPr>
                <w:sz w:val="12"/>
                <w:szCs w:val="12"/>
                <w:color w:val="auto"/>
              </w:rPr>
            </w:pPr>
          </w:p>
        </w:tc>
        <w:tc>
          <w:tcPr>
            <w:tcW w:w="13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48.8 %</w:t>
            </w:r>
          </w:p>
        </w:tc>
      </w:tr>
      <w:tr>
        <w:trPr>
          <w:trHeight w:val="149"/>
        </w:trPr>
        <w:tc>
          <w:tcPr>
            <w:tcW w:w="4980" w:type="dxa"/>
            <w:vAlign w:val="bottom"/>
            <w:gridSpan w:val="4"/>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SG&amp;A expenses, as a percentage of sales</w:t>
            </w:r>
          </w:p>
        </w:tc>
        <w:tc>
          <w:tcPr>
            <w:tcW w:w="1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44.1 %</w:t>
            </w:r>
          </w:p>
        </w:tc>
        <w:tc>
          <w:tcPr>
            <w:tcW w:w="1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40.2 %</w:t>
            </w:r>
          </w:p>
        </w:tc>
        <w:tc>
          <w:tcPr>
            <w:tcW w:w="1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42.7 %</w:t>
            </w: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37.4 %</w:t>
            </w:r>
          </w:p>
        </w:tc>
      </w:tr>
      <w:tr>
        <w:trPr>
          <w:trHeight w:val="148"/>
        </w:trPr>
        <w:tc>
          <w:tcPr>
            <w:tcW w:w="49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Adjusted EBITDA margin (Non-GAAP basis)</w:t>
            </w:r>
          </w:p>
        </w:tc>
        <w:tc>
          <w:tcPr>
            <w:tcW w:w="120" w:type="dxa"/>
            <w:vAlign w:val="bottom"/>
          </w:tcPr>
          <w:p>
            <w:pPr>
              <w:spacing w:after="0"/>
              <w:rPr>
                <w:sz w:val="12"/>
                <w:szCs w:val="12"/>
                <w:color w:val="auto"/>
              </w:rPr>
            </w:pPr>
          </w:p>
        </w:tc>
        <w:tc>
          <w:tcPr>
            <w:tcW w:w="15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7.3 %</w:t>
            </w:r>
          </w:p>
        </w:tc>
        <w:tc>
          <w:tcPr>
            <w:tcW w:w="100" w:type="dxa"/>
            <w:vAlign w:val="bottom"/>
          </w:tcPr>
          <w:p>
            <w:pPr>
              <w:spacing w:after="0"/>
              <w:rPr>
                <w:sz w:val="12"/>
                <w:szCs w:val="12"/>
                <w:color w:val="auto"/>
              </w:rPr>
            </w:pPr>
          </w:p>
        </w:tc>
        <w:tc>
          <w:tcPr>
            <w:tcW w:w="1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4.5 %</w:t>
            </w:r>
          </w:p>
        </w:tc>
        <w:tc>
          <w:tcPr>
            <w:tcW w:w="100" w:type="dxa"/>
            <w:vAlign w:val="bottom"/>
          </w:tcPr>
          <w:p>
            <w:pPr>
              <w:spacing w:after="0"/>
              <w:rPr>
                <w:sz w:val="12"/>
                <w:szCs w:val="12"/>
                <w:color w:val="auto"/>
              </w:rPr>
            </w:pPr>
          </w:p>
        </w:tc>
        <w:tc>
          <w:tcPr>
            <w:tcW w:w="13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11.5 %</w:t>
            </w:r>
          </w:p>
        </w:tc>
      </w:tr>
      <w:tr>
        <w:trPr>
          <w:trHeight w:val="148"/>
        </w:trPr>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4960" w:type="dxa"/>
            <w:vAlign w:val="bottom"/>
            <w:gridSpan w:val="3"/>
          </w:tcPr>
          <w:p>
            <w:pPr>
              <w:spacing w:after="0" w:line="135" w:lineRule="exact"/>
              <w:rPr>
                <w:sz w:val="20"/>
                <w:szCs w:val="20"/>
                <w:color w:val="auto"/>
              </w:rPr>
            </w:pPr>
            <w:r>
              <w:rPr>
                <w:rFonts w:ascii="Times New Roman" w:cs="Times New Roman" w:eastAsia="Times New Roman" w:hAnsi="Times New Roman"/>
                <w:sz w:val="14"/>
                <w:szCs w:val="14"/>
                <w:color w:val="auto"/>
              </w:rPr>
              <w:t>Per diluted share:</w:t>
            </w: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0" w:type="dxa"/>
            <w:vAlign w:val="bottom"/>
            <w:shd w:val="clear" w:color="auto" w:fill="CFF0FC"/>
          </w:tcPr>
          <w:p>
            <w:pPr>
              <w:spacing w:after="0"/>
              <w:rPr>
                <w:sz w:val="12"/>
                <w:szCs w:val="12"/>
                <w:color w:val="auto"/>
              </w:rPr>
            </w:pPr>
          </w:p>
        </w:tc>
        <w:tc>
          <w:tcPr>
            <w:tcW w:w="4960" w:type="dxa"/>
            <w:vAlign w:val="bottom"/>
            <w:gridSpan w:val="3"/>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(0.03 )</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0.06</w:t>
            </w: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0.07</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0.35</w:t>
            </w:r>
          </w:p>
        </w:tc>
        <w:tc>
          <w:tcPr>
            <w:tcW w:w="220" w:type="dxa"/>
            <w:vAlign w:val="bottom"/>
            <w:shd w:val="clear" w:color="auto" w:fill="CFF0FC"/>
          </w:tcPr>
          <w:p>
            <w:pPr>
              <w:spacing w:after="0"/>
              <w:rPr>
                <w:sz w:val="12"/>
                <w:szCs w:val="12"/>
                <w:color w:val="auto"/>
              </w:rPr>
            </w:pPr>
          </w:p>
        </w:tc>
      </w:tr>
    </w:tbl>
    <w:p>
      <w:pPr>
        <w:spacing w:after="0" w:line="200" w:lineRule="exact"/>
        <w:rPr>
          <w:sz w:val="20"/>
          <w:szCs w:val="20"/>
          <w:color w:val="auto"/>
        </w:rPr>
      </w:pPr>
    </w:p>
    <w:p>
      <w:pPr>
        <w:spacing w:after="0" w:line="2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third quarter performance continued to be challenged by consumer spending headwinds, which resulted in lower traffic to our stores and lower conversion online. These were the primary contributors to our comparable sales decrease for the third quarter of 11.3%. Comparable sales for our stores were down 9.9% and our direct business was down 14.7%. Our customers have been very price conscious and, when they shop, they are gravitating toward our more moderate and entry-level price points. Despite the disappointing sales performance, we have maintained our disciplined operating regimen, and we have avoided a material erosion in merchandise margin, while keeping our inventory healthy and maintaining a strong balance sheet. While we continued to diligently manage our operating expenses, given the pressure on sales, some of our cost structure was negatively deleveraged by the sales shortfall.</w:t>
      </w:r>
    </w:p>
    <w:p>
      <w:pPr>
        <w:spacing w:after="0" w:line="8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As of November 2, 2024, we had cash and investments of $43.0 million as compared to $60.4 million at October 28, 2023 with no debt outstanding and unused excess availability of $78.1 million. We continued to maintain our strong financial position, successfully managing our liquidity and our inventory levels, which were down 10.7% to October 28, 2023. In September 2024, our Board of Directors approved a $15.0 million stock repurchase program and during the third quarter of fiscal 2024, we utilized $10.2 million of our excess cash on hand to repurchase 3.6 million shares of our common stock.</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Progress on Our Long-Range Plan and Future Growth Strategy</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Through the first nine months of fiscal 2024, we continued to move forward with our long-term strategic growth initiatives, and we continue to believe that these initiatives will give us the opportunity to build greater brand awareness and a greater opportunity for long-term growth. However, given the continued pressure on sales, we have paused our brand campaign for the fourth quarter of fiscal 2024 and are reducing the planned number of new store openings in fiscal 2025. While we still remain committed to our long-range plan, we believe pulling back on parts of our initiatives is prudent to ensure that we remain fiscally responsible with our investment spending and focused on near-term profitability and positive free cash flow.</w:t>
      </w:r>
    </w:p>
    <w:p>
      <w:pPr>
        <w:spacing w:after="0" w:line="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Marketing &amp; Brand Building</w:t>
      </w:r>
      <w:r>
        <w:rPr>
          <w:rFonts w:ascii="Times New Roman" w:cs="Times New Roman" w:eastAsia="Times New Roman" w:hAnsi="Times New Roman"/>
          <w:sz w:val="18"/>
          <w:szCs w:val="18"/>
          <w:color w:val="auto"/>
        </w:rPr>
        <w:t>: We launched our new brand advertising campaign in the second quarter of fiscal 2024 to build awareness of our brand.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campaign ran in a three-matched-market test in Boston, Detroit, and St. Louis and the results were positive in all three markets, with increased traffic, sessions, and customer acquisition. However as we disclosed in the second quarter of fiscal 2024, given current market conditions, we have paused our brand campaign at this time and are instead investing our marketing dollars back into our traditional marketing channels that will be more productive, including a video campaign on various social media platforms.</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Store Development</w:t>
      </w:r>
      <w:r>
        <w:rPr>
          <w:rFonts w:ascii="Times New Roman" w:cs="Times New Roman" w:eastAsia="Times New Roman" w:hAnsi="Times New Roman"/>
          <w:sz w:val="18"/>
          <w:szCs w:val="18"/>
          <w:color w:val="auto"/>
        </w:rPr>
        <w:t>: While we have stores in every major metropolitan market across the United States, there are geographic voids in certain markets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big + tall consumers are not being served by a DXL store. Our consumer research has indicated that 44% of big + tall men self-reported they do not shop with us because a store is not near them, while 35% self-reported that they do not shop with us because a store location is not convenient. During the first nine months of fiscal 2024, we opened four new stores, with four more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right="320"/>
        <w:spacing w:after="0" w:line="282" w:lineRule="auto"/>
        <w:rPr>
          <w:sz w:val="20"/>
          <w:szCs w:val="20"/>
          <w:color w:val="auto"/>
        </w:rPr>
      </w:pPr>
      <w:r>
        <w:rPr>
          <w:rFonts w:ascii="Times New Roman" w:cs="Times New Roman" w:eastAsia="Times New Roman" w:hAnsi="Times New Roman"/>
          <w:sz w:val="18"/>
          <w:szCs w:val="18"/>
          <w:color w:val="auto"/>
        </w:rPr>
        <w:t>expected by the end of the fiscal year. We are developing our fiscal 2025 store development schedule and are targeting 8 new store openings, down from our previous expectation of 10 new store openings.</w:t>
      </w:r>
    </w:p>
    <w:p>
      <w:pPr>
        <w:spacing w:after="0" w:line="5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New Website Platform</w:t>
      </w:r>
      <w:r>
        <w:rPr>
          <w:rFonts w:ascii="Times New Roman" w:cs="Times New Roman" w:eastAsia="Times New Roman" w:hAnsi="Times New Roman"/>
          <w:sz w:val="18"/>
          <w:szCs w:val="18"/>
          <w:color w:val="auto"/>
        </w:rPr>
        <w:t>: We are making significant progress in our transition to a new and improved eCommerce platform, with 100% of the site traffic now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new platform. The platform addresses friction online and will drive a richer and simpler consumer experience, as well as drive measurably greater speed and agility. During the third quarter, we completed the second phase of this project, which included catalog pages, product detail pages, and a new site search experience. The last phase, which will improve the checkout process and other user experiences, is scheduled to be completed in early 2025. We expect this new platform, engineered by a leading eCommerce technology provider, will position us to respond faster and more effectively to make changes in the future.</w:t>
      </w:r>
    </w:p>
    <w:p>
      <w:pPr>
        <w:spacing w:after="0" w:line="7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Alliances &amp; Collaborations</w:t>
      </w:r>
      <w:r>
        <w:rPr>
          <w:rFonts w:ascii="Times New Roman" w:cs="Times New Roman" w:eastAsia="Times New Roman" w:hAnsi="Times New Roman"/>
          <w:sz w:val="18"/>
          <w:szCs w:val="18"/>
          <w:color w:val="auto"/>
        </w:rPr>
        <w:t>: In the second quarter of fiscal 2024, we launched our DXL Big &amp; Tall merchandise assortment on Nordstrom's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marketplace platform and we currently have 37 brands and over 1,400 styles available on the platform, with plans for an additional 500 styles during the next month. We believe this collaboration will allow us to bring the DXL experience beyond our four walls and directly to the Nordstrom customer, thereby further extending our relationship with the female consumer.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sales by segment for the three and nine months ended November 2, 2024 and October 28,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80" w:type="dxa"/>
            <w:vAlign w:val="bottom"/>
            <w:gridSpan w:val="5"/>
          </w:tcPr>
          <w:p>
            <w:pPr>
              <w:jc w:val="right"/>
              <w:ind w:right="67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gridSpan w:val="6"/>
          </w:tcPr>
          <w:p>
            <w:pPr>
              <w:jc w:val="right"/>
              <w:ind w:right="570"/>
              <w:spacing w:after="0"/>
              <w:rPr>
                <w:sz w:val="20"/>
                <w:szCs w:val="20"/>
                <w:color w:val="auto"/>
              </w:rPr>
            </w:pPr>
            <w:r>
              <w:rPr>
                <w:rFonts w:ascii="Times New Roman" w:cs="Times New Roman" w:eastAsia="Times New Roman" w:hAnsi="Times New Roman"/>
                <w:sz w:val="18"/>
                <w:szCs w:val="18"/>
                <w:color w:val="auto"/>
              </w:rPr>
              <w:t>For the Nine Months Ended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October 28,</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November 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October 28,</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20"/>
                <w:szCs w:val="20"/>
                <w:color w:val="auto"/>
              </w:rPr>
            </w:pPr>
          </w:p>
        </w:tc>
        <w:tc>
          <w:tcPr>
            <w:tcW w:w="1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November 2, 2024</w:t>
            </w:r>
          </w:p>
        </w:tc>
        <w:tc>
          <w:tcPr>
            <w:tcW w:w="98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70.9%</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69.6%</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69.6 %</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sales</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76,175</w:t>
            </w:r>
          </w:p>
        </w:tc>
        <w:tc>
          <w:tcPr>
            <w:tcW w:w="98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82,997</w:t>
            </w: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244,868</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70.4 %</w:t>
            </w: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267,739</w:t>
            </w:r>
          </w:p>
        </w:tc>
        <w:tc>
          <w:tcPr>
            <w:tcW w:w="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sales</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31,328</w:t>
            </w:r>
          </w:p>
        </w:tc>
        <w:tc>
          <w:tcPr>
            <w:tcW w:w="120" w:type="dxa"/>
            <w:vAlign w:val="bottom"/>
          </w:tcPr>
          <w:p>
            <w:pPr>
              <w:spacing w:after="0"/>
              <w:rPr>
                <w:sz w:val="18"/>
                <w:szCs w:val="18"/>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w w:val="98"/>
              </w:rPr>
              <w:t>29.1%</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36,191</w:t>
            </w:r>
          </w:p>
        </w:tc>
        <w:tc>
          <w:tcPr>
            <w:tcW w:w="12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w w:val="98"/>
              </w:rPr>
              <w:t>30.4%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102,944</w:t>
            </w:r>
          </w:p>
        </w:tc>
        <w:tc>
          <w:tcPr>
            <w:tcW w:w="1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29.6 %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116,934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30.4 %</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2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107,503</w:t>
            </w: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119,188</w:t>
            </w:r>
          </w:p>
        </w:tc>
        <w:tc>
          <w:tcPr>
            <w:tcW w:w="1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347,812</w:t>
            </w: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384,673</w:t>
            </w: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Total sales for the third quarter of fiscal 2024 were $107.5 million, as compared to $119.2 million in the third quarter of fiscal 2023. The decrease in total sales was primarily attributable to a decrease in comparable sales for the third quarter of 11.3%, partially offset by an increase in non-comparable sales.</w:t>
      </w:r>
    </w:p>
    <w:p>
      <w:pPr>
        <w:spacing w:after="0" w:line="5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comparable sales decrease of 11.3% consisted of comparable sales from our stores down 9.9% and our direct business down 14.7%. This third quarter decline was consistent with the trend from the first half of fiscal 2024, with the decrease in comparable sales principally driven by a decrease in traffic in our stores and decreased conversion in our direct business. We continued to see a shift toward our private-label merchandise, as opposed to our national brands, as customers continued to be cost-conscious with their discretionary spending.</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first nine months of fiscal 2024, total sales of $347.8 million decreased 9.6% as compared to $384.7 million for the first nine months of fiscal 2023. The decrease was primarily driven by a decrease in comparable sales of 11.2%, with stores down 10.5% and our direct business down 12.8%. This decrease in comparable sales was slightly offset by an increase in non-comparable sales of $4.8 million, primarily from new stores, and a $1.4 million shift in calendar weeks due to the 53rd week in fiscal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 Rate</w:t>
      </w:r>
    </w:p>
    <w:p>
      <w:pPr>
        <w:spacing w:after="0" w:line="1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the third quarter of fiscal 2024, our gross margin rate, inclusive of occupancy costs, was 45.1% as compared to a gross margin rate of 47.5% for the third quarter of fiscal 2023.</w:t>
      </w:r>
    </w:p>
    <w:p>
      <w:pPr>
        <w:spacing w:after="0" w:line="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gross margin rate decreased by 240-basis points, which was driven by an increase of 220 basis points in occupancy costs, as a percentage of sales, primarily due to the deleveraging of sales and increased rents as a result of lease extensions. Merchandise margin for the third quarter decreased by 20 basis points, as compared to the third quarter of fiscal 2023, primarily due to an increase in markdown activity on seasonal merchandise as well as an increase in inbound freight. These increases were partially offset by favorable outbound shipping costs, a decrease in loyalty expense and a shift in product mix.</w:t>
      </w:r>
    </w:p>
    <w:p>
      <w:pPr>
        <w:spacing w:after="0" w:line="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the first nine months of fiscal 2024, our gross margin rate, inclusive of occupancy costs, was 47.2% as compared to a gross margin rate of 48.8% for the first nine months of fiscal 2023. The decrease of 160-basis points was due to an increase of 200-basis points in occupancy costs due to the deleveraging of sales and increased rents. This increased cost was partially offset by an increase in merchandise margin of 40-basis points, driven by favorable shipping costs and a reduction in loyalty expense.</w:t>
      </w:r>
    </w:p>
    <w:p>
      <w:pPr>
        <w:spacing w:after="0" w:line="72" w:lineRule="exact"/>
        <w:rPr>
          <w:sz w:val="20"/>
          <w:szCs w:val="20"/>
          <w:color w:val="auto"/>
        </w:rPr>
      </w:pPr>
    </w:p>
    <w:p>
      <w:pPr>
        <w:ind w:right="760"/>
        <w:spacing w:after="0" w:line="261" w:lineRule="auto"/>
        <w:rPr>
          <w:sz w:val="20"/>
          <w:szCs w:val="20"/>
          <w:color w:val="auto"/>
        </w:rPr>
      </w:pPr>
      <w:r>
        <w:rPr>
          <w:rFonts w:ascii="Times New Roman" w:cs="Times New Roman" w:eastAsia="Times New Roman" w:hAnsi="Times New Roman"/>
          <w:sz w:val="18"/>
          <w:szCs w:val="18"/>
          <w:color w:val="auto"/>
        </w:rPr>
        <w:t>For 2024, we expect gross margin rates to be approximately 130 to 180 basis points lower than fiscal 2023 primarily related to the deleveraging of occupancy on a lower sales base.</w:t>
      </w:r>
    </w:p>
    <w:p>
      <w:pPr>
        <w:jc w:val="center"/>
        <w:ind w:right="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a percentage of sales, SG&amp;A (selling, general and administrative) expenses for the third quarter of fiscal 2024 were 44.1% as compared to 40.2% for the third quarter of fiscal 2023. For the first nine months of fiscal 2024, SG&amp;A expenses, as a percentage of sales, were 42.7% as compared to 37.4% for the first nine months of fiscal 2023.</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a dollar basis, SG&amp;A expenses decreased by $0.6 million for the third quarter of fiscal 2024 as compared to the third quarter of fiscal 2023. The decrease was primarily due to a decrease in marketing of $1.4 million as compared to the prior year's third quarter, partially offset by increases in healthcare costs, technology costs and professional services. On a percentage of sales basis, SG&amp;A expenses increased due to the decrease in sales for the third quarter of fiscal 2024 as compared to the third quarter of fiscal 2023.</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first nine months of fiscal 2024, SG&amp;A expenses increased $4.9 million as compared to the first nine months of fiscal 2023. The increase was principally due to an increase in marketing costs of $2.9 million, which included our brand campaign that launched in the second quarter. The remainder of the increase was primarily due to increased healthcare costs and technology costs as compared to the first nine months of fiscal 2023. These increased costs were partially offset by a decrease in incentive accruals.</w:t>
      </w:r>
    </w:p>
    <w:p>
      <w:pPr>
        <w:spacing w:after="0" w:line="7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Marketing costs were 5.7% of sales for the third quarter of fiscal 2024 as compared to 6.3% of sales for the third quarter of fiscal 2023. For the first nine months of fiscal 2024, marketing costs were 7.0% as compared to 5.6% for the first nine months of fiscal 2023. For fiscal 2024, marketing costs are expected to be approximately 6.8% of sales.</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Management views SG&amp;A expenses through two primary cost centers: Customer Facing Costs and Corporate Support Costs. Customer Facing Costs, which include store payroll, marketing and other store and direct operating costs, represented 24.2% of sales in the first nine months of fiscal 2024 as compared to 21.0% of sales in the first nine months of fiscal 2023. Corporate Support Costs, which include the distribution center and corporate overhead costs, represented 18.5% of sales in the first nine months of fiscal 2024 as compared to 16.4% of sales in the first nine months of fiscal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third quarter of fiscal 2024 increased slightly to $3.6 million as compared to $3.4 million for the third quarter of fiscal 2023. Our capital expenditures have increased in fiscal 2024 as we have started to open new store locations and are investing in certain other infrastructure and technology projects.</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first nine months of fiscal 2024 depreciation and amortization was $10.2 million as compared to $10.3 million for the first nine months of fiscal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Termination of Retirement Plans</w:t>
      </w:r>
    </w:p>
    <w:p>
      <w:pPr>
        <w:spacing w:after="0" w:line="119"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Results for the third quarter and first nine months of fiscal 2023 included a charge of $57,000 and $4.2 million, respectively, related to the termination of the frozen Supplemental Executive Retirement Plan ("SERP") in the third quarter of fiscal 2023 and a partial settlement of our pension obligation in the second quarter of fiscal 2023. The termination and final settlement of the remaining pension obligation was completed in the fourth quarter of fiscal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Net interest income for the third quarter of fiscal 2024 was $0.6 million, which was flat as compared to the third quarter of fiscal 2023. Net interest income for the first nine months of fiscal 2024 was $1.7 million, as compared to $1.4 million for the first nine months of fiscal 2023. Interest income was earned from investments in U.S. government-backed investments and money market accounts. Interest costs for all periods were immaterial because we had no outstanding debt and no borrowings under our credit facility.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provision for income taxes for interim periods is determined using an estimate of our annual effective tax rate, adjusted for discrete items, if any. Each quarter, we update our estimate of the annual effective tax rate and make a year-to-date adjustment to the provision.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third quarter of fiscal 2024 and fiscal 2023, our effective tax rate was 9.2% and 30.2%, respectively.</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first nine months of fiscal 2024 and fiscal 2023, our effective tax rate was 38.8% and 27.2%, respectively. The increase in the effective tax rate was primarily due to permanent book-to-tax differences combined with a lower pretax income as compared to the first nine months of fiscal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third quarter of fiscal 2024, we recorded a net loss of $1.8 million, or $(0.03) per diluted share, as compared to net income of $4.0 million, or $0.06 per diluted share, for the third quarter of fiscal 2023.</w:t>
      </w: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1" w:name="page22"/>
    <w:bookmarkEnd w:id="21"/>
    <w:p>
      <w:pPr>
        <w:ind w:right="40"/>
        <w:spacing w:after="0" w:line="266" w:lineRule="auto"/>
        <w:rPr>
          <w:sz w:val="20"/>
          <w:szCs w:val="20"/>
          <w:color w:val="auto"/>
        </w:rPr>
      </w:pPr>
      <w:r>
        <w:rPr>
          <w:rFonts w:ascii="Times New Roman" w:cs="Times New Roman" w:eastAsia="Times New Roman" w:hAnsi="Times New Roman"/>
          <w:sz w:val="18"/>
          <w:szCs w:val="18"/>
          <w:color w:val="auto"/>
        </w:rPr>
        <w:t>For the first nine months of fiscal 2024, net income was $4.4 million, or $0.07 per diluted share, as compared to $22.6 million, or $0.35 per diluted share, for the first nine months of fiscal 2023. The decrease in earnings was driven primarily by a decrease in sales and to a lesser extent an increase in marketing costs associated with our brand campaign.</w:t>
      </w:r>
    </w:p>
    <w:p>
      <w:pPr>
        <w:spacing w:after="0" w:line="68"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8"/>
          <w:szCs w:val="18"/>
          <w:color w:val="auto"/>
        </w:rPr>
        <w:t>Results for the third quarter and first nine months of fiscal 2023 included charges of $0.1 million and $4.2 million related to the termination of the SERP and the partial settlement of the pension plan</w:t>
      </w:r>
      <w:r>
        <w:rPr>
          <w:rFonts w:ascii="Times New Roman" w:cs="Times New Roman" w:eastAsia="Times New Roman" w:hAnsi="Times New Roman"/>
          <w:sz w:val="19"/>
          <w:szCs w:val="19"/>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November 2, 2024, our inventory decreased by approximately $10.7 million to $89.1 million, as compared to $99.9 million at October 28, 2023. We continue to take proactive measures to manage our inventory and adjust our receipt plan given the ongoing macroeconomic factors affecting consumer spending. At November 2, 2024, our clearance inventory was 9.2% of our total inventory, as compared to 9.7% at October 28, 2023. Our inventory position is very strong and our clearance levels are in line with our benchmark of 10% even with the 10.7% decrease in total inventory. Our inventory turnover rate has improved by over 30% from fiscal 2019.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Historically, and consistent with the retail industry, we have experienced seasonal fluctuations as it relates to our operating income, net income, and free cash flow. Traditionally, a significant portion of our operating income, net income, and free cash flow is generated in the second and fourth quarters. Our inventory is typically at peak levels by the end of the third quarter, which represents a significant use of cash, which is then relieved in the fourth quarter as we sell-down our inventory through the holiday shopping season.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Our primary sources of liquidity are our cash and cash equivalents, short-term investments, cash generated from operations and availability under our credit facility, which is discussed below. At November 2, 2024, we had no outstanding debt, including no borrowings under our credit facility during the first nine months of fiscal 2024. Cash that is in excess of our forecasted needs may be invested in money market accounts and U.S. government-backed securities.</w:t>
      </w:r>
    </w:p>
    <w:p>
      <w:pPr>
        <w:spacing w:after="0" w:line="5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believe that our cash and cash equivalent balances, short-term investments, cash generated from operations, and borrowings available to us under our credit facility will be adequate to meet our liquidity needs and capital expenditure requirements for at least the next 12 months. However, we remain cautious regarding the effect that the current macroeconomic conditions may have on consumer spending, including inflation, high interest costs, and other geopolitical conflicts around the world. We also believe that cash flows from operating activities and cash on hand will be sufficient to satisfy our current capital requirements and our stock repurchase program. In the longer term, to the extent future capital requirements exceed cash on hand plus cash flows from operating activities, we anticipate that working capital will be financed by our credit facility.</w:t>
      </w:r>
    </w:p>
    <w:p>
      <w:pPr>
        <w:spacing w:after="0" w:line="7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For the first nine months of fiscal 2024, cash flow from operations was $12.5 million as compared to $33.1 million for the first nine months of fiscal 2023. Free cash flow, before capital expenditures for store development, a non-GAAP measure, was $2.5 million for the first nine months of fiscal 2024 as compared to $26.5 million for the first nine months of fiscal 2023. Free cash flow, a non-GAAP measure, was $(7.0) million for the first nine months of fiscal 2024 as compared to $22.7 million for the first nine months of fiscal 2023. The decrease in free cash flow was primarily due to a decrease in operating income, driven by our sales decrease, and increases in capital expenditures of $5.6 million for store development and $3.4 million for other capital projects.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20" w:type="dxa"/>
            <w:vAlign w:val="bottom"/>
            <w:gridSpan w:val="6"/>
          </w:tcPr>
          <w:p>
            <w:pPr>
              <w:ind w:left="1140"/>
              <w:spacing w:after="0"/>
              <w:rPr>
                <w:sz w:val="20"/>
                <w:szCs w:val="20"/>
                <w:color w:val="auto"/>
              </w:rPr>
            </w:pPr>
            <w:r>
              <w:rPr>
                <w:rFonts w:ascii="Times New Roman" w:cs="Times New Roman" w:eastAsia="Times New Roman" w:hAnsi="Times New Roman"/>
                <w:sz w:val="14"/>
                <w:szCs w:val="14"/>
                <w:color w:val="auto"/>
              </w:rPr>
              <w:t>For the nine months ended</w:t>
            </w:r>
          </w:p>
        </w:tc>
      </w:tr>
      <w:tr>
        <w:trPr>
          <w:trHeight w:val="171"/>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4"/>
                <w:szCs w:val="14"/>
                <w:color w:val="auto"/>
              </w:rPr>
            </w:pPr>
          </w:p>
        </w:tc>
        <w:tc>
          <w:tcPr>
            <w:tcW w:w="1800" w:type="dxa"/>
            <w:vAlign w:val="bottom"/>
            <w:gridSpan w:val="2"/>
          </w:tcPr>
          <w:p>
            <w:pPr>
              <w:jc w:val="right"/>
              <w:ind w:right="548"/>
              <w:spacing w:after="0"/>
              <w:rPr>
                <w:sz w:val="20"/>
                <w:szCs w:val="20"/>
                <w:color w:val="auto"/>
              </w:rPr>
            </w:pPr>
            <w:r>
              <w:rPr>
                <w:rFonts w:ascii="Times New Roman" w:cs="Times New Roman" w:eastAsia="Times New Roman" w:hAnsi="Times New Roman"/>
                <w:sz w:val="14"/>
                <w:szCs w:val="14"/>
                <w:color w:val="auto"/>
              </w:rPr>
              <w:t>November 2, 2024</w:t>
            </w:r>
          </w:p>
        </w:tc>
        <w:tc>
          <w:tcPr>
            <w:tcW w:w="260" w:type="dxa"/>
            <w:vAlign w:val="bottom"/>
          </w:tcPr>
          <w:p>
            <w:pPr>
              <w:spacing w:after="0"/>
              <w:rPr>
                <w:sz w:val="14"/>
                <w:szCs w:val="14"/>
                <w:color w:val="auto"/>
              </w:rPr>
            </w:pPr>
          </w:p>
        </w:tc>
        <w:tc>
          <w:tcPr>
            <w:tcW w:w="19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October 28, 2023</w:t>
            </w:r>
          </w:p>
        </w:tc>
      </w:tr>
      <w:tr>
        <w:trPr>
          <w:trHeight w:val="142"/>
        </w:trPr>
        <w:tc>
          <w:tcPr>
            <w:tcW w:w="70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200" w:type="dxa"/>
            <w:vAlign w:val="bottom"/>
            <w:tcBorders>
              <w:top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12.5</w:t>
            </w:r>
          </w:p>
        </w:tc>
        <w:tc>
          <w:tcPr>
            <w:tcW w:w="32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r>
      <w:tr>
        <w:trPr>
          <w:trHeight w:val="149"/>
        </w:trPr>
        <w:tc>
          <w:tcPr>
            <w:tcW w:w="7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 expenditures, excluding store development</w:t>
            </w:r>
          </w:p>
        </w:tc>
        <w:tc>
          <w:tcPr>
            <w:tcW w:w="200" w:type="dxa"/>
            <w:vAlign w:val="bottom"/>
          </w:tcPr>
          <w:p>
            <w:pPr>
              <w:spacing w:after="0"/>
              <w:rPr>
                <w:sz w:val="12"/>
                <w:szCs w:val="12"/>
                <w:color w:val="auto"/>
              </w:rPr>
            </w:pPr>
          </w:p>
        </w:tc>
        <w:tc>
          <w:tcPr>
            <w:tcW w:w="18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(10.0 )</w:t>
            </w:r>
          </w:p>
        </w:tc>
        <w:tc>
          <w:tcPr>
            <w:tcW w:w="260" w:type="dxa"/>
            <w:vAlign w:val="bottom"/>
          </w:tcPr>
          <w:p>
            <w:pPr>
              <w:spacing w:after="0"/>
              <w:rPr>
                <w:sz w:val="12"/>
                <w:szCs w:val="12"/>
                <w:color w:val="auto"/>
              </w:rPr>
            </w:pPr>
          </w:p>
        </w:tc>
        <w:tc>
          <w:tcPr>
            <w:tcW w:w="1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(6.6 )</w:t>
            </w:r>
          </w:p>
        </w:tc>
        <w:tc>
          <w:tcPr>
            <w:tcW w:w="220" w:type="dxa"/>
            <w:vAlign w:val="bottom"/>
          </w:tcPr>
          <w:p>
            <w:pPr>
              <w:spacing w:after="0"/>
              <w:rPr>
                <w:sz w:val="12"/>
                <w:szCs w:val="12"/>
                <w:color w:val="auto"/>
              </w:rPr>
            </w:pPr>
          </w:p>
        </w:tc>
      </w:tr>
      <w:tr>
        <w:trPr>
          <w:trHeight w:val="142"/>
        </w:trPr>
        <w:tc>
          <w:tcPr>
            <w:tcW w:w="702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Free Cash Flow before capital expenditures for store development (non-GAAP basis)</w:t>
            </w:r>
          </w:p>
        </w:tc>
        <w:tc>
          <w:tcPr>
            <w:tcW w:w="200" w:type="dxa"/>
            <w:vAlign w:val="bottom"/>
            <w:tcBorders>
              <w:top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32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r>
      <w:tr>
        <w:trPr>
          <w:trHeight w:val="149"/>
        </w:trPr>
        <w:tc>
          <w:tcPr>
            <w:tcW w:w="7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 expenditures for store development</w:t>
            </w:r>
          </w:p>
        </w:tc>
        <w:tc>
          <w:tcPr>
            <w:tcW w:w="200" w:type="dxa"/>
            <w:vAlign w:val="bottom"/>
          </w:tcPr>
          <w:p>
            <w:pPr>
              <w:spacing w:after="0"/>
              <w:rPr>
                <w:sz w:val="12"/>
                <w:szCs w:val="12"/>
                <w:color w:val="auto"/>
              </w:rPr>
            </w:pPr>
          </w:p>
        </w:tc>
        <w:tc>
          <w:tcPr>
            <w:tcW w:w="18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(9.4 )</w:t>
            </w:r>
          </w:p>
        </w:tc>
        <w:tc>
          <w:tcPr>
            <w:tcW w:w="260" w:type="dxa"/>
            <w:vAlign w:val="bottom"/>
          </w:tcPr>
          <w:p>
            <w:pPr>
              <w:spacing w:after="0"/>
              <w:rPr>
                <w:sz w:val="12"/>
                <w:szCs w:val="12"/>
                <w:color w:val="auto"/>
              </w:rPr>
            </w:pPr>
          </w:p>
        </w:tc>
        <w:tc>
          <w:tcPr>
            <w:tcW w:w="1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(3.8 )</w:t>
            </w:r>
          </w:p>
        </w:tc>
        <w:tc>
          <w:tcPr>
            <w:tcW w:w="220" w:type="dxa"/>
            <w:vAlign w:val="bottom"/>
          </w:tcPr>
          <w:p>
            <w:pPr>
              <w:spacing w:after="0"/>
              <w:rPr>
                <w:sz w:val="12"/>
                <w:szCs w:val="12"/>
                <w:color w:val="auto"/>
              </w:rPr>
            </w:pPr>
          </w:p>
        </w:tc>
      </w:tr>
      <w:tr>
        <w:trPr>
          <w:trHeight w:val="182"/>
        </w:trPr>
        <w:tc>
          <w:tcPr>
            <w:tcW w:w="702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200" w:type="dxa"/>
            <w:vAlign w:val="bottom"/>
            <w:tcBorders>
              <w:top w:val="single" w:sz="8" w:color="auto"/>
              <w:bottom w:val="single" w:sz="8" w:color="auto"/>
            </w:tcBorders>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(7.0</w:t>
            </w:r>
          </w:p>
        </w:tc>
        <w:tc>
          <w:tcPr>
            <w:tcW w:w="320" w:type="dxa"/>
            <w:vAlign w:val="bottom"/>
            <w:tcBorders>
              <w:bottom w:val="single" w:sz="8" w:color="CFF0FC"/>
            </w:tcBorders>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260" w:type="dxa"/>
            <w:vAlign w:val="bottom"/>
            <w:tcBorders>
              <w:top w:val="single" w:sz="8" w:color="auto"/>
              <w:bottom w:val="single" w:sz="8" w:color="auto"/>
            </w:tcBorders>
            <w:shd w:val="clear" w:color="auto" w:fill="CFF0FC"/>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-25400</wp:posOffset>
            </wp:positionV>
            <wp:extent cx="774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77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-25400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Cash flow used for investing activities was $22.5 million for the first nine months of fiscal 2024 as compared to $59.1 million for the first nine months of fiscal 2023. This decrease of $36.6 million was primarily due to a decrease in net purchases of short-term investments, partially offset by an increase in capital expenditures.</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Cash flow used for financing was $10.4 million for the first nine months of fiscal 2024 as compared to $15.3 million for the first nine months of fiscal 2023 and primarily reflected cash used to repurchase shares of the Company's common stock pursuant to the Stock Repurchase Programs.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Repurchase Program</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420"/>
        <w:spacing w:after="0" w:line="282" w:lineRule="auto"/>
        <w:rPr>
          <w:sz w:val="20"/>
          <w:szCs w:val="20"/>
          <w:color w:val="auto"/>
        </w:rPr>
      </w:pPr>
      <w:r>
        <w:rPr>
          <w:rFonts w:ascii="Times New Roman" w:cs="Times New Roman" w:eastAsia="Times New Roman" w:hAnsi="Times New Roman"/>
          <w:sz w:val="18"/>
          <w:szCs w:val="18"/>
          <w:color w:val="auto"/>
        </w:rPr>
        <w:t>In the first quarter of fiscal 2024, the Company repurchased 52,802 shares at a total cost, including fees, of $211,182, completing the stock repurchase program that was approved by the Company's Board of Directors ("Board") in March 2023.</w:t>
      </w:r>
    </w:p>
    <w:p>
      <w:pPr>
        <w:spacing w:after="0" w:line="5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September 3, 2024, the Board approved a new stock repurchase program, pursuant to which the Company is authorized to repurchase up to $15.0 million of its common stock, including excise tax, through open market and privately negotiated transactions. During the third quarter of fiscal 2024, the Company repurchased 3.6 million shares at a total cost, including fees, of $10.2 million under this stock repurchase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has a $125.0 million revolving credit agreement with Citizens Bank, N.A., with a maturity date of October 28, 2026 (the "Credit Facility"). The Credit Facility includes a sublimit of $20.0 million for commercial and standby letters of credit and a sublimit of up to $15.0 million for swingline loans. Borrowings under the Credit Facility bear interest at either a Base Rate loan or Daily Simple SOFR rate, at the Company's option. Base Rate loans will bear interest at a rate equal to (i) the greater of: (a) the Prime Rate, (b) the Federal Funds effective rate plus 0.50% per annum and (c) the Daily Simple SOFR rate plus 1.00% per annum (provided the Base Rate shall never be less than the Floor (as defined in the Credit Facility)), plus (ii) a varying percentage, based on the Company’s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 We are subject to an unused line fee of 0.25%.</w:t>
      </w:r>
    </w:p>
    <w:p>
      <w:pPr>
        <w:spacing w:after="0" w:line="18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had no outstanding borrowings under the Credit Facility at November 2, 2024 and no borrowings during the first nine months of fiscal 2024. At November 2, 2024, outstanding standby letters of credit were $4.2 million and outstanding documentary letters of credit were $0.3 million. The average unused excess availability during the first nine months of fiscal 2024 was approximately $72.9 million and the unused excess availability at November 2, 2024 was $78.1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Expenditures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open stores and related square footage at November 2, 2024 and October 28, 2023, respectively:</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gridSpan w:val="3"/>
          </w:tcPr>
          <w:p>
            <w:pPr>
              <w:jc w:val="right"/>
              <w:ind w:right="668"/>
              <w:spacing w:after="0"/>
              <w:rPr>
                <w:sz w:val="20"/>
                <w:szCs w:val="20"/>
                <w:color w:val="auto"/>
              </w:rPr>
            </w:pPr>
            <w:r>
              <w:rPr>
                <w:rFonts w:ascii="Times New Roman" w:cs="Times New Roman" w:eastAsia="Times New Roman" w:hAnsi="Times New Roman"/>
                <w:sz w:val="14"/>
                <w:szCs w:val="14"/>
                <w:color w:val="auto"/>
              </w:rPr>
              <w:t>November 2, 2024</w:t>
            </w:r>
          </w:p>
        </w:tc>
        <w:tc>
          <w:tcPr>
            <w:tcW w:w="220" w:type="dxa"/>
            <w:vAlign w:val="bottom"/>
          </w:tcPr>
          <w:p>
            <w:pPr>
              <w:spacing w:after="0"/>
              <w:rPr>
                <w:sz w:val="13"/>
                <w:szCs w:val="13"/>
                <w:color w:val="auto"/>
              </w:rPr>
            </w:pPr>
          </w:p>
        </w:tc>
        <w:tc>
          <w:tcPr>
            <w:tcW w:w="2740" w:type="dxa"/>
            <w:vAlign w:val="bottom"/>
            <w:gridSpan w:val="4"/>
          </w:tcPr>
          <w:p>
            <w:pPr>
              <w:ind w:left="760"/>
              <w:spacing w:after="0"/>
              <w:rPr>
                <w:sz w:val="20"/>
                <w:szCs w:val="20"/>
                <w:color w:val="auto"/>
              </w:rPr>
            </w:pPr>
            <w:r>
              <w:rPr>
                <w:rFonts w:ascii="Times New Roman" w:cs="Times New Roman" w:eastAsia="Times New Roman" w:hAnsi="Times New Roman"/>
                <w:sz w:val="14"/>
                <w:szCs w:val="14"/>
                <w:color w:val="auto"/>
              </w:rPr>
              <w:t>October 28, 2023</w:t>
            </w:r>
          </w:p>
        </w:tc>
        <w:tc>
          <w:tcPr>
            <w:tcW w:w="0" w:type="dxa"/>
            <w:vAlign w:val="bottom"/>
          </w:tcPr>
          <w:p>
            <w:pPr>
              <w:spacing w:after="0"/>
              <w:rPr>
                <w:sz w:val="1"/>
                <w:szCs w:val="1"/>
                <w:color w:val="auto"/>
              </w:rPr>
            </w:pPr>
          </w:p>
        </w:tc>
      </w:tr>
      <w:tr>
        <w:trPr>
          <w:trHeight w:val="148"/>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Store Concept</w:t>
            </w:r>
          </w:p>
        </w:tc>
        <w:tc>
          <w:tcPr>
            <w:tcW w:w="120" w:type="dxa"/>
            <w:vAlign w:val="bottom"/>
          </w:tcPr>
          <w:p>
            <w:pPr>
              <w:spacing w:after="0"/>
              <w:rPr>
                <w:sz w:val="12"/>
                <w:szCs w:val="12"/>
                <w:color w:val="auto"/>
              </w:rPr>
            </w:pPr>
          </w:p>
        </w:tc>
        <w:tc>
          <w:tcPr>
            <w:tcW w:w="118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240" w:type="dxa"/>
            <w:vAlign w:val="bottom"/>
          </w:tcPr>
          <w:p>
            <w:pPr>
              <w:spacing w:after="0"/>
              <w:rPr>
                <w:sz w:val="12"/>
                <w:szCs w:val="12"/>
                <w:color w:val="auto"/>
              </w:rPr>
            </w:pPr>
          </w:p>
        </w:tc>
        <w:tc>
          <w:tcPr>
            <w:tcW w:w="114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Square</w:t>
            </w:r>
          </w:p>
        </w:tc>
        <w:tc>
          <w:tcPr>
            <w:tcW w:w="220" w:type="dxa"/>
            <w:vAlign w:val="bottom"/>
          </w:tcPr>
          <w:p>
            <w:pPr>
              <w:spacing w:after="0"/>
              <w:rPr>
                <w:sz w:val="12"/>
                <w:szCs w:val="12"/>
                <w:color w:val="auto"/>
              </w:rPr>
            </w:pPr>
          </w:p>
        </w:tc>
        <w:tc>
          <w:tcPr>
            <w:tcW w:w="114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2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Square</w:t>
            </w:r>
          </w:p>
        </w:tc>
        <w:tc>
          <w:tcPr>
            <w:tcW w:w="0" w:type="dxa"/>
            <w:vAlign w:val="bottom"/>
          </w:tcPr>
          <w:p>
            <w:pPr>
              <w:spacing w:after="0"/>
              <w:rPr>
                <w:sz w:val="1"/>
                <w:szCs w:val="1"/>
                <w:color w:val="auto"/>
              </w:rPr>
            </w:pPr>
          </w:p>
        </w:tc>
      </w:tr>
      <w:tr>
        <w:trPr>
          <w:trHeight w:val="171"/>
        </w:trPr>
        <w:tc>
          <w:tcPr>
            <w:tcW w:w="5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Stores</w:t>
            </w:r>
          </w:p>
        </w:tc>
        <w:tc>
          <w:tcPr>
            <w:tcW w:w="24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Footage</w:t>
            </w:r>
          </w:p>
        </w:tc>
        <w:tc>
          <w:tcPr>
            <w:tcW w:w="220" w:type="dxa"/>
            <w:vAlign w:val="bottom"/>
          </w:tcPr>
          <w:p>
            <w:pPr>
              <w:spacing w:after="0"/>
              <w:rPr>
                <w:sz w:val="14"/>
                <w:szCs w:val="14"/>
                <w:color w:val="auto"/>
              </w:rPr>
            </w:pP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Stores</w:t>
            </w:r>
          </w:p>
        </w:tc>
        <w:tc>
          <w:tcPr>
            <w:tcW w:w="22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Footage</w:t>
            </w:r>
          </w:p>
        </w:tc>
        <w:tc>
          <w:tcPr>
            <w:tcW w:w="0" w:type="dxa"/>
            <w:vAlign w:val="bottom"/>
          </w:tcPr>
          <w:p>
            <w:pPr>
              <w:spacing w:after="0"/>
              <w:rPr>
                <w:sz w:val="1"/>
                <w:szCs w:val="1"/>
                <w:color w:val="auto"/>
              </w:rPr>
            </w:pPr>
          </w:p>
        </w:tc>
      </w:tr>
      <w:tr>
        <w:trPr>
          <w:trHeight w:val="186"/>
        </w:trPr>
        <w:tc>
          <w:tcPr>
            <w:tcW w:w="5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(square footage in thousands)</w:t>
            </w:r>
          </w:p>
        </w:tc>
        <w:tc>
          <w:tcPr>
            <w:tcW w:w="12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DXL Retail</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DXL Outlets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Casual Male XL Retail</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 Male Outlets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Stores</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During the first nine months of fiscal 2024, we opened four new DXL stores, relocated one DXL store, converted four Casual Male XL stores to the DXL format, completed four DXL remodels, and closed one Casual Male XL store and one DXL store. We expect to open four additional DXL stores, convert another Casual Male store to the DXL store format and complete one additional DXL remodel before the end of fiscal 2024. We expect our capital expenditures to range from $21.0 million to $24.0 million, net of tenant incentives, in fiscal 2024. Over the next five years, we believe we could potentially open approximately 50 net new DXL stores across the country, which could average 6,000 square feet or 300,000 sq. ft. in total, a 15% increase over our current square footage. We are currently planning to open 8 stores in fiscal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and estimates disclosed in our Fiscal 2023 Annual Report. See Note 1 to the Consolidated Financial Statements included in this report for information on recent accounting pronouncements and changes in accounting principles.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229"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Free cash flow, free cash flow before capital expenditures for store development, adjusted EBITDA and adjusted EBITDA margin are non-GAAP measures. These non-GAAP measures are not presented in accordance with GAAP and should not be considered superior to or as a substitute for net income, net income per diluted share or cash flows from operating activities or any other measure of performance derived in accordance with GAAP. In addition, all companies do not calculate non-GAAP financial measures in the same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right="20"/>
        <w:spacing w:after="0" w:line="261" w:lineRule="auto"/>
        <w:rPr>
          <w:sz w:val="20"/>
          <w:szCs w:val="20"/>
          <w:color w:val="auto"/>
        </w:rPr>
      </w:pPr>
      <w:r>
        <w:rPr>
          <w:rFonts w:ascii="Times New Roman" w:cs="Times New Roman" w:eastAsia="Times New Roman" w:hAnsi="Times New Roman"/>
          <w:sz w:val="18"/>
          <w:szCs w:val="18"/>
          <w:color w:val="auto"/>
        </w:rPr>
        <w:t>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Reconciliations of these non-GAAP measures are presented in the following tables </w:t>
      </w:r>
      <w:r>
        <w:rPr>
          <w:rFonts w:ascii="Times New Roman" w:cs="Times New Roman" w:eastAsia="Times New Roman" w:hAnsi="Times New Roman"/>
          <w:sz w:val="18"/>
          <w:szCs w:val="18"/>
          <w:i w:val="1"/>
          <w:iCs w:val="1"/>
          <w:color w:val="auto"/>
        </w:rPr>
        <w:t>(certain columns may not foot due to rounding)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Free Cash 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define free cash flow as cash flow from operating activities less capital expenditures. We define free cash flow before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for store development as cash flow from operations activities less all capital expenditures except capital expenditures for store development. Capital expenditures for store development includes capital expenditures for new stores, conversions of Casual Male XL stores to DXL and remodels. Capital expenditures related to store relocations and maintenance are not included in store development. Free cash flow excludes the mandatory and discretionary repayment of debt. Free cash flow is a metric that management uses to monitor liquidity. Management believes this metric is important to investors because it demonstrates the Company's ability to strengthen liquidity while supporting its capital projects and new store development. We expect to fund our ongoing capital expenditures with cash flow from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free cash flow: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20" w:type="dxa"/>
            <w:vAlign w:val="bottom"/>
            <w:gridSpan w:val="6"/>
          </w:tcPr>
          <w:p>
            <w:pPr>
              <w:ind w:left="1140"/>
              <w:spacing w:after="0"/>
              <w:rPr>
                <w:sz w:val="20"/>
                <w:szCs w:val="20"/>
                <w:color w:val="auto"/>
              </w:rPr>
            </w:pPr>
            <w:r>
              <w:rPr>
                <w:rFonts w:ascii="Times New Roman" w:cs="Times New Roman" w:eastAsia="Times New Roman" w:hAnsi="Times New Roman"/>
                <w:sz w:val="14"/>
                <w:szCs w:val="14"/>
                <w:color w:val="auto"/>
              </w:rPr>
              <w:t>For the nine months ended</w:t>
            </w:r>
          </w:p>
        </w:tc>
      </w:tr>
      <w:tr>
        <w:trPr>
          <w:trHeight w:val="171"/>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4"/>
                <w:szCs w:val="14"/>
                <w:color w:val="auto"/>
              </w:rPr>
            </w:pPr>
          </w:p>
        </w:tc>
        <w:tc>
          <w:tcPr>
            <w:tcW w:w="1800" w:type="dxa"/>
            <w:vAlign w:val="bottom"/>
            <w:gridSpan w:val="2"/>
          </w:tcPr>
          <w:p>
            <w:pPr>
              <w:jc w:val="right"/>
              <w:ind w:right="548"/>
              <w:spacing w:after="0"/>
              <w:rPr>
                <w:sz w:val="20"/>
                <w:szCs w:val="20"/>
                <w:color w:val="auto"/>
              </w:rPr>
            </w:pPr>
            <w:r>
              <w:rPr>
                <w:rFonts w:ascii="Times New Roman" w:cs="Times New Roman" w:eastAsia="Times New Roman" w:hAnsi="Times New Roman"/>
                <w:sz w:val="14"/>
                <w:szCs w:val="14"/>
                <w:color w:val="auto"/>
              </w:rPr>
              <w:t>November 2, 2024</w:t>
            </w:r>
          </w:p>
        </w:tc>
        <w:tc>
          <w:tcPr>
            <w:tcW w:w="260" w:type="dxa"/>
            <w:vAlign w:val="bottom"/>
          </w:tcPr>
          <w:p>
            <w:pPr>
              <w:spacing w:after="0"/>
              <w:rPr>
                <w:sz w:val="14"/>
                <w:szCs w:val="14"/>
                <w:color w:val="auto"/>
              </w:rPr>
            </w:pPr>
          </w:p>
        </w:tc>
        <w:tc>
          <w:tcPr>
            <w:tcW w:w="19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October 28, 2023</w:t>
            </w:r>
          </w:p>
        </w:tc>
      </w:tr>
      <w:tr>
        <w:trPr>
          <w:trHeight w:val="142"/>
        </w:trPr>
        <w:tc>
          <w:tcPr>
            <w:tcW w:w="70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200" w:type="dxa"/>
            <w:vAlign w:val="bottom"/>
            <w:tcBorders>
              <w:top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12.5</w:t>
            </w:r>
          </w:p>
        </w:tc>
        <w:tc>
          <w:tcPr>
            <w:tcW w:w="32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r>
      <w:tr>
        <w:trPr>
          <w:trHeight w:val="149"/>
        </w:trPr>
        <w:tc>
          <w:tcPr>
            <w:tcW w:w="7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 expenditures, excluding store development</w:t>
            </w:r>
          </w:p>
        </w:tc>
        <w:tc>
          <w:tcPr>
            <w:tcW w:w="200" w:type="dxa"/>
            <w:vAlign w:val="bottom"/>
          </w:tcPr>
          <w:p>
            <w:pPr>
              <w:spacing w:after="0"/>
              <w:rPr>
                <w:sz w:val="12"/>
                <w:szCs w:val="12"/>
                <w:color w:val="auto"/>
              </w:rPr>
            </w:pPr>
          </w:p>
        </w:tc>
        <w:tc>
          <w:tcPr>
            <w:tcW w:w="18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(10.0 )</w:t>
            </w:r>
          </w:p>
        </w:tc>
        <w:tc>
          <w:tcPr>
            <w:tcW w:w="260" w:type="dxa"/>
            <w:vAlign w:val="bottom"/>
          </w:tcPr>
          <w:p>
            <w:pPr>
              <w:spacing w:after="0"/>
              <w:rPr>
                <w:sz w:val="12"/>
                <w:szCs w:val="12"/>
                <w:color w:val="auto"/>
              </w:rPr>
            </w:pPr>
          </w:p>
        </w:tc>
        <w:tc>
          <w:tcPr>
            <w:tcW w:w="1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(6.6 )</w:t>
            </w:r>
          </w:p>
        </w:tc>
        <w:tc>
          <w:tcPr>
            <w:tcW w:w="220" w:type="dxa"/>
            <w:vAlign w:val="bottom"/>
          </w:tcPr>
          <w:p>
            <w:pPr>
              <w:spacing w:after="0"/>
              <w:rPr>
                <w:sz w:val="12"/>
                <w:szCs w:val="12"/>
                <w:color w:val="auto"/>
              </w:rPr>
            </w:pPr>
          </w:p>
        </w:tc>
      </w:tr>
      <w:tr>
        <w:trPr>
          <w:trHeight w:val="142"/>
        </w:trPr>
        <w:tc>
          <w:tcPr>
            <w:tcW w:w="702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Free Cash Flow before capital expenditures for store development (non-GAAP basis)</w:t>
            </w:r>
          </w:p>
        </w:tc>
        <w:tc>
          <w:tcPr>
            <w:tcW w:w="200" w:type="dxa"/>
            <w:vAlign w:val="bottom"/>
            <w:tcBorders>
              <w:top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32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r>
      <w:tr>
        <w:trPr>
          <w:trHeight w:val="148"/>
        </w:trPr>
        <w:tc>
          <w:tcPr>
            <w:tcW w:w="7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 expenditures for store development</w:t>
            </w:r>
          </w:p>
        </w:tc>
        <w:tc>
          <w:tcPr>
            <w:tcW w:w="200" w:type="dxa"/>
            <w:vAlign w:val="bottom"/>
          </w:tcPr>
          <w:p>
            <w:pPr>
              <w:spacing w:after="0"/>
              <w:rPr>
                <w:sz w:val="12"/>
                <w:szCs w:val="12"/>
                <w:color w:val="auto"/>
              </w:rPr>
            </w:pPr>
          </w:p>
        </w:tc>
        <w:tc>
          <w:tcPr>
            <w:tcW w:w="18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(9.4 )</w:t>
            </w:r>
          </w:p>
        </w:tc>
        <w:tc>
          <w:tcPr>
            <w:tcW w:w="260" w:type="dxa"/>
            <w:vAlign w:val="bottom"/>
          </w:tcPr>
          <w:p>
            <w:pPr>
              <w:spacing w:after="0"/>
              <w:rPr>
                <w:sz w:val="12"/>
                <w:szCs w:val="12"/>
                <w:color w:val="auto"/>
              </w:rPr>
            </w:pPr>
          </w:p>
        </w:tc>
        <w:tc>
          <w:tcPr>
            <w:tcW w:w="1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(3.8 )</w:t>
            </w:r>
          </w:p>
        </w:tc>
        <w:tc>
          <w:tcPr>
            <w:tcW w:w="220" w:type="dxa"/>
            <w:vAlign w:val="bottom"/>
          </w:tcPr>
          <w:p>
            <w:pPr>
              <w:spacing w:after="0"/>
              <w:rPr>
                <w:sz w:val="12"/>
                <w:szCs w:val="12"/>
                <w:color w:val="auto"/>
              </w:rPr>
            </w:pPr>
          </w:p>
        </w:tc>
      </w:tr>
      <w:tr>
        <w:trPr>
          <w:trHeight w:val="182"/>
        </w:trPr>
        <w:tc>
          <w:tcPr>
            <w:tcW w:w="702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200" w:type="dxa"/>
            <w:vAlign w:val="bottom"/>
            <w:tcBorders>
              <w:top w:val="single" w:sz="8" w:color="auto"/>
              <w:bottom w:val="single" w:sz="8" w:color="auto"/>
            </w:tcBorders>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(7.0</w:t>
            </w:r>
          </w:p>
        </w:tc>
        <w:tc>
          <w:tcPr>
            <w:tcW w:w="320" w:type="dxa"/>
            <w:vAlign w:val="bottom"/>
            <w:tcBorders>
              <w:bottom w:val="single" w:sz="8" w:color="CFF0FC"/>
            </w:tcBorders>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260" w:type="dxa"/>
            <w:vAlign w:val="bottom"/>
            <w:tcBorders>
              <w:top w:val="single" w:sz="8" w:color="auto"/>
              <w:bottom w:val="single" w:sz="8" w:color="auto"/>
            </w:tcBorders>
            <w:shd w:val="clear" w:color="auto" w:fill="CFF0FC"/>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-25400</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Adjusted EBITDA and Adjusted EBITDA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EBITDA is calculated as earnings before interest, taxes, depreciation and amortization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adding back impairment (gain) of assets, if any, and loss on termination of retirement plans. Adjusted EBITDA margin is calculated as Adjusted EBITDA divided by Sales. We believe that providing adjusted EBITDA and adjusted EBITDA margin is useful to investors in evaluating our performance and are key metrics to measure profitability and economic productivity. The following table reconciles adjusted EBITDA from net income and calculates adjusted EBITDA margin: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2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00" w:type="dxa"/>
            <w:vAlign w:val="bottom"/>
          </w:tcPr>
          <w:p>
            <w:pPr>
              <w:spacing w:after="0"/>
              <w:rPr>
                <w:sz w:val="13"/>
                <w:szCs w:val="13"/>
                <w:color w:val="auto"/>
              </w:rPr>
            </w:pPr>
          </w:p>
        </w:tc>
        <w:tc>
          <w:tcPr>
            <w:tcW w:w="2900" w:type="dxa"/>
            <w:vAlign w:val="bottom"/>
            <w:gridSpan w:val="6"/>
          </w:tcPr>
          <w:p>
            <w:pPr>
              <w:ind w:left="56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4"/>
                <w:szCs w:val="14"/>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November 2, 2024</w:t>
            </w:r>
          </w:p>
        </w:tc>
        <w:tc>
          <w:tcPr>
            <w:tcW w:w="100" w:type="dxa"/>
            <w:vAlign w:val="bottom"/>
          </w:tcPr>
          <w:p>
            <w:pPr>
              <w:spacing w:after="0"/>
              <w:rPr>
                <w:sz w:val="14"/>
                <w:szCs w:val="14"/>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October 28, 2023</w:t>
            </w:r>
          </w:p>
        </w:tc>
        <w:tc>
          <w:tcPr>
            <w:tcW w:w="100" w:type="dxa"/>
            <w:vAlign w:val="bottom"/>
          </w:tcPr>
          <w:p>
            <w:pPr>
              <w:spacing w:after="0"/>
              <w:rPr>
                <w:sz w:val="14"/>
                <w:szCs w:val="14"/>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November 2, 2024</w:t>
            </w:r>
          </w:p>
        </w:tc>
        <w:tc>
          <w:tcPr>
            <w:tcW w:w="120" w:type="dxa"/>
            <w:vAlign w:val="bottom"/>
          </w:tcPr>
          <w:p>
            <w:pPr>
              <w:spacing w:after="0"/>
              <w:rPr>
                <w:sz w:val="14"/>
                <w:szCs w:val="1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October 28, 2023</w:t>
            </w: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00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FF0FC"/>
          </w:tcPr>
          <w:p>
            <w:pPr>
              <w:spacing w:after="0"/>
              <w:rPr>
                <w:sz w:val="12"/>
                <w:szCs w:val="12"/>
                <w:color w:val="auto"/>
              </w:rPr>
            </w:pPr>
          </w:p>
        </w:tc>
        <w:tc>
          <w:tcPr>
            <w:tcW w:w="50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 (GAAP basis)</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w:t>
            </w: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020" w:type="dxa"/>
            <w:vAlign w:val="bottom"/>
            <w:gridSpan w:val="3"/>
          </w:tcPr>
          <w:p>
            <w:pPr>
              <w:ind w:left="20"/>
              <w:spacing w:after="0" w:line="126" w:lineRule="exact"/>
              <w:rPr>
                <w:sz w:val="20"/>
                <w:szCs w:val="20"/>
                <w:color w:val="auto"/>
              </w:rPr>
            </w:pPr>
            <w:r>
              <w:rPr>
                <w:rFonts w:ascii="Times New Roman" w:cs="Times New Roman" w:eastAsia="Times New Roman" w:hAnsi="Times New Roman"/>
                <w:sz w:val="14"/>
                <w:szCs w:val="14"/>
                <w:color w:val="auto"/>
              </w:rPr>
              <w:t>Add back:</w:t>
            </w:r>
          </w:p>
        </w:tc>
        <w:tc>
          <w:tcPr>
            <w:tcW w:w="120" w:type="dxa"/>
            <w:vAlign w:val="bottom"/>
          </w:tcPr>
          <w:p>
            <w:pPr>
              <w:spacing w:after="0"/>
              <w:rPr>
                <w:sz w:val="10"/>
                <w:szCs w:val="10"/>
                <w:color w:val="auto"/>
              </w:rPr>
            </w:pPr>
          </w:p>
        </w:tc>
        <w:tc>
          <w:tcPr>
            <w:tcW w:w="15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Loss on termination of retirement plans</w:t>
            </w:r>
          </w:p>
        </w:tc>
        <w:tc>
          <w:tcPr>
            <w:tcW w:w="1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(benefit) for income taxes</w:t>
            </w:r>
          </w:p>
        </w:tc>
        <w:tc>
          <w:tcPr>
            <w:tcW w:w="1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(0.2 )</w:t>
            </w: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income, net</w:t>
            </w:r>
          </w:p>
        </w:tc>
        <w:tc>
          <w:tcPr>
            <w:tcW w:w="120" w:type="dxa"/>
            <w:vAlign w:val="bottom"/>
          </w:tcPr>
          <w:p>
            <w:pPr>
              <w:spacing w:after="0"/>
              <w:rPr>
                <w:sz w:val="12"/>
                <w:szCs w:val="12"/>
                <w:color w:val="auto"/>
              </w:rPr>
            </w:pPr>
          </w:p>
        </w:tc>
        <w:tc>
          <w:tcPr>
            <w:tcW w:w="15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(0.6 )</w:t>
            </w:r>
          </w:p>
        </w:tc>
        <w:tc>
          <w:tcPr>
            <w:tcW w:w="100" w:type="dxa"/>
            <w:vAlign w:val="bottom"/>
          </w:tcPr>
          <w:p>
            <w:pPr>
              <w:spacing w:after="0"/>
              <w:rPr>
                <w:sz w:val="12"/>
                <w:szCs w:val="12"/>
                <w:color w:val="auto"/>
              </w:rPr>
            </w:pPr>
          </w:p>
        </w:tc>
        <w:tc>
          <w:tcPr>
            <w:tcW w:w="14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(0.6 )</w:t>
            </w:r>
          </w:p>
        </w:tc>
        <w:tc>
          <w:tcPr>
            <w:tcW w:w="100" w:type="dxa"/>
            <w:vAlign w:val="bottom"/>
          </w:tcPr>
          <w:p>
            <w:pPr>
              <w:spacing w:after="0"/>
              <w:rPr>
                <w:sz w:val="12"/>
                <w:szCs w:val="12"/>
                <w:color w:val="auto"/>
              </w:rPr>
            </w:pPr>
          </w:p>
        </w:tc>
        <w:tc>
          <w:tcPr>
            <w:tcW w:w="14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(1.7 )</w:t>
            </w:r>
          </w:p>
        </w:tc>
        <w:tc>
          <w:tcPr>
            <w:tcW w:w="120" w:type="dxa"/>
            <w:vAlign w:val="bottom"/>
          </w:tcPr>
          <w:p>
            <w:pPr>
              <w:spacing w:after="0"/>
              <w:rPr>
                <w:sz w:val="12"/>
                <w:szCs w:val="12"/>
                <w:color w:val="auto"/>
              </w:rPr>
            </w:pPr>
          </w:p>
        </w:tc>
        <w:tc>
          <w:tcPr>
            <w:tcW w:w="13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Borders>
              <w:bottom w:val="single" w:sz="8" w:color="CFF0FC"/>
            </w:tcBorders>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3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3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2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Adjusted EBITDA (non-GAAP basis)</w:t>
            </w: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32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w:t>
            </w:r>
          </w:p>
        </w:tc>
        <w:tc>
          <w:tcPr>
            <w:tcW w:w="32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15.7</w:t>
            </w:r>
          </w:p>
        </w:tc>
        <w:tc>
          <w:tcPr>
            <w:tcW w:w="2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4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Sales</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107.5</w:t>
            </w:r>
          </w:p>
        </w:tc>
        <w:tc>
          <w:tcPr>
            <w:tcW w:w="3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w:t>
            </w:r>
          </w:p>
        </w:tc>
        <w:tc>
          <w:tcPr>
            <w:tcW w:w="3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347.8</w:t>
            </w:r>
          </w:p>
        </w:tc>
        <w:tc>
          <w:tcPr>
            <w:tcW w:w="28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384.7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Adjusted EBITDA margin (non-GAAP), as a percentage of sales</w:t>
            </w:r>
          </w:p>
        </w:tc>
        <w:tc>
          <w:tcPr>
            <w:tcW w:w="1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7.3 %</w:t>
            </w:r>
          </w:p>
        </w:tc>
        <w:tc>
          <w:tcPr>
            <w:tcW w:w="1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4.5 %</w:t>
            </w: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-410845</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-410845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-410845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our financial position and results of operations are routinely subject to a variety of risks, including market risk associated with interest rate movements on borrowings. We regularly assess these risks and have established policies and business practices to protect against the adverse effects of these and other potential exposures.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material changes to our interest rate previously disclosed in Part II, Item 7A of our Fiscal 2023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11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November 2, 2024.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01" w:right="319" w:bottom="1440" w:gutter="0" w:footer="0" w:header="0"/>
        </w:sectPr>
      </w:pPr>
    </w:p>
    <w:bookmarkStart w:id="24" w:name="page25"/>
    <w:bookmarkEnd w:id="24"/>
    <w:p>
      <w:pPr>
        <w:ind w:right="60"/>
        <w:spacing w:after="0" w:line="261" w:lineRule="auto"/>
        <w:rPr>
          <w:sz w:val="20"/>
          <w:szCs w:val="20"/>
          <w:color w:val="auto"/>
        </w:rPr>
      </w:pPr>
      <w:r>
        <w:rPr>
          <w:rFonts w:ascii="Times New Roman" w:cs="Times New Roman" w:eastAsia="Times New Roman" w:hAnsi="Times New Roman"/>
          <w:sz w:val="18"/>
          <w:szCs w:val="18"/>
          <w:color w:val="auto"/>
        </w:rPr>
        <w:t>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November 2, 2024, our disclosure controls and procedures were effective.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not experienced any changes in our internal control over financial reporting (as defined in Rules 13a-15(f) and 15d-15(f) under the Exchange Act) during the three months ended November 2, 2024 that has materially affected, or is reasonably likely to materially affect, our internal control over financial reporting.</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as previously disclosed in Part I, Item 1A of our Fiscal 2023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3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September 3, 2024, the Company’s Board of Directors approved a stock repurchase program pursuant to which the Company was authorized to repurchase up to $15.0 million of its common stock through open market and privately negotiated transactions. The timing and the amount of any repurchases of common stock will be determined based on the Company’s evaluation of market conditions and other factors. The stock repurchase program will expire on February 1, 2025, but may be suspended, terminated or modified at any time for any reason.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repurchase activity during the three months ended November 2, 2024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(c)</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center"/>
              <w:ind w:right="260"/>
              <w:spacing w:after="0"/>
              <w:rPr>
                <w:sz w:val="20"/>
                <w:szCs w:val="20"/>
                <w:color w:val="auto"/>
              </w:rPr>
            </w:pPr>
            <w:r>
              <w:rPr>
                <w:rFonts w:ascii="Times New Roman" w:cs="Times New Roman" w:eastAsia="Times New Roman" w:hAnsi="Times New Roman"/>
                <w:sz w:val="18"/>
                <w:szCs w:val="18"/>
                <w:color w:val="auto"/>
              </w:rPr>
              <w:t>(d)</w:t>
            </w:r>
          </w:p>
        </w:tc>
      </w:tr>
      <w:tr>
        <w:trPr>
          <w:trHeight w:val="216"/>
        </w:trPr>
        <w:tc>
          <w:tcPr>
            <w:tcW w:w="3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center"/>
              <w:ind w:right="300"/>
              <w:spacing w:after="0"/>
              <w:rPr>
                <w:sz w:val="20"/>
                <w:szCs w:val="20"/>
                <w:color w:val="auto"/>
              </w:rPr>
            </w:pPr>
            <w:r>
              <w:rPr>
                <w:rFonts w:ascii="Times New Roman" w:cs="Times New Roman" w:eastAsia="Times New Roman" w:hAnsi="Times New Roman"/>
                <w:sz w:val="18"/>
                <w:szCs w:val="18"/>
                <w:color w:val="auto"/>
              </w:rPr>
              <w:t>Approximate dollar</w:t>
            </w:r>
          </w:p>
        </w:tc>
      </w:tr>
      <w:tr>
        <w:trPr>
          <w:trHeight w:val="216"/>
        </w:trPr>
        <w:tc>
          <w:tcPr>
            <w:tcW w:w="3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(a)</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center"/>
              <w:ind w:right="110"/>
              <w:spacing w:after="0"/>
              <w:rPr>
                <w:sz w:val="20"/>
                <w:szCs w:val="20"/>
                <w:color w:val="auto"/>
              </w:rPr>
            </w:pPr>
            <w:r>
              <w:rPr>
                <w:rFonts w:ascii="Times New Roman" w:cs="Times New Roman" w:eastAsia="Times New Roman" w:hAnsi="Times New Roman"/>
                <w:sz w:val="18"/>
                <w:szCs w:val="18"/>
                <w:color w:val="auto"/>
                <w:w w:val="95"/>
              </w:rPr>
              <w:t>(b)</w:t>
            </w: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purchased as part of</w:t>
            </w:r>
          </w:p>
        </w:tc>
        <w:tc>
          <w:tcPr>
            <w:tcW w:w="220" w:type="dxa"/>
            <w:vAlign w:val="bottom"/>
            <w:shd w:val="clear" w:color="auto" w:fill="CFF0FC"/>
          </w:tcPr>
          <w:p>
            <w:pPr>
              <w:spacing w:after="0"/>
              <w:rPr>
                <w:sz w:val="18"/>
                <w:szCs w:val="18"/>
                <w:color w:val="auto"/>
              </w:rPr>
            </w:pPr>
          </w:p>
        </w:tc>
        <w:tc>
          <w:tcPr>
            <w:tcW w:w="196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value of shares that may</w:t>
            </w:r>
          </w:p>
        </w:tc>
      </w:tr>
      <w:tr>
        <w:trPr>
          <w:trHeight w:val="196"/>
        </w:trPr>
        <w:tc>
          <w:tcPr>
            <w:tcW w:w="3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Total number of</w:t>
            </w:r>
          </w:p>
        </w:tc>
        <w:tc>
          <w:tcPr>
            <w:tcW w:w="2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Average price paid</w:t>
            </w: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rPr>
              <w:t>publicly announced</w:t>
            </w:r>
          </w:p>
        </w:tc>
        <w:tc>
          <w:tcPr>
            <w:tcW w:w="220" w:type="dxa"/>
            <w:vAlign w:val="bottom"/>
            <w:shd w:val="clear" w:color="auto" w:fill="CFF0FC"/>
          </w:tcPr>
          <w:p>
            <w:pPr>
              <w:spacing w:after="0"/>
              <w:rPr>
                <w:sz w:val="17"/>
                <w:szCs w:val="17"/>
                <w:color w:val="auto"/>
              </w:rPr>
            </w:pPr>
          </w:p>
        </w:tc>
        <w:tc>
          <w:tcPr>
            <w:tcW w:w="1960" w:type="dxa"/>
            <w:vAlign w:val="bottom"/>
            <w:gridSpan w:val="3"/>
            <w:shd w:val="clear" w:color="auto" w:fill="CFF0FC"/>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yet be purchased under</w:t>
            </w:r>
          </w:p>
        </w:tc>
      </w:tr>
      <w:tr>
        <w:trPr>
          <w:trHeight w:val="254"/>
        </w:trPr>
        <w:tc>
          <w:tcPr>
            <w:tcW w:w="3780" w:type="dxa"/>
            <w:vAlign w:val="bottom"/>
            <w:shd w:val="clear" w:color="auto" w:fill="CFF0FC"/>
          </w:tcPr>
          <w:p>
            <w:pPr>
              <w:ind w:left="1660"/>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shd w:val="clear" w:color="auto" w:fill="CFF0FC"/>
          </w:tcPr>
          <w:p>
            <w:pPr>
              <w:spacing w:after="0"/>
              <w:rPr>
                <w:sz w:val="22"/>
                <w:szCs w:val="22"/>
                <w:color w:val="auto"/>
              </w:rPr>
            </w:pPr>
          </w:p>
        </w:tc>
        <w:tc>
          <w:tcPr>
            <w:tcW w:w="1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shares purchased</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80" w:type="dxa"/>
            <w:vAlign w:val="bottom"/>
            <w:shd w:val="clear" w:color="auto" w:fill="CFF0FC"/>
          </w:tcPr>
          <w:p>
            <w:pPr>
              <w:jc w:val="center"/>
              <w:ind w:right="110"/>
              <w:spacing w:after="0" w:line="255" w:lineRule="exact"/>
              <w:rPr>
                <w:sz w:val="20"/>
                <w:szCs w:val="20"/>
                <w:color w:val="auto"/>
              </w:rPr>
            </w:pPr>
            <w:r>
              <w:rPr>
                <w:rFonts w:ascii="Times New Roman" w:cs="Times New Roman" w:eastAsia="Times New Roman" w:hAnsi="Times New Roman"/>
                <w:sz w:val="18"/>
                <w:szCs w:val="18"/>
                <w:color w:val="auto"/>
                <w:w w:val="94"/>
              </w:rPr>
              <w:t xml:space="preserve">per share </w:t>
            </w:r>
            <w:r>
              <w:rPr>
                <w:rFonts w:ascii="Times New Roman" w:cs="Times New Roman" w:eastAsia="Times New Roman" w:hAnsi="Times New Roman"/>
                <w:sz w:val="24"/>
                <w:szCs w:val="24"/>
                <w:color w:val="auto"/>
                <w:w w:val="94"/>
                <w:vertAlign w:val="superscript"/>
              </w:rPr>
              <w:t>(1)</w:t>
            </w:r>
          </w:p>
        </w:tc>
        <w:tc>
          <w:tcPr>
            <w:tcW w:w="220" w:type="dxa"/>
            <w:vAlign w:val="bottom"/>
            <w:shd w:val="clear" w:color="auto" w:fill="CFF0FC"/>
          </w:tcPr>
          <w:p>
            <w:pPr>
              <w:spacing w:after="0"/>
              <w:rPr>
                <w:sz w:val="22"/>
                <w:szCs w:val="22"/>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plan</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800" w:type="dxa"/>
            <w:vAlign w:val="bottom"/>
            <w:gridSpan w:val="2"/>
            <w:shd w:val="clear" w:color="auto" w:fill="CFF0FC"/>
          </w:tcPr>
          <w:p>
            <w:pPr>
              <w:jc w:val="center"/>
              <w:ind w:right="280"/>
              <w:spacing w:after="0" w:line="255" w:lineRule="exact"/>
              <w:rPr>
                <w:sz w:val="20"/>
                <w:szCs w:val="20"/>
                <w:color w:val="auto"/>
              </w:rPr>
            </w:pPr>
            <w:r>
              <w:rPr>
                <w:rFonts w:ascii="Times New Roman" w:cs="Times New Roman" w:eastAsia="Times New Roman" w:hAnsi="Times New Roman"/>
                <w:sz w:val="18"/>
                <w:szCs w:val="18"/>
                <w:color w:val="auto"/>
                <w:w w:val="94"/>
              </w:rPr>
              <w:t xml:space="preserve">the plan </w:t>
            </w:r>
            <w:r>
              <w:rPr>
                <w:rFonts w:ascii="Times New Roman" w:cs="Times New Roman" w:eastAsia="Times New Roman" w:hAnsi="Times New Roman"/>
                <w:sz w:val="24"/>
                <w:szCs w:val="24"/>
                <w:color w:val="auto"/>
                <w:w w:val="94"/>
                <w:vertAlign w:val="superscript"/>
              </w:rPr>
              <w:t>(1)</w:t>
            </w:r>
          </w:p>
        </w:tc>
      </w:tr>
      <w:tr>
        <w:trPr>
          <w:trHeight w:val="209"/>
        </w:trPr>
        <w:tc>
          <w:tcPr>
            <w:tcW w:w="37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August 4, 2024 to August 31, 2024</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 2024 to October 5, 2024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1,859,260</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1,859,260</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9,702,183</w:t>
            </w:r>
          </w:p>
        </w:tc>
        <w:tc>
          <w:tcPr>
            <w:tcW w:w="100" w:type="dxa"/>
            <w:vAlign w:val="bottom"/>
          </w:tcPr>
          <w:p>
            <w:pPr>
              <w:spacing w:after="0"/>
              <w:rPr>
                <w:sz w:val="18"/>
                <w:szCs w:val="18"/>
                <w:color w:val="auto"/>
              </w:rPr>
            </w:pPr>
          </w:p>
        </w:tc>
      </w:tr>
      <w:tr>
        <w:trPr>
          <w:trHeight w:val="216"/>
        </w:trPr>
        <w:tc>
          <w:tcPr>
            <w:tcW w:w="3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6, 2024 to November 2, 2024</w:t>
            </w:r>
          </w:p>
        </w:tc>
        <w:tc>
          <w:tcPr>
            <w:tcW w:w="1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1,728,211</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1,728,211</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4,790,664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3,587,471</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3,587,471</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4,790,664</w:t>
            </w:r>
          </w:p>
        </w:tc>
        <w:tc>
          <w:tcPr>
            <w:tcW w:w="100" w:type="dxa"/>
            <w:vAlign w:val="bottom"/>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-728345</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-728345</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-728345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-728345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-170815</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-170815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-170815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120" w:firstLine="8"/>
        <w:spacing w:after="0" w:line="282" w:lineRule="auto"/>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 and the approximate dollar value of shares that may yet be purchased under the plan excludes the accrual of excise tax of $0.1 million as of November 2, 2024.</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During the three months ended November 2, 2024, none of our directors or officers (as defined in Rule 16a-1(f) of the Securities Exchange Act of 1934, as amended) adopted or terminated a Rule 10b5-1 trading arrangement or non-Rule 10b5-1 trading arrangement (as such terms are defined in Item 408 of Regulation S-K of the Securities Act of 1933, as amended).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59"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8"/>
          </w:tcPr>
          <w:p>
            <w:pPr>
              <w:spacing w:after="0"/>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Second Amended and Restated 2016 Incentive Compensation Plan (included as Exhibit 10.1 to the Company's Current Report on Form 8-K</w:t>
              </w:r>
            </w:hyperlink>
          </w:p>
        </w:tc>
      </w:tr>
      <w:tr>
        <w:trPr>
          <w:trHeight w:val="20"/>
        </w:trPr>
        <w:tc>
          <w:tcPr>
            <w:tcW w:w="9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100" w:type="dxa"/>
            <w:vAlign w:val="bottom"/>
            <w:gridSpan w:val="8"/>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filed August 8, 2024, and incorporated herein as reference).</w:t>
              </w:r>
            </w:hyperlink>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800" w:type="dxa"/>
            <w:vAlign w:val="bottom"/>
            <w:tcBorders>
              <w:right w:val="single" w:sz="8" w:color="0000EE"/>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the Company pursuant to Rule 13a-14(a) under the Securities Exchange Act of 1934*.</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36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the Company pursuant to Rule 13a-14(a) under the Securities Exchange Act of 1934.*</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366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w:t>
            </w:r>
          </w:p>
        </w:tc>
      </w:tr>
      <w:tr>
        <w:trPr>
          <w:trHeight w:val="20"/>
        </w:trPr>
        <w:tc>
          <w:tcPr>
            <w:tcW w:w="9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41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w:t>
            </w:r>
          </w:p>
        </w:tc>
      </w:tr>
      <w:tr>
        <w:trPr>
          <w:trHeight w:val="20"/>
        </w:trPr>
        <w:tc>
          <w:tcPr>
            <w:tcW w:w="96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41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Inline XBRL Instance Document. The instance document does not appear in the Interactive Data File because its XBRL tags are embedded</w:t>
            </w:r>
          </w:p>
        </w:tc>
        <w:tc>
          <w:tcPr>
            <w:tcW w:w="20" w:type="dxa"/>
            <w:vAlign w:val="bottom"/>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within the Inline XBRL document.</w:t>
            </w: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Inline XBRL Taxonomy Extension Schema With Embedded Linkbase Document.</w:t>
            </w:r>
          </w:p>
        </w:tc>
        <w:tc>
          <w:tcPr>
            <w:tcW w:w="4220" w:type="dxa"/>
            <w:vAlign w:val="bottom"/>
            <w:gridSpan w:val="4"/>
          </w:tcPr>
          <w:p>
            <w:pPr>
              <w:spacing w:after="0"/>
              <w:rPr>
                <w:sz w:val="24"/>
                <w:szCs w:val="24"/>
                <w:color w:val="auto"/>
              </w:rPr>
            </w:pPr>
          </w:p>
        </w:tc>
      </w:tr>
    </w:tbl>
    <w:p>
      <w:pPr>
        <w:spacing w:after="0" w:line="225" w:lineRule="exact"/>
        <w:rPr>
          <w:sz w:val="20"/>
          <w:szCs w:val="20"/>
          <w:color w:val="auto"/>
        </w:rPr>
      </w:pPr>
    </w:p>
    <w:p>
      <w:pPr>
        <w:ind w:left="1020" w:right="20" w:hanging="938"/>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Cover Page Interactive Data File – The cover page interactive data file does not appear in the interactive data file because its XBRL tags are embedded within the Inline XBRL document.</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4" w:right="439" w:bottom="1440" w:gutter="0" w:footer="0" w:header="0"/>
        </w:sectPr>
      </w:pPr>
    </w:p>
    <w:bookmarkStart w:id="27" w:name="page28"/>
    <w:bookmarkEnd w:id="27"/>
    <w:p>
      <w:pPr>
        <w:jc w:val="center"/>
        <w:ind w:right="4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64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73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DESTINATION XL GROUP, INC.</w:t>
            </w:r>
          </w:p>
        </w:tc>
      </w:tr>
      <w:tr>
        <w:trPr>
          <w:trHeight w:val="45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22, 2024</w:t>
            </w:r>
          </w:p>
        </w:tc>
        <w:tc>
          <w:tcPr>
            <w:tcW w:w="28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F. Cooney</w:t>
            </w:r>
          </w:p>
        </w:tc>
      </w:tr>
      <w:tr>
        <w:trPr>
          <w:trHeight w:val="211"/>
        </w:trPr>
        <w:tc>
          <w:tcPr>
            <w:tcW w:w="39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F. Cooney</w:t>
            </w:r>
          </w:p>
        </w:tc>
      </w:tr>
    </w:tbl>
    <w:p>
      <w:pPr>
        <w:ind w:left="6780"/>
        <w:spacing w:after="0"/>
        <w:rPr>
          <w:sz w:val="20"/>
          <w:szCs w:val="20"/>
          <w:color w:val="auto"/>
        </w:rPr>
      </w:pPr>
      <w:r>
        <w:rPr>
          <w:rFonts w:ascii="Times New Roman" w:cs="Times New Roman" w:eastAsia="Times New Roman" w:hAnsi="Times New Roman"/>
          <w:sz w:val="18"/>
          <w:szCs w:val="18"/>
          <w:color w:val="auto"/>
        </w:rPr>
        <w:t>Senior Vice President, Chief Accounting Officer and</w:t>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Corporate Controller (Duly Authorized Officer and Chief</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Harvey S. Kanter, certify that:</w:t>
      </w:r>
    </w:p>
    <w:p>
      <w:pPr>
        <w:spacing w:after="0" w:line="117"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Destination XL Group,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620" w:val="left"/>
          <w:tab w:leader="none" w:pos="6760" w:val="left"/>
          <w:tab w:leader="none" w:pos="8400" w:val="left"/>
        </w:tabs>
        <w:rPr>
          <w:sz w:val="20"/>
          <w:szCs w:val="20"/>
          <w:color w:val="auto"/>
        </w:rPr>
      </w:pPr>
      <w:r>
        <w:rPr>
          <w:rFonts w:ascii="Times New Roman" w:cs="Times New Roman" w:eastAsia="Times New Roman" w:hAnsi="Times New Roman"/>
          <w:sz w:val="18"/>
          <w:szCs w:val="18"/>
          <w:color w:val="auto"/>
        </w:rPr>
        <w:t>Date:</w:t>
        <w:tab/>
        <w:t>November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17145</wp:posOffset>
            </wp:positionV>
            <wp:extent cx="26485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Harvey S. Kanter</w:t>
      </w: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H. Stratton, Jr., certify that:</w:t>
      </w:r>
    </w:p>
    <w:p>
      <w:pPr>
        <w:spacing w:after="0" w:line="117"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Destination XL Group,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620" w:val="left"/>
          <w:tab w:leader="none" w:pos="6760" w:val="left"/>
          <w:tab w:leader="none" w:pos="8300" w:val="left"/>
        </w:tabs>
        <w:rPr>
          <w:sz w:val="20"/>
          <w:szCs w:val="20"/>
          <w:color w:val="auto"/>
        </w:rPr>
      </w:pPr>
      <w:r>
        <w:rPr>
          <w:rFonts w:ascii="Times New Roman" w:cs="Times New Roman" w:eastAsia="Times New Roman" w:hAnsi="Times New Roman"/>
          <w:sz w:val="18"/>
          <w:szCs w:val="18"/>
          <w:color w:val="auto"/>
        </w:rPr>
        <w:t>Date:</w:t>
        <w:tab/>
        <w:t>November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17145</wp:posOffset>
            </wp:positionV>
            <wp:extent cx="26485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2"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Peter H. Stratton, Jr.</w:t>
      </w: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Destination XL Group, Inc. (the “Company”) for the period ended November 2, 2024, as filed with the Securities and Exchange Commission on the date hereof (the “Report”), I, Harvey S. Kanter, Chief Executive Officer of the Company, certify pursuant to 18 U.S.C. § 1350, as adopted pursuant to § 906 of the Sarbanes-Oxley Act of 2002, that:</w:t>
      </w:r>
    </w:p>
    <w:p>
      <w:pPr>
        <w:spacing w:after="0" w:line="68" w:lineRule="exact"/>
        <w:rPr>
          <w:sz w:val="20"/>
          <w:szCs w:val="20"/>
          <w:color w:val="auto"/>
        </w:rPr>
      </w:pPr>
    </w:p>
    <w:p>
      <w:pPr>
        <w:ind w:left="1400" w:right="480" w:hanging="374"/>
        <w:spacing w:after="0" w:line="282" w:lineRule="auto"/>
        <w:tabs>
          <w:tab w:leader="none" w:pos="12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3" w:lineRule="exact"/>
        <w:rPr>
          <w:rFonts w:ascii="Times New Roman" w:cs="Times New Roman" w:eastAsia="Times New Roman" w:hAnsi="Times New Roman"/>
          <w:sz w:val="18"/>
          <w:szCs w:val="18"/>
          <w:color w:val="auto"/>
        </w:rPr>
      </w:pPr>
    </w:p>
    <w:p>
      <w:pPr>
        <w:ind w:left="1400" w:right="260" w:hanging="374"/>
        <w:spacing w:after="0" w:line="282" w:lineRule="auto"/>
        <w:tabs>
          <w:tab w:leader="none" w:pos="12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0" w:lineRule="exact"/>
        <w:rPr>
          <w:sz w:val="20"/>
          <w:szCs w:val="20"/>
          <w:color w:val="auto"/>
        </w:rPr>
      </w:pPr>
    </w:p>
    <w:p>
      <w:pPr>
        <w:ind w:left="20"/>
        <w:spacing w:after="0"/>
        <w:tabs>
          <w:tab w:leader="none" w:pos="620" w:val="left"/>
          <w:tab w:leader="none" w:pos="6760" w:val="left"/>
          <w:tab w:leader="none" w:pos="8380" w:val="left"/>
        </w:tabs>
        <w:rPr>
          <w:sz w:val="20"/>
          <w:szCs w:val="20"/>
          <w:color w:val="auto"/>
        </w:rPr>
      </w:pPr>
      <w:r>
        <w:rPr>
          <w:rFonts w:ascii="Times New Roman" w:cs="Times New Roman" w:eastAsia="Times New Roman" w:hAnsi="Times New Roman"/>
          <w:sz w:val="18"/>
          <w:szCs w:val="18"/>
          <w:color w:val="auto"/>
        </w:rPr>
        <w:t>Date:</w:t>
        <w:tab/>
        <w:t>November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Harvey S. Kanter</w:t>
      </w:r>
    </w:p>
    <w:p>
      <w:pPr>
        <w:spacing w:after="0" w:line="8"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Harvey S. Kanter</w:t>
      </w: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90"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Destination XL Group, Inc. (the “Company”) for the period ended November 2, 2024,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68" w:lineRule="exact"/>
        <w:rPr>
          <w:sz w:val="20"/>
          <w:szCs w:val="20"/>
          <w:color w:val="auto"/>
        </w:rPr>
      </w:pPr>
    </w:p>
    <w:p>
      <w:pPr>
        <w:ind w:left="1400" w:right="480" w:hanging="374"/>
        <w:spacing w:after="0" w:line="282" w:lineRule="auto"/>
        <w:tabs>
          <w:tab w:leader="none" w:pos="12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3" w:lineRule="exact"/>
        <w:rPr>
          <w:rFonts w:ascii="Times New Roman" w:cs="Times New Roman" w:eastAsia="Times New Roman" w:hAnsi="Times New Roman"/>
          <w:sz w:val="18"/>
          <w:szCs w:val="18"/>
          <w:color w:val="auto"/>
        </w:rPr>
      </w:pPr>
    </w:p>
    <w:p>
      <w:pPr>
        <w:ind w:left="1400" w:right="260" w:hanging="374"/>
        <w:spacing w:after="0" w:line="282" w:lineRule="auto"/>
        <w:tabs>
          <w:tab w:leader="none" w:pos="12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0" w:lineRule="exact"/>
        <w:rPr>
          <w:sz w:val="20"/>
          <w:szCs w:val="20"/>
          <w:color w:val="auto"/>
        </w:rPr>
      </w:pPr>
    </w:p>
    <w:p>
      <w:pPr>
        <w:ind w:left="20"/>
        <w:spacing w:after="0"/>
        <w:tabs>
          <w:tab w:leader="none" w:pos="560" w:val="left"/>
          <w:tab w:leader="none" w:pos="6760" w:val="left"/>
          <w:tab w:leader="none" w:pos="8280" w:val="left"/>
        </w:tabs>
        <w:rPr>
          <w:sz w:val="20"/>
          <w:szCs w:val="20"/>
          <w:color w:val="auto"/>
        </w:rPr>
      </w:pPr>
      <w:r>
        <w:rPr>
          <w:rFonts w:ascii="Times New Roman" w:cs="Times New Roman" w:eastAsia="Times New Roman" w:hAnsi="Times New Roman"/>
          <w:sz w:val="18"/>
          <w:szCs w:val="18"/>
          <w:color w:val="auto"/>
        </w:rPr>
        <w:t>Date:</w:t>
        <w:tab/>
        <w:t>November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Peter H. Stratton, Jr.</w:t>
      </w:r>
    </w:p>
    <w:p>
      <w:pPr>
        <w:spacing w:after="0" w:line="8"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Peter H. Stratton, Jr.</w:t>
      </w: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90"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04"/>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77" Type="http://schemas.openxmlformats.org/officeDocument/2006/relationships/hyperlink" Target="https://www.sec.gov/Archives/edgar/data/813298/000095017024094163/dxlg-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2024-11-22T13:25:57Z</dcterms:created>
  <dcterms:modified xsi:type="dcterms:W3CDTF">2024-11-22T13:25:57Z</dcterms:modified>
</cp:coreProperties>
</file>