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Boyle Jack</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4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DESTINATION XL GROUP,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DXLG</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w:t>
              </w:r>
            </w:hyperlink>
          </w:p>
        </w:tc>
        <w:tc>
          <w:tcPr>
            <w:tcW w:w="288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08/28/2023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$0.01 par value</w:t>
            </w: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08/28/2023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33,175</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4.2467</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479,432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$4.17 to $4.25,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Robert S. Molloy, Attorney-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08/30/2023</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in-Fact for Jack Boyle</w:t>
            </w:r>
          </w:p>
        </w:tc>
        <w:tc>
          <w:tcPr>
            <w:tcW w:w="4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6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263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2023-08-30T15:19:47Z</dcterms:created>
  <dcterms:modified xsi:type="dcterms:W3CDTF">2023-08-30T15:19:47Z</dcterms:modified>
</cp:coreProperties>
</file>