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6709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09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539"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Dhoot Ujjwal</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8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29"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09/26/2022</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40" w:space="100"/>
            <w:col w:w="7240"/>
          </w:cols>
          <w:pgMar w:left="460" w:top="221" w:right="359" w:bottom="5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6"/>
          </w:tcPr>
          <w:p>
            <w:pPr>
              <w:ind w:left="100"/>
              <w:spacing w:after="0" w:line="125"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1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gridSpan w:val="2"/>
          </w:tcPr>
          <w:p>
            <w:pPr>
              <w:jc w:val="center"/>
              <w:ind w:left="630"/>
              <w:spacing w:after="0"/>
              <w:rPr>
                <w:sz w:val="20"/>
                <w:szCs w:val="20"/>
                <w:color w:val="auto"/>
              </w:rPr>
            </w:pPr>
            <w:r>
              <w:rPr>
                <w:rFonts w:ascii="Arial" w:cs="Arial" w:eastAsia="Arial" w:hAnsi="Arial"/>
                <w:sz w:val="17"/>
                <w:szCs w:val="17"/>
                <w:color w:val="0000FF"/>
                <w:w w:val="89"/>
              </w:rPr>
              <w:t>09/26/2022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center"/>
              <w:ind w:left="132"/>
              <w:spacing w:after="0"/>
              <w:rPr>
                <w:sz w:val="20"/>
                <w:szCs w:val="20"/>
                <w:color w:val="auto"/>
              </w:rPr>
            </w:pPr>
            <w:r>
              <w:rPr>
                <w:rFonts w:ascii="Arial" w:cs="Arial" w:eastAsia="Arial" w:hAnsi="Arial"/>
                <w:sz w:val="17"/>
                <w:szCs w:val="17"/>
                <w:color w:val="0000FF"/>
                <w:w w:val="88"/>
              </w:rPr>
              <w:t>74,292</w:t>
            </w:r>
          </w:p>
        </w:tc>
        <w:tc>
          <w:tcPr>
            <w:tcW w:w="620" w:type="dxa"/>
            <w:vAlign w:val="bottom"/>
          </w:tcPr>
          <w:p>
            <w:pPr>
              <w:ind w:left="34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0.53</w:t>
            </w:r>
          </w:p>
        </w:tc>
        <w:tc>
          <w:tcPr>
            <w:tcW w:w="1280" w:type="dxa"/>
            <w:vAlign w:val="bottom"/>
            <w:gridSpan w:val="3"/>
          </w:tcPr>
          <w:p>
            <w:pPr>
              <w:jc w:val="right"/>
              <w:ind w:right="301"/>
              <w:spacing w:after="0"/>
              <w:rPr>
                <w:sz w:val="20"/>
                <w:szCs w:val="20"/>
                <w:color w:val="auto"/>
              </w:rPr>
            </w:pPr>
            <w:r>
              <w:rPr>
                <w:rFonts w:ascii="Arial" w:cs="Arial" w:eastAsia="Arial" w:hAnsi="Arial"/>
                <w:sz w:val="17"/>
                <w:szCs w:val="17"/>
                <w:color w:val="0000FF"/>
              </w:rPr>
              <w:t>148,711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gridSpan w:val="2"/>
          </w:tcPr>
          <w:p>
            <w:pPr>
              <w:jc w:val="center"/>
              <w:ind w:left="630"/>
              <w:spacing w:after="0"/>
              <w:rPr>
                <w:sz w:val="20"/>
                <w:szCs w:val="20"/>
                <w:color w:val="auto"/>
              </w:rPr>
            </w:pPr>
            <w:r>
              <w:rPr>
                <w:rFonts w:ascii="Arial" w:cs="Arial" w:eastAsia="Arial" w:hAnsi="Arial"/>
                <w:sz w:val="17"/>
                <w:szCs w:val="17"/>
                <w:color w:val="0000FF"/>
                <w:w w:val="89"/>
              </w:rPr>
              <w:t>09/26/2022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center"/>
              <w:ind w:left="132"/>
              <w:spacing w:after="0"/>
              <w:rPr>
                <w:sz w:val="20"/>
                <w:szCs w:val="20"/>
                <w:color w:val="auto"/>
              </w:rPr>
            </w:pPr>
            <w:r>
              <w:rPr>
                <w:rFonts w:ascii="Arial" w:cs="Arial" w:eastAsia="Arial" w:hAnsi="Arial"/>
                <w:sz w:val="17"/>
                <w:szCs w:val="17"/>
                <w:color w:val="0000FF"/>
                <w:w w:val="88"/>
              </w:rPr>
              <w:t>18,115</w:t>
            </w:r>
          </w:p>
        </w:tc>
        <w:tc>
          <w:tcPr>
            <w:tcW w:w="620" w:type="dxa"/>
            <w:vAlign w:val="bottom"/>
          </w:tcPr>
          <w:p>
            <w:pPr>
              <w:ind w:left="34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0.69</w:t>
            </w:r>
          </w:p>
        </w:tc>
        <w:tc>
          <w:tcPr>
            <w:tcW w:w="1280" w:type="dxa"/>
            <w:vAlign w:val="bottom"/>
            <w:gridSpan w:val="3"/>
          </w:tcPr>
          <w:p>
            <w:pPr>
              <w:jc w:val="right"/>
              <w:ind w:right="281"/>
              <w:spacing w:after="0"/>
              <w:rPr>
                <w:sz w:val="20"/>
                <w:szCs w:val="20"/>
                <w:color w:val="auto"/>
              </w:rPr>
            </w:pPr>
            <w:r>
              <w:rPr>
                <w:rFonts w:ascii="Arial" w:cs="Arial" w:eastAsia="Arial" w:hAnsi="Arial"/>
                <w:sz w:val="17"/>
                <w:szCs w:val="17"/>
                <w:color w:val="0000FF"/>
              </w:rPr>
              <w:t>166,826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gridSpan w:val="2"/>
          </w:tcPr>
          <w:p>
            <w:pPr>
              <w:jc w:val="center"/>
              <w:ind w:left="630"/>
              <w:spacing w:after="0"/>
              <w:rPr>
                <w:sz w:val="20"/>
                <w:szCs w:val="20"/>
                <w:color w:val="auto"/>
              </w:rPr>
            </w:pPr>
            <w:r>
              <w:rPr>
                <w:rFonts w:ascii="Arial" w:cs="Arial" w:eastAsia="Arial" w:hAnsi="Arial"/>
                <w:sz w:val="17"/>
                <w:szCs w:val="17"/>
                <w:color w:val="0000FF"/>
                <w:w w:val="89"/>
              </w:rPr>
              <w:t>09/26/2022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center"/>
              <w:ind w:left="132"/>
              <w:spacing w:after="0"/>
              <w:rPr>
                <w:sz w:val="20"/>
                <w:szCs w:val="20"/>
                <w:color w:val="auto"/>
              </w:rPr>
            </w:pPr>
            <w:r>
              <w:rPr>
                <w:rFonts w:ascii="Arial" w:cs="Arial" w:eastAsia="Arial" w:hAnsi="Arial"/>
                <w:sz w:val="17"/>
                <w:szCs w:val="17"/>
                <w:color w:val="0000FF"/>
                <w:w w:val="89"/>
              </w:rPr>
              <w:t>3,449</w:t>
            </w:r>
          </w:p>
        </w:tc>
        <w:tc>
          <w:tcPr>
            <w:tcW w:w="620" w:type="dxa"/>
            <w:vAlign w:val="bottom"/>
          </w:tcPr>
          <w:p>
            <w:pPr>
              <w:ind w:left="34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0.75</w:t>
            </w:r>
          </w:p>
        </w:tc>
        <w:tc>
          <w:tcPr>
            <w:tcW w:w="1280" w:type="dxa"/>
            <w:vAlign w:val="bottom"/>
            <w:gridSpan w:val="3"/>
          </w:tcPr>
          <w:p>
            <w:pPr>
              <w:jc w:val="right"/>
              <w:ind w:right="281"/>
              <w:spacing w:after="0"/>
              <w:rPr>
                <w:sz w:val="20"/>
                <w:szCs w:val="20"/>
                <w:color w:val="auto"/>
              </w:rPr>
            </w:pPr>
            <w:r>
              <w:rPr>
                <w:rFonts w:ascii="Arial" w:cs="Arial" w:eastAsia="Arial" w:hAnsi="Arial"/>
                <w:sz w:val="17"/>
                <w:szCs w:val="17"/>
                <w:color w:val="0000FF"/>
              </w:rPr>
              <w:t>170,275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tcBorders>
              <w:bottom w:val="single" w:sz="8" w:color="2C2C2C"/>
            </w:tcBorders>
            <w:gridSpan w:val="2"/>
          </w:tcPr>
          <w:p>
            <w:pPr>
              <w:jc w:val="center"/>
              <w:ind w:left="630"/>
              <w:spacing w:after="0"/>
              <w:rPr>
                <w:sz w:val="20"/>
                <w:szCs w:val="20"/>
                <w:color w:val="auto"/>
              </w:rPr>
            </w:pPr>
            <w:r>
              <w:rPr>
                <w:rFonts w:ascii="Arial" w:cs="Arial" w:eastAsia="Arial" w:hAnsi="Arial"/>
                <w:sz w:val="17"/>
                <w:szCs w:val="17"/>
                <w:color w:val="0000FF"/>
                <w:w w:val="89"/>
              </w:rPr>
              <w:t>09/27/2022</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34,400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5.5</w:t>
            </w:r>
            <w:r>
              <w:rPr>
                <w:rFonts w:ascii="Arial" w:cs="Arial" w:eastAsia="Arial" w:hAnsi="Arial"/>
                <w:sz w:val="21"/>
                <w:szCs w:val="21"/>
                <w:color w:val="008000"/>
                <w:w w:val="83"/>
                <w:vertAlign w:val="superscript"/>
              </w:rPr>
              <w:t>(1)</w:t>
            </w:r>
          </w:p>
        </w:tc>
        <w:tc>
          <w:tcPr>
            <w:tcW w:w="1280" w:type="dxa"/>
            <w:vAlign w:val="bottom"/>
            <w:tcBorders>
              <w:bottom w:val="single" w:sz="8" w:color="2C2C2C"/>
            </w:tcBorders>
            <w:gridSpan w:val="3"/>
          </w:tcPr>
          <w:p>
            <w:pPr>
              <w:jc w:val="right"/>
              <w:ind w:right="281"/>
              <w:spacing w:after="0"/>
              <w:rPr>
                <w:sz w:val="20"/>
                <w:szCs w:val="20"/>
                <w:color w:val="auto"/>
              </w:rPr>
            </w:pPr>
            <w:r>
              <w:rPr>
                <w:rFonts w:ascii="Arial" w:cs="Arial" w:eastAsia="Arial" w:hAnsi="Arial"/>
                <w:sz w:val="17"/>
                <w:szCs w:val="17"/>
                <w:color w:val="0000FF"/>
              </w:rPr>
              <w:t>135,875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6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0000FF"/>
                <w:w w:val="99"/>
              </w:rPr>
              <w:t>06/11/2021</w:t>
            </w:r>
            <w:r>
              <w:rPr>
                <w:rFonts w:ascii="Arial" w:cs="Arial" w:eastAsia="Arial" w:hAnsi="Arial"/>
                <w:sz w:val="21"/>
                <w:szCs w:val="21"/>
                <w:color w:val="008000"/>
                <w:w w:val="99"/>
                <w:vertAlign w:val="superscript"/>
              </w:rPr>
              <w:t>(2)</w:t>
            </w:r>
          </w:p>
        </w:tc>
        <w:tc>
          <w:tcPr>
            <w:tcW w:w="7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74,292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74,292</w:t>
            </w:r>
            <w:r>
              <w:rPr>
                <w:rFonts w:ascii="Arial" w:cs="Arial" w:eastAsia="Arial" w:hAnsi="Arial"/>
                <w:sz w:val="21"/>
                <w:szCs w:val="21"/>
                <w:color w:val="008000"/>
                <w:w w:val="84"/>
                <w:vertAlign w:val="superscript"/>
              </w:rPr>
              <w:t>(2)</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09/26/2022</w:t>
            </w:r>
          </w:p>
        </w:tc>
        <w:tc>
          <w:tcPr>
            <w:tcW w:w="112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jc w:val="center"/>
              <w:ind w:left="241"/>
              <w:spacing w:after="0" w:line="138" w:lineRule="exact"/>
              <w:rPr>
                <w:sz w:val="20"/>
                <w:szCs w:val="20"/>
                <w:color w:val="auto"/>
              </w:rPr>
            </w:pPr>
            <w:r>
              <w:rPr>
                <w:rFonts w:ascii="Arial" w:cs="Arial" w:eastAsia="Arial" w:hAnsi="Arial"/>
                <w:sz w:val="13"/>
                <w:szCs w:val="13"/>
                <w:color w:val="0000FF"/>
                <w:w w:val="90"/>
              </w:rPr>
              <w:t>74,292</w:t>
            </w:r>
          </w:p>
        </w:tc>
        <w:tc>
          <w:tcPr>
            <w:tcW w:w="860" w:type="dxa"/>
            <w:vAlign w:val="bottom"/>
            <w:gridSpan w:val="2"/>
            <w:vMerge w:val="continue"/>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3"/>
                <w:szCs w:val="13"/>
                <w:color w:val="0000FF"/>
              </w:rPr>
              <w:t>06/11/2030</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(3)</w:t>
            </w:r>
          </w:p>
        </w:tc>
        <w:tc>
          <w:tcPr>
            <w:tcW w:w="7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8"/>
              </w:rPr>
              <w:t>18,115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54,346</w:t>
            </w:r>
            <w:r>
              <w:rPr>
                <w:rFonts w:ascii="Arial" w:cs="Arial" w:eastAsia="Arial" w:hAnsi="Arial"/>
                <w:sz w:val="21"/>
                <w:szCs w:val="21"/>
                <w:color w:val="008000"/>
                <w:w w:val="84"/>
                <w:vertAlign w:val="superscript"/>
              </w:rPr>
              <w:t>(3)</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09/26/2022</w:t>
            </w:r>
          </w:p>
        </w:tc>
        <w:tc>
          <w:tcPr>
            <w:tcW w:w="112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jc w:val="center"/>
              <w:ind w:left="241"/>
              <w:spacing w:after="0" w:line="138" w:lineRule="exact"/>
              <w:rPr>
                <w:sz w:val="20"/>
                <w:szCs w:val="20"/>
                <w:color w:val="auto"/>
              </w:rPr>
            </w:pPr>
            <w:r>
              <w:rPr>
                <w:rFonts w:ascii="Arial" w:cs="Arial" w:eastAsia="Arial" w:hAnsi="Arial"/>
                <w:sz w:val="13"/>
                <w:szCs w:val="13"/>
                <w:color w:val="0000FF"/>
                <w:w w:val="90"/>
              </w:rPr>
              <w:t>18,115</w:t>
            </w:r>
          </w:p>
        </w:tc>
        <w:tc>
          <w:tcPr>
            <w:tcW w:w="860" w:type="dxa"/>
            <w:vAlign w:val="bottom"/>
            <w:gridSpan w:val="2"/>
            <w:vMerge w:val="continue"/>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3"/>
                <w:szCs w:val="13"/>
                <w:color w:val="0000FF"/>
              </w:rPr>
              <w:t>03/08/2031</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(4)</w:t>
            </w:r>
          </w:p>
        </w:tc>
        <w:tc>
          <w:tcPr>
            <w:tcW w:w="7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3,449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6,900</w:t>
            </w:r>
            <w:r>
              <w:rPr>
                <w:rFonts w:ascii="Arial" w:cs="Arial" w:eastAsia="Arial" w:hAnsi="Arial"/>
                <w:sz w:val="21"/>
                <w:szCs w:val="21"/>
                <w:color w:val="008000"/>
                <w:w w:val="84"/>
                <w:vertAlign w:val="superscript"/>
              </w:rPr>
              <w:t>(4)</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09/26/2022</w:t>
            </w:r>
          </w:p>
        </w:tc>
        <w:tc>
          <w:tcPr>
            <w:tcW w:w="1120" w:type="dxa"/>
            <w:vAlign w:val="bottom"/>
          </w:tcPr>
          <w:p>
            <w:pPr>
              <w:spacing w:after="0"/>
              <w:rPr>
                <w:sz w:val="5"/>
                <w:szCs w:val="5"/>
                <w:color w:val="auto"/>
              </w:rPr>
            </w:pPr>
          </w:p>
        </w:tc>
        <w:tc>
          <w:tcPr>
            <w:tcW w:w="7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41"/>
              <w:spacing w:after="0" w:line="141" w:lineRule="exact"/>
              <w:rPr>
                <w:sz w:val="20"/>
                <w:szCs w:val="20"/>
                <w:color w:val="auto"/>
              </w:rPr>
            </w:pPr>
            <w:r>
              <w:rPr>
                <w:rFonts w:ascii="Arial" w:cs="Arial" w:eastAsia="Arial" w:hAnsi="Arial"/>
                <w:sz w:val="13"/>
                <w:szCs w:val="13"/>
                <w:color w:val="0000FF"/>
                <w:w w:val="85"/>
              </w:rPr>
              <w:t>3,449</w:t>
            </w:r>
          </w:p>
        </w:tc>
        <w:tc>
          <w:tcPr>
            <w:tcW w:w="860" w:type="dxa"/>
            <w:vAlign w:val="bottom"/>
            <w:gridSpan w:val="2"/>
            <w:vMerge w:val="continue"/>
          </w:tcPr>
          <w:p>
            <w:pPr>
              <w:spacing w:after="0"/>
              <w:rPr>
                <w:sz w:val="5"/>
                <w:szCs w:val="5"/>
                <w:color w:val="auto"/>
              </w:rPr>
            </w:pPr>
          </w:p>
        </w:tc>
        <w:tc>
          <w:tcPr>
            <w:tcW w:w="700" w:type="dxa"/>
            <w:vAlign w:val="bottom"/>
            <w:vMerge w:val="restart"/>
          </w:tcPr>
          <w:p>
            <w:pPr>
              <w:spacing w:after="0" w:line="141" w:lineRule="exact"/>
              <w:rPr>
                <w:sz w:val="20"/>
                <w:szCs w:val="20"/>
                <w:color w:val="auto"/>
              </w:rPr>
            </w:pPr>
            <w:r>
              <w:rPr>
                <w:rFonts w:ascii="Arial" w:cs="Arial" w:eastAsia="Arial" w:hAnsi="Arial"/>
                <w:sz w:val="13"/>
                <w:szCs w:val="13"/>
                <w:color w:val="0000FF"/>
              </w:rPr>
              <w:t>03/09/2031</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6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 to $5.68,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31" w:lineRule="exact"/>
        <w:rPr>
          <w:rFonts w:ascii="Arial" w:cs="Arial" w:eastAsia="Arial" w:hAnsi="Arial"/>
          <w:sz w:val="13"/>
          <w:szCs w:val="13"/>
          <w:color w:val="008000"/>
        </w:rPr>
      </w:pPr>
    </w:p>
    <w:p>
      <w:pPr>
        <w:ind w:left="40" w:right="220" w:firstLine="1"/>
        <w:spacing w:after="0" w:line="31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non-qualified stock options represent the time-based portion of the 2020-2022 Long-Term Incentive Plan award to the Reporting Person. The options vest in four equal installments on June 11, 2021, April 1, 2022, April 1, 2023 and April 1, 2024. The unvested stock options are expected to be forfeited as a result of Mr. Dhoot's expected separation of service with the Company on October 11, 2022.</w:t>
      </w:r>
    </w:p>
    <w:p>
      <w:pPr>
        <w:ind w:left="40" w:right="240" w:firstLine="1"/>
        <w:spacing w:after="0" w:line="287"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non-qualified stock options represent the time-based portion of the 2021-2023 Long-Term Incentive Plan award to the Reporting Person. The options vest in four equal installments on April 1, 2022, April 1, 2023, April 1, 2024 and April 1, 2025. The unvested stock options are expected to be forfeited as a result of Mr. Dhoot's expected separation of service with the Company on October 11, 2022.</w:t>
      </w:r>
    </w:p>
    <w:p>
      <w:pPr>
        <w:spacing w:after="0" w:line="3" w:lineRule="exact"/>
        <w:rPr>
          <w:rFonts w:ascii="Arial" w:cs="Arial" w:eastAsia="Arial" w:hAnsi="Arial"/>
          <w:sz w:val="12"/>
          <w:szCs w:val="12"/>
          <w:color w:val="008000"/>
        </w:rPr>
      </w:pPr>
    </w:p>
    <w:p>
      <w:pPr>
        <w:ind w:left="40" w:right="220" w:firstLine="1"/>
        <w:spacing w:after="0" w:line="335"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non-qualified stock options represent a discretionary award to the Reporting Person pursuant to the Company's 2016 Incentive Compensation Plan. The options vest in three equal installments on March 9, 2022, March 9, 2023 and March 9, 2024. The unvested stock options are expected to be forfeited as a result of Mr. Dhoot's expected separation of service with the Company on October 11, 2022.</w:t>
      </w:r>
    </w:p>
    <w:tbl>
      <w:tblPr>
        <w:tblLayout w:type="fixed"/>
        <w:tblInd w:w="6600" w:type="dxa"/>
        <w:tblCellMar>
          <w:top w:w="0" w:type="dxa"/>
          <w:left w:w="0" w:type="dxa"/>
          <w:bottom w:w="0" w:type="dxa"/>
          <w:right w:w="0" w:type="dxa"/>
        </w:tblCellMar>
      </w:tblPr>
      <w:tr>
        <w:trPr>
          <w:trHeight w:val="181"/>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1"/>
              </w:rPr>
              <w:t>Robert S. Molloy, Attorney-in-</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6"/>
              </w:rPr>
              <w:t>09/28/2022</w:t>
            </w:r>
          </w:p>
        </w:tc>
        <w:tc>
          <w:tcPr>
            <w:tcW w:w="0" w:type="dxa"/>
            <w:vAlign w:val="bottom"/>
          </w:tcPr>
          <w:p>
            <w:pPr>
              <w:spacing w:after="0"/>
              <w:rPr>
                <w:sz w:val="1"/>
                <w:szCs w:val="1"/>
                <w:color w:val="auto"/>
              </w:rPr>
            </w:pPr>
          </w:p>
        </w:tc>
      </w:tr>
      <w:tr>
        <w:trPr>
          <w:trHeight w:val="83"/>
        </w:trPr>
        <w:tc>
          <w:tcPr>
            <w:tcW w:w="2060" w:type="dxa"/>
            <w:vAlign w:val="bottom"/>
            <w:gridSpan w:val="2"/>
            <w:vMerge w:val="restart"/>
          </w:tcPr>
          <w:p>
            <w:pPr>
              <w:spacing w:after="0" w:line="185" w:lineRule="exact"/>
              <w:rPr>
                <w:sz w:val="20"/>
                <w:szCs w:val="20"/>
                <w:color w:val="auto"/>
              </w:rPr>
            </w:pPr>
            <w:r>
              <w:rPr>
                <w:rFonts w:ascii="Arial" w:cs="Arial" w:eastAsia="Arial" w:hAnsi="Arial"/>
                <w:sz w:val="17"/>
                <w:szCs w:val="17"/>
                <w:color w:val="0000FF"/>
              </w:rPr>
              <w:t>Fact for Ujjwal Dhoot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5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29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2022-09-28T17:32:02Z</dcterms:created>
  <dcterms:modified xsi:type="dcterms:W3CDTF">2022-09-28T17:32:02Z</dcterms:modified>
</cp:coreProperties>
</file>