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28,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 Amendments to Articles of Incorporation or Bylaws; Change in Fiscal Year.</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November 28, 2012, the Board of Directors (the “Board”) of Casual Male Retail Group, Inc. (the “Company”) approved amended and restated By-Laws of the Company (the “By-Laws”). The By-Laws are intended primarily to update the prior Bylaws, which were last amended December 12, 2000, to reflect statutory and case law developments since the prior By-Laws were adopted and to include provisions commonly found in the By-Laws of public Delaware corporations. These changes, among other things, amended the By-Laws to:</w:t>
      </w:r>
    </w:p>
    <w:p>
      <w:pPr>
        <w:spacing w:after="0" w:line="6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Allow the Board to set the date and time for the annual meeting of stockholders (Section 3.2).</w:t>
      </w:r>
    </w:p>
    <w:p>
      <w:pPr>
        <w:spacing w:after="0" w:line="90" w:lineRule="exact"/>
        <w:rPr>
          <w:rFonts w:ascii="Arial" w:cs="Arial" w:eastAsia="Arial" w:hAnsi="Arial"/>
          <w:sz w:val="18"/>
          <w:szCs w:val="18"/>
          <w:color w:val="auto"/>
        </w:rPr>
      </w:pPr>
    </w:p>
    <w:p>
      <w:pPr>
        <w:ind w:left="460" w:right="280" w:hanging="452"/>
        <w:spacing w:after="0" w:line="30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Enhance and update stockholder meeting procedures by, among other things, providing that the Board shall adopt rules and procedures for stockholder meetings (Section 3.8), setting procedures for the selection of, and defining the role of, the presiding person (Section 3.8) and inspectors for stockholder meetings (Section 3.10) and allowing the Board to set separate notice and voting record dates, if needed (Section 9.1).</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Enhance and update procedures with respect to stockholder actions by written consent without a meeting (Section 3.12).</w:t>
      </w:r>
    </w:p>
    <w:p>
      <w:pPr>
        <w:spacing w:after="0" w:line="90"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Enhance and update the procedures by which stockholders may bring business before a stockholder meeting (Section 3.13) or nominate directors to the Board (Section 4.15), including, among other things, changing the advance notice window to 90 - 120 days prior to the anniversary date of the immediately preceding Annual Meeting and enhancing the informational and other requirements for a stockholder wishing to submit business before a stockholder meeting or to nominate a director to the Board. In addition, Section 4.15 was amended to require that any shareholder nominees for election to the Board must deliver a written questionnaire regarding his or her background to the Company and make certain representations to, and agreements with, the Company.</w:t>
      </w:r>
    </w:p>
    <w:p>
      <w:pPr>
        <w:spacing w:after="0" w:line="63" w:lineRule="exact"/>
        <w:rPr>
          <w:rFonts w:ascii="Arial" w:cs="Arial" w:eastAsia="Arial" w:hAnsi="Arial"/>
          <w:sz w:val="18"/>
          <w:szCs w:val="18"/>
          <w:color w:val="auto"/>
        </w:rPr>
      </w:pPr>
    </w:p>
    <w:p>
      <w:pPr>
        <w:jc w:val="both"/>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Notwithstanding the change to the advance notice window for stockholder proposals in Section 3.13 of the By-Laws, the Company will, for purposes of the 2013 Annual Meeting of Stockholders only, continue to apply the prior advance notice window of not less than 75 days nor more than 120 days prior to the anniversary date of the 2012 Annual Meeting. Thus, to bring an item of business before the 2013 Annual Meeting, a stockholder generally must deliver the requisite notice to the Secretary of the Company not before April 4, 2013 or after May 19, 2013. All other notice and procedural requirements will apply as set forth in the amended and restated By-Laws.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 that the directors only may fill Board vacancies or newly created directorships (Section 4.2).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Update Board committee membership (including the elimination of any </w:t>
      </w:r>
      <w:r>
        <w:rPr>
          <w:rFonts w:ascii="Arial" w:cs="Arial" w:eastAsia="Arial" w:hAnsi="Arial"/>
          <w:sz w:val="16"/>
          <w:szCs w:val="16"/>
          <w:i w:val="1"/>
          <w:iCs w:val="1"/>
          <w:color w:val="auto"/>
        </w:rPr>
        <w:t>ex officio</w:t>
      </w:r>
      <w:r>
        <w:rPr>
          <w:rFonts w:ascii="Arial" w:cs="Arial" w:eastAsia="Arial" w:hAnsi="Arial"/>
          <w:sz w:val="16"/>
          <w:szCs w:val="16"/>
          <w:color w:val="auto"/>
        </w:rPr>
        <w:t xml:space="preserve"> memberships), quorum and voting provisions (Sections 4.5 and 6.2).</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Enhance and update procedures surrounding who and how Board meetings are called (Sections 4.6 and 4.7).</w:t>
      </w:r>
    </w:p>
    <w:p>
      <w:pPr>
        <w:spacing w:after="0" w:line="90" w:lineRule="exact"/>
        <w:rPr>
          <w:rFonts w:ascii="Arial" w:cs="Arial" w:eastAsia="Arial" w:hAnsi="Arial"/>
          <w:sz w:val="18"/>
          <w:szCs w:val="18"/>
          <w:color w:val="auto"/>
        </w:rPr>
      </w:pPr>
    </w:p>
    <w:p>
      <w:pPr>
        <w:ind w:left="460" w:right="7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Update the By-Laws generally to allow for delivery of notice or other action by electronic transmission (Sections 4.8, 4.11 and 5.1) and allow for uncertificated shares (Sections 7.1 and 8.1).</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Update the procedures surrounding indemnification protection for covered persons (Sections 10.1, 10.2 and 10.3).</w:t>
      </w:r>
    </w:p>
    <w:p>
      <w:pPr>
        <w:spacing w:after="0" w:line="9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 any obsoleted provisions (such as references to initial stockholder or board meetings) and provisions that are redundant with provisions in the Company’s governing documents and/or default Delaware law.</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foregoing description of the By-Law’s is qualified in its entirety by reference to the full text of the By-Laws, as amended and restated and filed as Exhibit 3.2 hereto and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80" w:type="dxa"/>
            <w:vAlign w:val="bottom"/>
          </w:tcPr>
          <w:p>
            <w:pPr>
              <w:spacing w:after="0"/>
              <w:rPr>
                <w:sz w:val="19"/>
                <w:szCs w:val="19"/>
                <w:color w:val="auto"/>
              </w:rPr>
            </w:pPr>
          </w:p>
        </w:tc>
        <w:tc>
          <w:tcPr>
            <w:tcW w:w="6540" w:type="dxa"/>
            <w:vAlign w:val="bottom"/>
            <w:gridSpan w:val="2"/>
          </w:tcPr>
          <w:p>
            <w:pPr>
              <w:ind w:left="3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97"/>
        </w:trPr>
        <w:tc>
          <w:tcPr>
            <w:tcW w:w="420" w:type="dxa"/>
            <w:vAlign w:val="bottom"/>
          </w:tcPr>
          <w:p>
            <w:pPr>
              <w:spacing w:after="0"/>
              <w:rPr>
                <w:sz w:val="24"/>
                <w:szCs w:val="24"/>
                <w:color w:val="auto"/>
              </w:rPr>
            </w:pPr>
          </w:p>
        </w:tc>
        <w:tc>
          <w:tcPr>
            <w:tcW w:w="7200" w:type="dxa"/>
            <w:vAlign w:val="bottom"/>
            <w:gridSpan w:val="4"/>
          </w:tcPr>
          <w:p>
            <w:pPr>
              <w:ind w:left="40"/>
              <w:spacing w:after="0"/>
              <w:rPr>
                <w:sz w:val="20"/>
                <w:szCs w:val="20"/>
                <w:color w:val="auto"/>
              </w:rPr>
            </w:pPr>
            <w:r>
              <w:rPr>
                <w:rFonts w:ascii="Arial" w:cs="Arial" w:eastAsia="Arial" w:hAnsi="Arial"/>
                <w:sz w:val="18"/>
                <w:szCs w:val="18"/>
                <w:color w:val="auto"/>
              </w:rPr>
              <w:t>(d) Exhibits</w:t>
            </w:r>
          </w:p>
        </w:tc>
      </w:tr>
      <w:tr>
        <w:trPr>
          <w:trHeight w:val="342"/>
        </w:trPr>
        <w:tc>
          <w:tcPr>
            <w:tcW w:w="90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159"/>
        </w:trPr>
        <w:tc>
          <w:tcPr>
            <w:tcW w:w="420" w:type="dxa"/>
            <w:vAlign w:val="bottom"/>
            <w:tcBorders>
              <w:bottom w:val="single" w:sz="8" w:color="auto"/>
            </w:tcBorders>
          </w:tcPr>
          <w:p>
            <w:pPr>
              <w:ind w:left="120"/>
              <w:spacing w:after="0" w:line="159" w:lineRule="exact"/>
              <w:rPr>
                <w:sz w:val="20"/>
                <w:szCs w:val="20"/>
                <w:color w:val="auto"/>
              </w:rPr>
            </w:pPr>
            <w:r>
              <w:rPr>
                <w:rFonts w:ascii="Arial" w:cs="Arial" w:eastAsia="Arial" w:hAnsi="Arial"/>
                <w:sz w:val="14"/>
                <w:szCs w:val="14"/>
                <w:color w:val="auto"/>
              </w:rPr>
              <w:t>No.</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4"/>
              </w:rPr>
              <w:t>Description</w:t>
            </w:r>
          </w:p>
        </w:tc>
        <w:tc>
          <w:tcPr>
            <w:tcW w:w="5860" w:type="dxa"/>
            <w:vAlign w:val="bottom"/>
          </w:tcPr>
          <w:p>
            <w:pPr>
              <w:spacing w:after="0"/>
              <w:rPr>
                <w:sz w:val="13"/>
                <w:szCs w:val="13"/>
                <w:color w:val="auto"/>
              </w:rPr>
            </w:pPr>
          </w:p>
        </w:tc>
      </w:tr>
      <w:tr>
        <w:trPr>
          <w:trHeight w:val="316"/>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6720" w:type="dxa"/>
            <w:vAlign w:val="bottom"/>
            <w:gridSpan w:val="3"/>
          </w:tcPr>
          <w:p>
            <w:pPr>
              <w:ind w:left="180"/>
              <w:spacing w:after="0"/>
              <w:rPr>
                <w:sz w:val="20"/>
                <w:szCs w:val="20"/>
                <w:color w:val="auto"/>
              </w:rPr>
            </w:pPr>
            <w:r>
              <w:rPr>
                <w:rFonts w:ascii="Arial" w:cs="Arial" w:eastAsia="Arial" w:hAnsi="Arial"/>
                <w:sz w:val="18"/>
                <w:szCs w:val="18"/>
                <w:color w:val="auto"/>
                <w:w w:val="87"/>
              </w:rPr>
              <w:t>By-Laws of Casual Male Retail Group, Inc., as amended and restated on November 28, 2012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4, 2012</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0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Certificate of Incorporation and By-Laws</w:t>
      </w:r>
      <w:r>
        <w:rPr>
          <w:rFonts w:ascii="Arial" w:cs="Arial" w:eastAsia="Arial" w:hAnsi="Arial"/>
          <w:sz w:val="16"/>
          <w:szCs w:val="16"/>
          <w:color w:val="auto"/>
        </w:rPr>
        <w:t>.</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1.1 These Amended and Restated By-Laws (these “By-Laws”) are subject to the Restated Certificate of Incorporation of the Corporation (the “Certificate of Incorporation”). In these By-Laws, references to the Certificate of Incorporation and By-Laws mean the provisions of the Certificate of Incorporation and the By-Laws as are from time to time in effect.</w:t>
      </w:r>
    </w:p>
    <w:p>
      <w:pPr>
        <w:spacing w:after="0" w:line="262"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Offices</w:t>
      </w:r>
      <w:r>
        <w:rPr>
          <w:rFonts w:ascii="Arial" w:cs="Arial" w:eastAsia="Arial" w:hAnsi="Arial"/>
          <w:sz w:val="16"/>
          <w:szCs w:val="16"/>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shall be in the City of Wilmington, County of New Castle, State of Delaware.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5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5"/>
          <w:szCs w:val="15"/>
          <w:u w:val="single" w:color="auto"/>
          <w:color w:val="auto"/>
        </w:rPr>
        <w:t>Stockholders</w:t>
      </w:r>
      <w:r>
        <w:rPr>
          <w:rFonts w:ascii="Arial" w:cs="Arial" w:eastAsia="Arial" w:hAnsi="Arial"/>
          <w:sz w:val="15"/>
          <w:szCs w:val="15"/>
          <w:color w:val="auto"/>
        </w:rPr>
        <w:t>.</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Location of Meetings</w:t>
      </w:r>
      <w:r>
        <w:rPr>
          <w:rFonts w:ascii="Arial" w:cs="Arial" w:eastAsia="Arial" w:hAnsi="Arial"/>
          <w:sz w:val="16"/>
          <w:szCs w:val="16"/>
          <w:color w:val="auto"/>
        </w:rPr>
        <w:t>. All meetings of the stockholders shall be held at such place either within or without the State of Delaware as shall be designated from time to time by the Board of Directors. Any adjourned session of any meeting shall be held at the place designated in the vote of adjournment.</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stockholders for the election of directors shall be held at such date and time as shall be designated from time to time by the Board of Directors. Any other business as may be required or permitted by law or these By-Laws may properly come before the annual meeting.</w:t>
      </w:r>
    </w:p>
    <w:p>
      <w:pPr>
        <w:spacing w:after="0" w:line="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 Of Annual Meeting</w:t>
      </w:r>
      <w:r>
        <w:rPr>
          <w:rFonts w:ascii="Arial" w:cs="Arial" w:eastAsia="Arial" w:hAnsi="Arial"/>
          <w:sz w:val="18"/>
          <w:szCs w:val="18"/>
          <w:color w:val="auto"/>
        </w:rPr>
        <w:t>.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 and may not be called by any other person or persons.</w:t>
      </w:r>
    </w:p>
    <w:p>
      <w:pPr>
        <w:sectPr>
          <w:pgSz w:w="11900" w:h="16838" w:orient="portrait"/>
          <w:cols w:equalWidth="0" w:num="1">
            <w:col w:w="11420"/>
          </w:cols>
          <w:pgMar w:left="240" w:top="125" w:right="239" w:bottom="1440" w:gutter="0" w:footer="0" w:header="0"/>
        </w:sectPr>
      </w:pPr>
    </w:p>
    <w:bookmarkStart w:id="4" w:name="page5"/>
    <w:bookmarkEnd w:id="4"/>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3.5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Written notice of a special meeting of stockholders stating the place, date and hour of the meeting and the purpose or purposes for which the meeting is called, shall, except as required by applicable law,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4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Stockholder List</w:t>
      </w:r>
      <w:r>
        <w:rPr>
          <w:rFonts w:ascii="Arial" w:cs="Arial" w:eastAsia="Arial" w:hAnsi="Arial"/>
          <w:sz w:val="16"/>
          <w:szCs w:val="16"/>
          <w:color w:val="auto"/>
        </w:rPr>
        <w: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Quorum Of Stockholders</w:t>
      </w:r>
      <w:r>
        <w:rPr>
          <w:rFonts w:ascii="Arial" w:cs="Arial" w:eastAsia="Arial" w:hAnsi="Arial"/>
          <w:sz w:val="18"/>
          <w:szCs w:val="18"/>
          <w:color w:val="auto"/>
        </w:rPr>
        <w:t>. The holders of a majority of the 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or her shares from the quorum count by declaring his or her shares absent from the meeting.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Conduct of Meetings; Adjournment</w:t>
      </w:r>
      <w:r>
        <w:rPr>
          <w:rFonts w:ascii="Arial" w:cs="Arial" w:eastAsia="Arial" w:hAnsi="Arial"/>
          <w:sz w:val="16"/>
          <w:szCs w:val="16"/>
          <w:color w:val="auto"/>
        </w:rPr>
        <w:t>. The Board of Directors may adopt such rules and procedures for the conduct of stockholder meetings as it deems appropriate. At each meeting of stockholders, the Chairman or, in the absence of the Chairman, the President or, if there is no President or if there be one and the President is absent, such other person as may be designated by the Board of Directors (or in the absence of any such designation, the Secretary), shall preside over the meeting. Except to the extent inconsistent with the rules and procedures as adopted by the Board of Directors,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of Directors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and declare to the meeting that a matter or business was not properly brought before the meeting and if such presiding person should so determine, he or she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of Directors and, if the Board of Directors has not so acted, in the case of the designation of a person to act as secretary of the meeting, designated by the person presiding over the meeting. The order of business at all meetings of stockholders shall be as determined by the person presiding over the meeting.</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Proxy Representation</w:t>
      </w:r>
      <w:r>
        <w:rPr>
          <w:rFonts w:ascii="Arial" w:cs="Arial" w:eastAsia="Arial" w:hAnsi="Arial"/>
          <w:sz w:val="16"/>
          <w:szCs w:val="16"/>
          <w:color w:val="auto"/>
        </w:rPr>
        <w:t>.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or her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Inspectors</w:t>
      </w:r>
      <w:r>
        <w:rPr>
          <w:rFonts w:ascii="Arial" w:cs="Arial" w:eastAsia="Arial" w:hAnsi="Arial"/>
          <w:sz w:val="16"/>
          <w:szCs w:val="16"/>
          <w:color w:val="auto"/>
        </w:rPr>
        <w:t>. The Board of Directors, in advance of any meeting of stockholders, shall, to the extent required by law, appoint one or more inspectors, who may be employees of the Corporation, to act at the meeting and make a written report thereof. The Board of Directors may designate one or more persons as alternate inspectors to replace any inspector who fails to act. If no inspector or alternate is able to act at a meeting, the person presiding at the meeting shall, to the extent required by law, appoint one or more inspectors to act at the meeting or any adjournment thereof. Each inspector, before entering upon the discharge of his or her duties, shall take and sign an oath faithfully to execute the duties of inspector at such meeting with strict impartiality and according to the best of his or her ability. The inspectors, if any, shall (A) ascertain the number of shares of stock outstanding and the voting power of each, (B) determine the shares of stock represented at the meeting, the existence of a quorum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entities to assist the inspectors in the performance of their duties. Unless otherwise provided by the Board of Directors, the date and time of the opening and the closing of the polls for each 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Action By Vote</w:t>
      </w:r>
      <w:r>
        <w:rPr>
          <w:rFonts w:ascii="Arial" w:cs="Arial" w:eastAsia="Arial" w:hAnsi="Arial"/>
          <w:sz w:val="16"/>
          <w:szCs w:val="16"/>
          <w:color w:val="auto"/>
        </w:rPr>
        <w:t>.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Action Without Meetings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1" w:lineRule="auto"/>
        <w:tabs>
          <w:tab w:leader="none" w:pos="1152"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person seeking to have the stockholders authorize or take corporate action by written consent without a meeting shall, by written notice addressed to the Secretary and delivered to the Corporation, request that a record date be fixed for such purpose. The Board of Directors shall promptly, but in all events within ten days after the date on which such written notice is received, adopt a resolution fixing the record date (unless a record date has previously been fixed by the Board of Directors pursuant to Section 9.1). If no record date has been fixed by the Board of Directors by ten days after the date on which such written notice is received, the record date for determining stockholders entitled to consent to corporate action in writing without a meeting, when no prior action by the Board of Directors is required by applicable law, shall be as specified in Section 9.1(b).</w:t>
      </w:r>
    </w:p>
    <w:p>
      <w:pPr>
        <w:spacing w:after="0" w:line="120" w:lineRule="exact"/>
        <w:rPr>
          <w:rFonts w:ascii="Arial" w:cs="Arial" w:eastAsia="Arial" w:hAnsi="Arial"/>
          <w:sz w:val="16"/>
          <w:szCs w:val="16"/>
          <w:color w:val="auto"/>
        </w:rPr>
      </w:pPr>
    </w:p>
    <w:p>
      <w:pPr>
        <w:ind w:right="80" w:firstLine="921"/>
        <w:spacing w:after="0" w:line="256" w:lineRule="auto"/>
        <w:tabs>
          <w:tab w:leader="none" w:pos="1162" w:val="left"/>
        </w:tabs>
        <w:numPr>
          <w:ilvl w:val="1"/>
          <w:numId w:val="3"/>
        </w:numPr>
        <w:rPr>
          <w:rFonts w:ascii="Arial" w:cs="Arial" w:eastAsia="Arial" w:hAnsi="Arial"/>
          <w:sz w:val="18"/>
          <w:szCs w:val="18"/>
          <w:color w:val="auto"/>
        </w:rPr>
      </w:pPr>
      <w:r>
        <w:rPr>
          <w:rFonts w:ascii="Arial" w:cs="Arial" w:eastAsia="Arial" w:hAnsi="Arial"/>
          <w:sz w:val="18"/>
          <w:szCs w:val="18"/>
          <w:color w:val="auto"/>
        </w:rPr>
        <w:t>(1) Every written consent purporting to take or authorizing the taking of corporate action and/or related revocations shall bear the date of signature of each stockholder who signs the consent, and no consent shall be effective to take the corporate action referred to therein unless, within sixty days of the earliest dated consent delivered in the manner required by this Section, consents signed by a sufficient number of stockholders to take such action are so delivered to the Corporation, and not revoked.</w:t>
      </w:r>
    </w:p>
    <w:p>
      <w:pPr>
        <w:spacing w:after="0" w:line="62"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4"/>
        </w:numPr>
        <w:rPr>
          <w:rFonts w:ascii="Arial" w:cs="Arial" w:eastAsia="Arial" w:hAnsi="Arial"/>
          <w:sz w:val="16"/>
          <w:szCs w:val="16"/>
          <w:color w:val="auto"/>
        </w:rPr>
      </w:pPr>
      <w:r>
        <w:rPr>
          <w:rFonts w:ascii="Arial" w:cs="Arial" w:eastAsia="Arial" w:hAnsi="Arial"/>
          <w:sz w:val="16"/>
          <w:szCs w:val="16"/>
          <w:color w:val="auto"/>
        </w:rPr>
        <w:t>A consent shall be delivered to the Corporation by delivery to its registered office in the State of Delaware, its principal place of business or an officer or agent of the Corporation having custody of the book in which proceedings of meetings of stockholders are recorded. Delivery to the Corporation’s registered office shall be made by hand or by certified or registered mail, return receipt requested.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event of the delivery to the Corporation of a consent, the Corporation shall engage independent inspectors of elections for the purpose of</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7" w:name="page8"/>
    <w:bookmarkEnd w:id="7"/>
    <w:p>
      <w:pPr>
        <w:ind w:left="4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performing promptly a ministerial review of the validity of the consent. For the purpose of permitting the inspectors to perform such review, no consent shall be effective until such inspectors have completed their review, determined that the requisite number of valid and unrevoked consents delivered to the Corporation in accordance with this Section 3.12 and applicable law have been obtained to authorize or take the action specified in the consent, and certified such determination for entry in the records of the Corporation kept for the purpose of recording the proceedings of meetings of stockholders. Nothing contained in this Section 3.12 shall in any way be construed to suggest or imply that the Board of Directors or any stockholder shall not be entitled to contest the validity of any consent, whether before or after such certification by the independent inspectors, or to take any other action (including the commencement, prosecution or defense of any litigation with respect thereto and the seeking of injunctive relief in such litigation). If after such investigation the independent inspectors shall determine that the consent is valid and that the action therein specified has been validly authorized, that fact shall forthwith be certified on the records of the Corporation kept for the purpose of recording the proceedings of meetings of stockholders, and the consent shall be filed in such records, at which time the consent shall become effective as stockholder action. In conducting the investigation required by this Section, the independent inspectors may, at the expense of the Corporation, retain special legal counsel and any other necessary or appropriate professional advisors, and such other personnel as they may deem necessary or appropriate to assist them, and shall be fully protected in relying in good faith upon the opinion of such counsel or advisors.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Matters To Be Considered At Annual Meetings</w:t>
      </w:r>
      <w:r>
        <w:rPr>
          <w:rFonts w:ascii="Arial" w:cs="Arial" w:eastAsia="Arial" w:hAnsi="Arial"/>
          <w:sz w:val="18"/>
          <w:szCs w:val="18"/>
          <w:color w:val="auto"/>
        </w:rPr>
        <w:t>.</w:t>
      </w:r>
    </w:p>
    <w:p>
      <w:pPr>
        <w:spacing w:after="0" w:line="171" w:lineRule="exact"/>
        <w:rPr>
          <w:sz w:val="20"/>
          <w:szCs w:val="20"/>
          <w:color w:val="auto"/>
        </w:rPr>
      </w:pPr>
    </w:p>
    <w:p>
      <w:pPr>
        <w:ind w:left="-40" w:right="60" w:firstLine="921"/>
        <w:spacing w:after="0" w:line="287" w:lineRule="auto"/>
        <w:tabs>
          <w:tab w:leader="none" w:pos="1112"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any annual meeting of stockholders or any special meeting in lieu of annual meeting of stockholders (for purposes of this Section 3.13 and Section 4.15 hereof, hereinafter referred to as an “Annual Meeting”), only business (other than business relating to the nomination or election of directors which is governed by Section 4.15) that has been properly brought before the stockholder meeting in accordance with the procedures set forth in this Section 3.13 shall be conducted.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3.13. Subject to Section 3.13(i), and except with respect to nominations or elections of directors, which are governed by Section 4.15, this Section 3.13 is the exclusive means by which a stockholder may bring business before a meeting of stockholders. Any business brought before a meeting in accordance with Section 3.13 is referred to as “Stockholder Business”.</w:t>
      </w:r>
    </w:p>
    <w:p>
      <w:pPr>
        <w:spacing w:after="0" w:line="122" w:lineRule="exact"/>
        <w:rPr>
          <w:rFonts w:ascii="Arial" w:cs="Arial" w:eastAsia="Arial" w:hAnsi="Arial"/>
          <w:sz w:val="16"/>
          <w:szCs w:val="16"/>
          <w:color w:val="auto"/>
        </w:rPr>
      </w:pPr>
    </w:p>
    <w:p>
      <w:pPr>
        <w:ind w:left="-40" w:right="40" w:firstLine="921"/>
        <w:spacing w:after="0" w:line="306" w:lineRule="auto"/>
        <w:tabs>
          <w:tab w:leader="none" w:pos="112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3.13 to the Secretary of the Corporation and (ii) be present at such Annual Meeting, either in person or by a representative. A stockholder’s notice shall be timely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8" w:name="page9"/>
    <w:bookmarkEnd w:id="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or mailed to and received by, the Corporation, addressed to the Secretary of the Corporation, at its principal executive office not less than ninety days nor more than one hundred twenty days prior to the anniversary date of the immediately preceding Annual Meeting (for purposes of this Section 3.13 and Section 4.15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addressed to the Secretary of the Corporation, at its principal executive office not later than the close of business on the later of (A) the ninetieth day prior to the scheduled date of such Annual Meeting or (B) the tenth day following the day on which public announcement of the date of such Annual Meeting is first made by the Corporation. In no event shall an adjournment, postponement or deferral, or public announcement of an adjournment, postponement or deferral, of a stockholder meeting commence a new time period (or extend any time period) for the giving of a stockholder’s notice.</w:t>
      </w:r>
    </w:p>
    <w:p>
      <w:pPr>
        <w:spacing w:after="0" w:line="120" w:lineRule="exact"/>
        <w:rPr>
          <w:sz w:val="20"/>
          <w:szCs w:val="20"/>
          <w:color w:val="auto"/>
        </w:rPr>
      </w:pPr>
    </w:p>
    <w:p>
      <w:pPr>
        <w:ind w:left="1160" w:hanging="239"/>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stockholder’s notice to the Secretary must set forth:</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name and record address of each stockholder proposing Stockholder Business (the “</w:t>
      </w:r>
      <w:r>
        <w:rPr>
          <w:rFonts w:ascii="Arial" w:cs="Arial" w:eastAsia="Arial" w:hAnsi="Arial"/>
          <w:sz w:val="15"/>
          <w:szCs w:val="15"/>
          <w:u w:val="single" w:color="auto"/>
          <w:color w:val="auto"/>
        </w:rPr>
        <w:t>Proponent</w:t>
      </w:r>
      <w:r>
        <w:rPr>
          <w:rFonts w:ascii="Arial" w:cs="Arial" w:eastAsia="Arial" w:hAnsi="Arial"/>
          <w:sz w:val="15"/>
          <w:szCs w:val="15"/>
          <w:color w:val="auto"/>
        </w:rPr>
        <w:t>”), as they appear on the Corporation’s books;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and address of any Stockholder Associated Person;</w:t>
      </w:r>
    </w:p>
    <w:p>
      <w:pPr>
        <w:spacing w:after="0" w:line="90" w:lineRule="exact"/>
        <w:rPr>
          <w:rFonts w:ascii="Arial" w:cs="Arial" w:eastAsia="Arial" w:hAnsi="Arial"/>
          <w:sz w:val="18"/>
          <w:szCs w:val="18"/>
          <w:color w:val="auto"/>
        </w:rPr>
      </w:pPr>
    </w:p>
    <w:p>
      <w:pPr>
        <w:ind w:left="460" w:right="60" w:firstLine="443"/>
        <w:spacing w:after="0" w:line="287" w:lineRule="auto"/>
        <w:tabs>
          <w:tab w:leader="none" w:pos="1147"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direct or indirect, with respect to such Stockholder Business between or among the Proponent, any Stockholder Associated Person or any others (including their names) acting as part of a group (as defined in Section 13(d) of the Securities Exchange Act of 1934, as amended (the “Exchange Act”)) or in concert with any of the foregoing, (D) a description of any agreement, arrangement or understanding (including any derivative or short positions, profit interests, options, hedging transactions and borrowed or loaned shares) that has been entered into, directly or indirectly, as of the date of the Proponent’s notice by, or on behalf of, the Proponent or any Stockholder Associated Person, with respect to shares of stock of the Corporation (a “Derivative”) and (E) a description in reasonable detail of any proxy (including revocable proxies), contract, arrangement, understanding or other relationship pursuant to which the Proponent or Stockholder Associated Person has a right to vote any shares of stock of the Corporation. The information specified in Section 3.13(c)(3) is referred to herein as “Stockholder Information”;</w:t>
      </w:r>
    </w:p>
    <w:p>
      <w:pPr>
        <w:spacing w:after="0" w:line="41" w:lineRule="exact"/>
        <w:rPr>
          <w:rFonts w:ascii="Arial" w:cs="Arial" w:eastAsia="Arial" w:hAnsi="Arial"/>
          <w:sz w:val="16"/>
          <w:szCs w:val="16"/>
          <w:color w:val="auto"/>
        </w:rPr>
      </w:pPr>
    </w:p>
    <w:p>
      <w:pPr>
        <w:ind w:left="460" w:right="460" w:firstLine="443"/>
        <w:spacing w:after="0" w:line="268" w:lineRule="auto"/>
        <w:tabs>
          <w:tab w:leader="none" w:pos="1147"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representation that each Proponent is a holder of record of stock of the Corporation entitled to vote at the meeting and intends to appear in person or by proxy at the meeting to propose such Stockholder Business;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brief description of the Stockholder Business desired to be brought before the annual meeting, the text of the proposal (including the text of any resolutions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left="46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for consideration and, if such business includes a proposal to amend the bylaws, the language of the proposed amendment) and the reasons for conducting such Stockholder Business at the meeting;</w:t>
      </w:r>
    </w:p>
    <w:p>
      <w:pPr>
        <w:spacing w:after="0" w:line="51" w:lineRule="exact"/>
        <w:rPr>
          <w:sz w:val="20"/>
          <w:szCs w:val="20"/>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material interest of each Proponent and any Stockholder Associated Person in such Stockholder Business;</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representation as to whether the Proponent intends (a) to deliver a proxy statement and form of proxy to holders of at least the percentage of the Corporation’s outstanding capital stock required to approve or adopt such Stockholder Business or (b) otherwise to solicit proxies from stockholders in support of such Stockholder Business;</w:t>
      </w:r>
    </w:p>
    <w:p>
      <w:pPr>
        <w:spacing w:after="0" w:line="59"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Securities and Exchange Commission if the Proponents or Stockholder Associated Persons were participants in a solicitation subject to Section 14 of the Exchange Act;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representation that the Proponents shall provide any other information reasonably requested by the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Proponents shall also provide any other information reasonably requested by the Corporation within ten business days after such request.</w:t>
      </w:r>
    </w:p>
    <w:p>
      <w:pPr>
        <w:spacing w:after="0" w:line="194" w:lineRule="exact"/>
        <w:rPr>
          <w:rFonts w:ascii="Arial" w:cs="Arial" w:eastAsia="Arial" w:hAnsi="Arial"/>
          <w:sz w:val="16"/>
          <w:szCs w:val="16"/>
          <w:color w:val="auto"/>
        </w:rPr>
      </w:pPr>
    </w:p>
    <w:p>
      <w:pPr>
        <w:ind w:firstLine="921"/>
        <w:spacing w:after="0" w:line="290" w:lineRule="auto"/>
        <w:tabs>
          <w:tab w:leader="none" w:pos="1152" w:val="left"/>
        </w:tabs>
        <w:numPr>
          <w:ilvl w:val="1"/>
          <w:numId w:val="8"/>
        </w:numPr>
        <w:rPr>
          <w:rFonts w:ascii="Arial" w:cs="Arial" w:eastAsia="Arial" w:hAnsi="Arial"/>
          <w:sz w:val="16"/>
          <w:szCs w:val="16"/>
          <w:color w:val="auto"/>
        </w:rPr>
      </w:pPr>
      <w:r>
        <w:rPr>
          <w:rFonts w:ascii="Arial" w:cs="Arial" w:eastAsia="Arial" w:hAnsi="Arial"/>
          <w:sz w:val="16"/>
          <w:szCs w:val="16"/>
          <w:color w:val="auto"/>
        </w:rPr>
        <w:t>In addition, the Proponent shall further update and supplement the information provided to the Corporation in the stockholder’s notice to the Secretary or upon the Corporation’s request pursuant to Section 3.13(d) as needed, so that such information shall be true and correct as of the record date for the meeting and as of the date that is the later of ten business days before the meeting or any adjournment or postponement thereof. Such update and supplement must be delivered personally or mailed to, and received by the Corporation at its principal executive office, addressed to the Secretary of the Corporation,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w:t>
      </w:r>
    </w:p>
    <w:p>
      <w:pPr>
        <w:spacing w:after="0" w:line="118" w:lineRule="exact"/>
        <w:rPr>
          <w:rFonts w:ascii="Arial" w:cs="Arial" w:eastAsia="Arial" w:hAnsi="Arial"/>
          <w:sz w:val="16"/>
          <w:szCs w:val="16"/>
          <w:color w:val="auto"/>
        </w:rPr>
      </w:pPr>
    </w:p>
    <w:p>
      <w:pPr>
        <w:ind w:firstLine="921"/>
        <w:spacing w:after="0" w:line="283" w:lineRule="auto"/>
        <w:tabs>
          <w:tab w:leader="none" w:pos="1132"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the Board of Directors or a designated committee thereof determines that any stockholder notice was not made in a timely fashion in accordance with the provisions of this Section 3.13 or that the information provided in a stockholder’s notice does not satisfy the information requirements of this Section 3.13 in any material respect, the related Stockholder Business shall not be required to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Business was properly brought before the meeting in accordance with the terms of this Section 3.13. If the presiding officer determines that any stockholder notice was not made in a timely fashion in accordance with the provisions of this</w:t>
      </w:r>
    </w:p>
    <w:p>
      <w:pPr>
        <w:spacing w:after="0" w:line="1" w:lineRule="exact"/>
        <w:rPr>
          <w:rFonts w:ascii="Arial" w:cs="Arial" w:eastAsia="Arial" w:hAnsi="Arial"/>
          <w:sz w:val="16"/>
          <w:szCs w:val="16"/>
          <w:color w:val="auto"/>
        </w:rPr>
      </w:pPr>
    </w:p>
    <w:p>
      <w:pPr>
        <w:ind w:right="200"/>
        <w:spacing w:after="0" w:line="323" w:lineRule="auto"/>
        <w:rPr>
          <w:rFonts w:ascii="Arial" w:cs="Arial" w:eastAsia="Arial" w:hAnsi="Arial"/>
          <w:sz w:val="16"/>
          <w:szCs w:val="16"/>
          <w:color w:val="auto"/>
        </w:rPr>
      </w:pPr>
      <w:r>
        <w:rPr>
          <w:rFonts w:ascii="Arial" w:cs="Arial" w:eastAsia="Arial" w:hAnsi="Arial"/>
          <w:sz w:val="16"/>
          <w:szCs w:val="16"/>
          <w:color w:val="auto"/>
        </w:rPr>
        <w:t>Section 3.13 or that the information provided in a stockholders notice does not satisfy the information requirements of this Section 3.13 in any material respect, such proposal shall not be required to be presented for action at the Annual Meeting in question. If the Board of Directors,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designated committee thereof or the presiding officer determines that a stockholder proposal was made in accordance with the requirements of this Section 3.13, the presiding officer shall so declare at the Annual Meeting and ballots shall be provided for use at the Annual Meeting with respect to such proposal.</w:t>
      </w:r>
    </w:p>
    <w:p>
      <w:pPr>
        <w:spacing w:after="0" w:line="85" w:lineRule="exact"/>
        <w:rPr>
          <w:sz w:val="20"/>
          <w:szCs w:val="20"/>
          <w:color w:val="auto"/>
        </w:rPr>
      </w:pPr>
    </w:p>
    <w:p>
      <w:pPr>
        <w:ind w:right="160" w:firstLine="921"/>
        <w:spacing w:after="0" w:line="291" w:lineRule="auto"/>
        <w:tabs>
          <w:tab w:leader="none" w:pos="1162"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For purposes of this Section 3.13,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purposes of these By-Laws:</w:t>
      </w:r>
    </w:p>
    <w:p>
      <w:pPr>
        <w:spacing w:after="0" w:line="90"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“public announcement” shall mean: (i) disclosure in a press release reported by the 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25"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 Associated Person” means with respect to any stockholder, (i) any other beneficial owner of stock of the Corporation that are owned by such stockholder and (ii) any person that directly, or indirectly through one or more intermediaries, controls, or is controlled by, or is under common control with, the stockholder or such beneficial owner; and</w:t>
      </w:r>
    </w:p>
    <w:p>
      <w:pPr>
        <w:spacing w:after="0" w:line="59"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or the direct or indirect ownership of 50% or more of the outstanding voting securities of a person.</w:t>
      </w:r>
    </w:p>
    <w:p>
      <w:pPr>
        <w:spacing w:after="0" w:line="106" w:lineRule="exact"/>
        <w:rPr>
          <w:rFonts w:ascii="Arial" w:cs="Arial" w:eastAsia="Arial" w:hAnsi="Arial"/>
          <w:sz w:val="16"/>
          <w:szCs w:val="16"/>
          <w:color w:val="auto"/>
        </w:rPr>
      </w:pPr>
    </w:p>
    <w:p>
      <w:pPr>
        <w:jc w:val="both"/>
        <w:ind w:right="160" w:firstLine="921"/>
        <w:spacing w:after="0" w:line="306" w:lineRule="auto"/>
        <w:tabs>
          <w:tab w:leader="none" w:pos="1123" w:val="left"/>
        </w:tabs>
        <w:numPr>
          <w:ilvl w:val="1"/>
          <w:numId w:val="1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3.13, a stockholder shall also comply with all applicable requirements of the Exchange Act, and the rules and regulations thereunder with respect to the matters set forth in this Section 3.13, and nothing in this Section 3.13 shall be deemed to affect any rights of stockholders to request inclusion of proposals in the Corporation’s proxy statement pursuant to Rule 14a-8 under the Exchange Act.</w:t>
      </w:r>
    </w:p>
    <w:p>
      <w:pPr>
        <w:spacing w:after="0" w:line="22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Directors</w:t>
      </w:r>
      <w:r>
        <w:rPr>
          <w:rFonts w:ascii="Arial" w:cs="Arial" w:eastAsia="Arial" w:hAnsi="Arial"/>
          <w:sz w:val="16"/>
          <w:szCs w:val="16"/>
          <w:color w:val="auto"/>
        </w:rPr>
        <w: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Qualifications</w:t>
      </w:r>
      <w:r>
        <w:rPr>
          <w:rFonts w:ascii="Arial" w:cs="Arial" w:eastAsia="Arial" w:hAnsi="Arial"/>
          <w:sz w:val="18"/>
          <w:szCs w:val="18"/>
          <w:color w:val="auto"/>
        </w:rPr>
        <w:t>. The Board of Directors shall consist of one or more members, the number thereof to be determined from time to time by resolution of the Board of Directors. Directors need not be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and any newly created directorships resulting from any increase in the number of directors may be filled by a majority of the directors then in office, although less than a quorum, or by a sole remaining director. When one or more directors shall resign from the Board of Directors,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 A director so elected shall hold office until the earlier of the expiration of the term of office of the director whom he or she replaced, a successor is elected and qualified or until he or she sooner dies, resigns, is removed or becomes disqualified.</w:t>
      </w:r>
    </w:p>
    <w:p>
      <w:pPr>
        <w:spacing w:after="0" w:line="14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director shall hold office until his or her successor is elected and qualified, or until he or she sooner dies, resigns, is removed or becomes disqualified.</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Except as the Board of Directors may otherwise determine, any committee may make rules for the conduct of its business, but unless otherwise provided by the Board of Directors or such rules, its business shall be conducted as nearly as may be in the same manner as is provided by these By-Laws for the conduct of business by the Board of Directors. Unless the Board of Directors provides otherwise, at all meetings of a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and report the same to the Board of Directors upon request.</w:t>
      </w:r>
    </w:p>
    <w:p>
      <w:pPr>
        <w:spacing w:after="0" w:line="12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Regular Meeting</w:t>
      </w:r>
      <w:r>
        <w:rPr>
          <w:rFonts w:ascii="Arial" w:cs="Arial" w:eastAsia="Arial" w:hAnsi="Arial"/>
          <w:sz w:val="18"/>
          <w:szCs w:val="18"/>
          <w:color w:val="auto"/>
        </w:rPr>
        <w:t>. Regular meetings of the Board of Directors may be held without call or notice at such place within or without the State of Delaware and at such times as the Board of Directors or its Chairman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4.7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held at such times and at such places as may be determined by the Chairman of the Board of Directors or the President on notice to each director given by one of the means specified in Section 4.8 hereof. In addition, special meetings shall be called by the Chairman, President or Secretary and held at such places as may be determined by the Chairman, President or Secretary on notice to each director given by one of the means specified in Section 4.8 hereof on the written request of any two or more directors.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w:t>
      </w:r>
      <w:r>
        <w:rPr>
          <w:rFonts w:ascii="Arial" w:cs="Arial" w:eastAsia="Arial" w:hAnsi="Arial"/>
          <w:sz w:val="16"/>
          <w:szCs w:val="16"/>
          <w:color w:val="auto"/>
        </w:rPr>
        <w:t>. If notice is required by law, the Certificate of Incorporation or these By-Laws, it shall be reasonable and sufficient notice to a director to send notice by mail at least forty-eight hours or by telegram or other means of electronic transmission at least twenty-four hours before the meeting, addressed to him at his or her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Quorum</w:t>
      </w:r>
      <w:r>
        <w:rPr>
          <w:rFonts w:ascii="Arial" w:cs="Arial" w:eastAsia="Arial" w:hAnsi="Arial"/>
          <w:sz w:val="18"/>
          <w:szCs w:val="18"/>
          <w:color w:val="auto"/>
        </w:rPr>
        <w:t>.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of Directors. Any meeting may be adjourned from time to time by a majority of the votes cast upon the question, whether or not a quorum is present, and the meeting may be held as adjourned without further notice.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Action By Vote</w:t>
      </w:r>
      <w:r>
        <w:rPr>
          <w:rFonts w:ascii="Arial" w:cs="Arial" w:eastAsia="Arial" w:hAnsi="Arial"/>
          <w:sz w:val="18"/>
          <w:szCs w:val="18"/>
          <w:color w:val="auto"/>
        </w:rPr>
        <w:t>. Except as may be otherwise provided by law, by the Certificate of Incorporation or by these By-Laws, when a quorum is present at any meeting the vote of a majority of the directors present shall be the act of the Board of Directors.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the members of the Board of Directors or of such committee, as the case may be, consent thereto in writing or other means of electronic transmission, and such writing or writings or other means of electronic transmission are filed with the records of the meetings of the Board of Directors or of such committee. Such consent shall be treated for all purposes as the act of the Board of Directors or of such committee, as the case may be.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Participation In Meetings By Conference Telephone</w:t>
      </w:r>
      <w:r>
        <w:rPr>
          <w:rFonts w:ascii="Arial" w:cs="Arial" w:eastAsia="Arial" w:hAnsi="Arial"/>
          <w:sz w:val="18"/>
          <w:szCs w:val="18"/>
          <w:color w:val="auto"/>
        </w:rPr>
        <w:t>. Unless otherwise restricted by the Certificate of Incorporation or these By-Laws, members of the Board of Directors or of any committee thereof, may participate in a meeting of the Board of Directors or such committee by means of conference telephone or similar communications equipment by means of which all persons participating in the meeting can hear each other. Such participation shall constitute presence in person at such meeting.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ind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4.13 </w:t>
      </w:r>
      <w:r>
        <w:rPr>
          <w:rFonts w:ascii="Arial" w:cs="Arial" w:eastAsia="Arial" w:hAnsi="Arial"/>
          <w:sz w:val="15"/>
          <w:szCs w:val="15"/>
          <w:u w:val="single" w:color="auto"/>
          <w:color w:val="auto"/>
        </w:rPr>
        <w:t>Compensation</w:t>
      </w:r>
      <w:r>
        <w:rPr>
          <w:rFonts w:ascii="Arial" w:cs="Arial" w:eastAsia="Arial" w:hAnsi="Arial"/>
          <w:sz w:val="15"/>
          <w:szCs w:val="15"/>
          <w:color w:val="auto"/>
        </w:rPr>
        <w:t>.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0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 xml:space="preserve">4.14 </w:t>
      </w:r>
      <w:r>
        <w:rPr>
          <w:rFonts w:ascii="Arial" w:cs="Arial" w:eastAsia="Arial" w:hAnsi="Arial"/>
          <w:sz w:val="15"/>
          <w:szCs w:val="15"/>
          <w:u w:val="single" w:color="auto"/>
          <w:color w:val="auto"/>
        </w:rPr>
        <w:t>Resignation Or Removal Of Directors</w:t>
      </w:r>
      <w:r>
        <w:rPr>
          <w:rFonts w:ascii="Arial" w:cs="Arial" w:eastAsia="Arial" w:hAnsi="Arial"/>
          <w:sz w:val="15"/>
          <w:szCs w:val="15"/>
          <w:color w:val="auto"/>
        </w:rPr>
        <w:t>.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or her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or her resignation or removal, or any right to damages on account of 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Director Nominations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9" w:lineRule="auto"/>
        <w:tabs>
          <w:tab w:leader="none" w:pos="11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4.15. Any stockholder who has complied with the timing, informational and other requirements set forth in this Section 4.15 and who seeks to make such a nomination, or such stockholder’s representative, must be present in person at the Annual Meeting. Only persons nominated in accordance with the procedures set forth in this Section 4.15 shall be eligible for election as directors at an Annual Meeting. A stockholder nominating persons for election to the Board of Directors is referred to as the “Nominating Stockholder”. Persons nominated in accordance with Section 4.15 are referred to as “Stockholder Nominees”.</w:t>
      </w:r>
    </w:p>
    <w:p>
      <w:pPr>
        <w:spacing w:after="0" w:line="118" w:lineRule="exact"/>
        <w:rPr>
          <w:rFonts w:ascii="Arial" w:cs="Arial" w:eastAsia="Arial" w:hAnsi="Arial"/>
          <w:sz w:val="16"/>
          <w:szCs w:val="16"/>
          <w:color w:val="auto"/>
        </w:rPr>
      </w:pPr>
    </w:p>
    <w:p>
      <w:pPr>
        <w:ind w:right="240" w:firstLine="921"/>
        <w:spacing w:after="0" w:line="268" w:lineRule="auto"/>
        <w:tabs>
          <w:tab w:leader="none" w:pos="1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Nominations, other than those made by, or at the direction of, the Board of Directors, shall be made pursuant to timely notice in writing to the Secretary of the Corporation as set forth in this Section 4.15. A stockholder’s notice shall be timely if delivered to, or mailed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4" w:name="page15"/>
    <w:bookmarkEnd w:id="1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and received by, the Corporation, addressed to the Secretary of the Corporation, at its principal executive office not less than ninety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addressed to the Secretary of the Corporation, at its principal executive office not later than the close of business on the later of (i) the ninetieth day prior to the scheduled date of such Annual Meeting or (ii) the tenth day following the day on which public announcement of the date of such Annual Meeting is first made by the Corporation.</w:t>
      </w:r>
    </w:p>
    <w:p>
      <w:pPr>
        <w:spacing w:after="0" w:line="144" w:lineRule="exact"/>
        <w:rPr>
          <w:sz w:val="20"/>
          <w:szCs w:val="20"/>
          <w:color w:val="auto"/>
        </w:rPr>
      </w:pPr>
    </w:p>
    <w:p>
      <w:pPr>
        <w:ind w:left="1160" w:hanging="239"/>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stockholder’s notice of nomination must set forth:</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Stockholder Information with respect to each Nominating Stockholder and Stockholder Associated Person;</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representation that each stockholder nominating a Stockholder Nominee is a holder of record of stock of the Corporation entitled to vote at the meeting and intends to appear in person or by proxy at the meeting to propose such nomination;</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information regarding each Stockholder Nominee and Stockholder Associated Person that would be required to be disclosed in a solicitation of proxies subject to Section 14 of the Exchange Act, the written consent of each Stockholder Nominee to being named in a proxy statement as a nominee and to serve if elected;</w:t>
      </w:r>
    </w:p>
    <w:p>
      <w:pPr>
        <w:spacing w:after="0" w:line="59"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or their respective associates, or others acting in concert therewith, including all information that would be required to be disclosed pursuant to Rule 404 promulgated under Regulation S-K if the Nominating Stockholder, Stockholder Associated Person or any person acting in concert therewith, were the “registrant” for purposes of such rule and the Stockholder Nominee were a director or executive of such registrant;</w:t>
      </w:r>
    </w:p>
    <w:p>
      <w:pPr>
        <w:spacing w:after="0" w:line="3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representation as to whether the Nominating Stockholders intends (a) to deliver a proxy statement and form of proxy to holders of at least the percentage of the Corporation’s outstanding capital stock required to approve the nomination or (b) otherwise to solicit proxies from stockholders in support of such nomination;</w:t>
      </w:r>
    </w:p>
    <w:p>
      <w:pPr>
        <w:spacing w:after="0" w:line="59"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Securities and Exchange Commission if the Nominating Stockholders and Stockholder Associated Person were participants in a solicitation subject to Section 14 of the Exchange Act;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representation that the Nominating Stockholders shall provide any other information reasonably requested by the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Nominating Stockholders shall also provide any other information reasonably requested by the Corporation within ten business days after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request.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left="-40" w:right="160" w:firstLine="921"/>
        <w:spacing w:after="0" w:line="290" w:lineRule="auto"/>
        <w:tabs>
          <w:tab w:leader="none" w:pos="1112"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Nominating Stockholder shall further update and supplement the information provided to the Corporation in the stockholder’s notice of nomination or upon the Corporation’s request pursuant to Section 4.15(d) as needed, so that such information shall be true and correct as of the record date for the meeting and as of the date that is ten business days before the meeting or any adjournment or postponement thereof. Such update and supplement must be delivered to, or mailed and received by, the Corporation, addressed to the Secretary of the Corporation, at its principal executive office, by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w:t>
      </w:r>
    </w:p>
    <w:p>
      <w:pPr>
        <w:spacing w:after="0" w:line="118" w:lineRule="exact"/>
        <w:rPr>
          <w:rFonts w:ascii="Arial" w:cs="Arial" w:eastAsia="Arial" w:hAnsi="Arial"/>
          <w:sz w:val="16"/>
          <w:szCs w:val="16"/>
          <w:color w:val="auto"/>
        </w:rPr>
      </w:pPr>
    </w:p>
    <w:p>
      <w:pPr>
        <w:ind w:left="-40" w:right="60" w:firstLine="921"/>
        <w:spacing w:after="0" w:line="288" w:lineRule="auto"/>
        <w:tabs>
          <w:tab w:leader="none" w:pos="10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Board of Directors or a designated committee thereof determines that any stockholder nomination was not made in accordance with the terms of this Section 4.15 or that the information provided in a stockholder’s notice does not satisfy the informational requirements of this Section 4.l6 in any material respect, then such nomination shall not be considered at the Annual Meeting in question. If neither the Board of Directors nor such committee makes a determination as to whether a nomination was made in accordance with the provisions of this Section 4.15, the presiding officer of the Annual Meeting shall determine whether a nomination was made in accordance with such provisions. If the presiding officer determines that any stockholder nomination was not made in accordance with the terms of this Section 4.15 or that the information provided in a stockholder’s notice does not satisfy the informational requirements of this Section 4.15 in any material respect, then such nomination shall not be considered at the Annual Meeting in question. If the Board of Directors, a designated committee thereof or the presiding officer determines that a nomination was made in accordance with the terms of this Section 4.15, the presiding officer shall so declare at the Annual Meeting and ballots shall be provided for use at the Annual Meeting with respect to such nominee.</w:t>
      </w:r>
    </w:p>
    <w:p>
      <w:pPr>
        <w:spacing w:after="0" w:line="119" w:lineRule="exact"/>
        <w:rPr>
          <w:rFonts w:ascii="Arial" w:cs="Arial" w:eastAsia="Arial" w:hAnsi="Arial"/>
          <w:sz w:val="16"/>
          <w:szCs w:val="16"/>
          <w:color w:val="auto"/>
        </w:rPr>
      </w:pPr>
    </w:p>
    <w:p>
      <w:pPr>
        <w:ind w:left="-40" w:right="120" w:firstLine="921"/>
        <w:spacing w:after="0" w:line="291" w:lineRule="auto"/>
        <w:tabs>
          <w:tab w:leader="none" w:pos="112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4.15,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0" w:lineRule="exact"/>
        <w:rPr>
          <w:rFonts w:ascii="Arial" w:cs="Arial" w:eastAsia="Arial" w:hAnsi="Arial"/>
          <w:sz w:val="16"/>
          <w:szCs w:val="16"/>
          <w:color w:val="auto"/>
        </w:rPr>
      </w:pPr>
    </w:p>
    <w:p>
      <w:pPr>
        <w:ind w:left="-40" w:firstLine="921"/>
        <w:spacing w:after="0" w:line="255" w:lineRule="auto"/>
        <w:tabs>
          <w:tab w:leader="none" w:pos="11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anything to the contrary in the second sentence of Section 4.15(b), in the event that the number of directors to be elected to the Board of Directors of the Corporation is increased and there is no public announcement by the Corporation naming all of the nominees for director or specifying the size of the increased Board of Directors at least ninety days prior to the Anniversary Date, a stockholder’s notice required by this Section 4.15 shall also be considered timely, but only with respect to nominees for any new positions created by such increase, if such notice shall be delivered to, or mailed to and received by,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16" w:name="page17"/>
    <w:bookmarkEnd w:id="16"/>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addressed to the Secretary of the Corporation, at its principal executive office not later than the close of business on the tenth day following the day on which such public announcement is first made by the Corporation.</w:t>
      </w:r>
    </w:p>
    <w:p>
      <w:pPr>
        <w:spacing w:after="0" w:line="132" w:lineRule="exact"/>
        <w:rPr>
          <w:sz w:val="20"/>
          <w:szCs w:val="20"/>
          <w:color w:val="auto"/>
        </w:rPr>
      </w:pPr>
    </w:p>
    <w:p>
      <w:pPr>
        <w:ind w:right="60" w:firstLine="921"/>
        <w:spacing w:after="0" w:line="298" w:lineRule="auto"/>
        <w:tabs>
          <w:tab w:leader="none" w:pos="11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person shall be elected by the stockholders as a director of the Corporation unless nominated in accordance with the procedures set forth in this Section 4.15. 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4.15 shall be provided for use at such Annual Meeting.</w:t>
      </w:r>
    </w:p>
    <w:p>
      <w:pPr>
        <w:spacing w:after="0" w:line="112" w:lineRule="exact"/>
        <w:rPr>
          <w:rFonts w:ascii="Arial" w:cs="Arial" w:eastAsia="Arial" w:hAnsi="Arial"/>
          <w:sz w:val="16"/>
          <w:szCs w:val="16"/>
          <w:color w:val="auto"/>
        </w:rPr>
      </w:pPr>
    </w:p>
    <w:p>
      <w:pPr>
        <w:ind w:firstLine="921"/>
        <w:spacing w:after="0" w:line="286" w:lineRule="auto"/>
        <w:tabs>
          <w:tab w:leader="none" w:pos="11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be eligible to be a nominee for election or reelection as a director, the proposed nominee must deliver (in accordance with the time periods prescribed for delivery of notice under Section 4.15) to the Secretary at the principal executive office of the Corporation a written questionnaire with respect to the background and qualification of such nominee (which questionnaire shall be provided by the Secretary upon written request) and a written representation and agreement (in the form provided by the Secretary upon written request) that such nominee (A) is not and will not become a party to (i) any agreement, arrangement or understanding with, and has not given any commitment or assurance to, any person or entity as to how such person will act or vote as a director on any issue or question (a “Voting Commitment”)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246"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Form Of Notice</w:t>
      </w:r>
      <w:r>
        <w:rPr>
          <w:rFonts w:ascii="Arial" w:cs="Arial" w:eastAsia="Arial" w:hAnsi="Arial"/>
          <w:sz w:val="15"/>
          <w:szCs w:val="15"/>
          <w:color w:val="auto"/>
        </w:rPr>
        <w:t>. Whenever, under the provisions of law, or of the Certificate of Incorporation or of these By-Laws, notice is required to be given to any stockholder, such notice may be given by mail, addressed to such stockholder, at his or her address as it appears on the records of the Corporation, with postage thereon prepaid, and such notice shall be deemed to be given at the time when the same shall be deposited in the United States mail. Unless written notice by mail is required by law, notice to any stockholder may also be given by electronic transmission in the manner provided in Section 232 of the General Corporation Law of the State of Delaware, in which case such notice shall be deemed to be given at the times provided in the General Corporation Law of the State of Delaware. It shall be the duty of each stockholder to notify the Corporation of his or her post office address. Notice to directors shall be given as specified in Section 4.8</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ind w:right="1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 </w:t>
      </w:r>
      <w:r>
        <w:rPr>
          <w:rFonts w:ascii="Arial" w:cs="Arial" w:eastAsia="Arial" w:hAnsi="Arial"/>
          <w:sz w:val="16"/>
          <w:szCs w:val="16"/>
          <w:u w:val="single" w:color="auto"/>
          <w:color w:val="auto"/>
        </w:rPr>
        <w:t>Waiver Of Notice</w:t>
      </w:r>
      <w:r>
        <w:rPr>
          <w:rFonts w:ascii="Arial" w:cs="Arial" w:eastAsia="Arial" w:hAnsi="Arial"/>
          <w:sz w:val="16"/>
          <w:szCs w:val="16"/>
          <w:color w:val="auto"/>
        </w:rPr>
        <w:t>.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237"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Officers And Agents</w:t>
      </w:r>
      <w:r>
        <w:rPr>
          <w:rFonts w:ascii="Arial" w:cs="Arial" w:eastAsia="Arial" w:hAnsi="Arial"/>
          <w:sz w:val="16"/>
          <w:szCs w:val="16"/>
          <w:color w:val="auto"/>
        </w:rPr>
        <w: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Election; Enumeration; Qualification</w:t>
      </w:r>
      <w:r>
        <w:rPr>
          <w:rFonts w:ascii="Arial" w:cs="Arial" w:eastAsia="Arial" w:hAnsi="Arial"/>
          <w:sz w:val="16"/>
          <w:szCs w:val="16"/>
          <w:color w:val="auto"/>
        </w:rPr>
        <w:t>.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 need be, a director or stockholder. Any two or more offices may be held by the same person. Any officer may be required by the Board of Directors to secure the faithful performance of his or her duties to the Corporation by giving bond in such amount and with sureties or otherwise as the Board of Directors may determine. If any office becomes vacant, the directors may elect a successor.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Powers And Duties Of The Officers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94" w:lineRule="auto"/>
        <w:tabs>
          <w:tab w:leader="none" w:pos="12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Chairman of the Board of Directors shall preside at all meetings of the Board of Directors and stockholders of the Corporation, shall generally supervise the affairs of the Corporation and see that all orders and resolutions of the Board of Directors are carried into effect, and, together with the President, shall have general supervision and direction of the other officers, employees and agents of the Corporation, subject to the control of the Board of Directors. The Chairman shall have particular responsibility for supervision of the Corporation’s investor relations, financial and legal affairs, and shall have such other powers and perform such other duties and functions as may from time to time be assigned by the Board of Directors.</w:t>
      </w:r>
    </w:p>
    <w:p>
      <w:pPr>
        <w:spacing w:after="0" w:line="115" w:lineRule="exact"/>
        <w:rPr>
          <w:rFonts w:ascii="Arial" w:cs="Arial" w:eastAsia="Arial" w:hAnsi="Arial"/>
          <w:sz w:val="16"/>
          <w:szCs w:val="16"/>
          <w:color w:val="auto"/>
        </w:rPr>
      </w:pPr>
    </w:p>
    <w:p>
      <w:pPr>
        <w:ind w:right="40" w:firstLine="921"/>
        <w:spacing w:after="0" w:line="255" w:lineRule="auto"/>
        <w:tabs>
          <w:tab w:leader="none" w:pos="119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be the Chief Executive Officer of the Corporation, responsible for the general day-to-day management of the business of the Corporation. The President, together with the Chairman of the Board of Directors, shall have general supervision and direction of the other officers, employees and agents of the Corporation, subject to the control of the Board of Directors. The President shall from time to time make such reports of the affairs and operations of the Corporation as the Board of Directors may direct and shall have such other powers and perform such other duties and functions as may from time to time be assigned by the Board of Directors.</w:t>
      </w:r>
    </w:p>
    <w:p>
      <w:pPr>
        <w:spacing w:after="0" w:line="142" w:lineRule="exact"/>
        <w:rPr>
          <w:rFonts w:ascii="Arial" w:cs="Arial" w:eastAsia="Arial" w:hAnsi="Arial"/>
          <w:sz w:val="18"/>
          <w:szCs w:val="18"/>
          <w:color w:val="auto"/>
        </w:rPr>
      </w:pPr>
    </w:p>
    <w:p>
      <w:pPr>
        <w:ind w:right="180" w:firstLine="921"/>
        <w:spacing w:after="0" w:line="259" w:lineRule="auto"/>
        <w:tabs>
          <w:tab w:leader="none" w:pos="119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Senior Vice Presidents</w:t>
      </w:r>
      <w:r>
        <w:rPr>
          <w:rFonts w:ascii="Arial" w:cs="Arial" w:eastAsia="Arial" w:hAnsi="Arial"/>
          <w:sz w:val="18"/>
          <w:szCs w:val="18"/>
          <w:color w:val="auto"/>
        </w:rPr>
        <w:t>. Each Senior Vice President shall have such powers and perform such duties and functions as may from time to time be assigned by the Board of Directors. One Senior Vice President shall be designated by the Board of Directors to, in the event of the President’s absence or disability, perform all the duties and exercise the powers of the President.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ind w:left="-20" w:right="60" w:firstLine="921"/>
        <w:spacing w:after="0" w:line="268"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Vice Presidents</w:t>
      </w:r>
      <w:r>
        <w:rPr>
          <w:rFonts w:ascii="Arial" w:cs="Arial" w:eastAsia="Arial" w:hAnsi="Arial"/>
          <w:sz w:val="18"/>
          <w:szCs w:val="18"/>
          <w:color w:val="auto"/>
        </w:rPr>
        <w:t>. Each Vice President shall have such powers and perform such duties and functions as may from time to time be assigned by the Board of Directors.</w:t>
      </w:r>
    </w:p>
    <w:p>
      <w:pPr>
        <w:spacing w:after="0" w:line="131" w:lineRule="exact"/>
        <w:rPr>
          <w:rFonts w:ascii="Arial" w:cs="Arial" w:eastAsia="Arial" w:hAnsi="Arial"/>
          <w:sz w:val="18"/>
          <w:szCs w:val="18"/>
          <w:color w:val="auto"/>
        </w:rPr>
      </w:pPr>
    </w:p>
    <w:p>
      <w:pPr>
        <w:ind w:left="-20" w:firstLine="921"/>
        <w:spacing w:after="0" w:line="291" w:lineRule="auto"/>
        <w:tabs>
          <w:tab w:leader="none" w:pos="1161"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of Directors and of the stockholders of the Corporation and shall keep the minutes thereof in appropriate books. The Secretary shall give or cause to be given notice of all meetings of stockholders, and special meetings of the Board of Directors to the extent otherwise provided in the By-Laws, and shall perform such other duties as may be incidental to the office of Secretary or as may from time to time be assigned by the Board of Directors. The Secretary shall keep in safe custody the seal of the Corporation and affix it to any instrument when authorized by the Board of Directors. The Secretary shall have custody of the books and records of the Corporation, except such books and records as may be in the custody of the Treasurer or another person authorized by the Board of Directors to have such custody.</w:t>
      </w:r>
    </w:p>
    <w:p>
      <w:pPr>
        <w:spacing w:after="0" w:line="120" w:lineRule="exact"/>
        <w:rPr>
          <w:rFonts w:ascii="Arial" w:cs="Arial" w:eastAsia="Arial" w:hAnsi="Arial"/>
          <w:sz w:val="16"/>
          <w:szCs w:val="16"/>
          <w:color w:val="auto"/>
        </w:rPr>
      </w:pPr>
    </w:p>
    <w:p>
      <w:pPr>
        <w:ind w:left="-20" w:right="40" w:firstLine="921"/>
        <w:spacing w:after="0" w:line="253" w:lineRule="auto"/>
        <w:tabs>
          <w:tab w:leader="none" w:pos="115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the custody of the corporate funds and securities of the Corporation and shall be responsible for the keeping of full and accurate accounts of receipts and disbursements in books belonging to the Corporation, for the deposit of all moneys and other valuable effects in the name and to the credit of the corporation, and for the disbursement of the funds of the Corporation subject to the order of the Board of Directors. The Treasurer shall render to the Chairman of the Board of Directors, the President and the Board of Directors whenever they may so require an account of all his or her transactions as Treasurer and of the financial condition of the Corporation. The Treasurer shall, if required by the Board of Directors, give the Corporation a bond in such sum or sums and with such surety or sureties as shall be satisfactory to the Board of Directors, conditioned upon the faithful performance of his or her duties.</w:t>
      </w:r>
    </w:p>
    <w:p>
      <w:pPr>
        <w:spacing w:after="0" w:line="147" w:lineRule="exact"/>
        <w:rPr>
          <w:rFonts w:ascii="Arial" w:cs="Arial" w:eastAsia="Arial" w:hAnsi="Arial"/>
          <w:sz w:val="18"/>
          <w:szCs w:val="18"/>
          <w:color w:val="auto"/>
        </w:rPr>
      </w:pPr>
    </w:p>
    <w:p>
      <w:pPr>
        <w:ind w:left="-20" w:right="160" w:firstLine="921"/>
        <w:spacing w:after="0" w:line="259"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Assistant Secretaries</w:t>
      </w:r>
      <w:r>
        <w:rPr>
          <w:rFonts w:ascii="Arial" w:cs="Arial" w:eastAsia="Arial" w:hAnsi="Arial"/>
          <w:sz w:val="18"/>
          <w:szCs w:val="18"/>
          <w:color w:val="auto"/>
        </w:rPr>
        <w:t>. The Board of Directors may appoint one or more Assistant Secretaries who shall perform the duties and exercise the powers of the Secretary in the Secretary’s absence or disability and have such other powers and perform such other duties and functions of the Secretary as may from time to time be assigned by the Board of Directors.</w:t>
      </w:r>
    </w:p>
    <w:p>
      <w:pPr>
        <w:spacing w:after="0" w:line="140" w:lineRule="exact"/>
        <w:rPr>
          <w:rFonts w:ascii="Arial" w:cs="Arial" w:eastAsia="Arial" w:hAnsi="Arial"/>
          <w:sz w:val="18"/>
          <w:szCs w:val="18"/>
          <w:color w:val="auto"/>
        </w:rPr>
      </w:pPr>
    </w:p>
    <w:p>
      <w:pPr>
        <w:ind w:left="-20" w:firstLine="921"/>
        <w:spacing w:after="0" w:line="259"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Assistant Treasurers</w:t>
      </w:r>
      <w:r>
        <w:rPr>
          <w:rFonts w:ascii="Arial" w:cs="Arial" w:eastAsia="Arial" w:hAnsi="Arial"/>
          <w:sz w:val="18"/>
          <w:szCs w:val="18"/>
          <w:color w:val="auto"/>
        </w:rPr>
        <w:t>. The Board of Directors may appoint one or more Assistant Treasurers who shall perform the duties and exercise the powers of the Treasurer in the Treasurer’s absence or disability and have such other powers and perform such other duties and functions of the Treasurer as may from time to time be assigned by the Board of Directors.</w:t>
      </w:r>
    </w:p>
    <w:p>
      <w:pPr>
        <w:spacing w:after="0" w:line="140" w:lineRule="exact"/>
        <w:rPr>
          <w:rFonts w:ascii="Arial" w:cs="Arial" w:eastAsia="Arial" w:hAnsi="Arial"/>
          <w:sz w:val="18"/>
          <w:szCs w:val="18"/>
          <w:color w:val="auto"/>
        </w:rPr>
      </w:pPr>
    </w:p>
    <w:p>
      <w:pPr>
        <w:ind w:left="-20" w:right="40" w:firstLine="921"/>
        <w:spacing w:after="0" w:line="259" w:lineRule="auto"/>
        <w:tabs>
          <w:tab w:leader="none" w:pos="111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Subordinate Officers</w:t>
      </w:r>
      <w:r>
        <w:rPr>
          <w:rFonts w:ascii="Arial" w:cs="Arial" w:eastAsia="Arial" w:hAnsi="Arial"/>
          <w:sz w:val="18"/>
          <w:szCs w:val="18"/>
          <w:color w:val="auto"/>
        </w:rPr>
        <w:t>. The Corporation may have such subordinate officers as the Board of Directors may from time to time deem desirable. Each such officer shall hold office for such period and perform such duties as the Board of Directors, the Chairman of the Board of Directors or an officer designated pursuant to this Section 6.2 may prescribe.</w:t>
      </w:r>
    </w:p>
    <w:p>
      <w:pPr>
        <w:spacing w:after="0" w:line="140" w:lineRule="exact"/>
        <w:rPr>
          <w:rFonts w:ascii="Arial" w:cs="Arial" w:eastAsia="Arial" w:hAnsi="Arial"/>
          <w:sz w:val="18"/>
          <w:szCs w:val="18"/>
          <w:color w:val="auto"/>
        </w:rPr>
      </w:pPr>
    </w:p>
    <w:p>
      <w:pPr>
        <w:ind w:left="-20" w:right="20" w:firstLine="921"/>
        <w:spacing w:after="0" w:line="256" w:lineRule="auto"/>
        <w:tabs>
          <w:tab w:leader="none" w:pos="112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Delegation Of Duties</w:t>
      </w:r>
      <w:r>
        <w:rPr>
          <w:rFonts w:ascii="Arial" w:cs="Arial" w:eastAsia="Arial" w:hAnsi="Arial"/>
          <w:sz w:val="18"/>
          <w:szCs w:val="18"/>
          <w:color w:val="auto"/>
        </w:rPr>
        <w:t>. In case of the absence of any officer of the Corporation, or for any other reason that the Board of Directors may deem sufficient, the Chairman of the Board of Directors, the President or the Board of Directors may confer for the time-being the powers or duties, or any of them, of such officer upon any other officer. In the absence of an officer, that officer’s duties shall be performed and his or her authority may be exercised by the next most senior officer, with seniority expressed by the order of appearance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19" w:name="page20"/>
    <w:bookmarkEnd w:id="19"/>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6.2, and, within a category, by seniority in a particular position, with the right reserved to the Board of Directors to make such designation or supersede any designation so made.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Tenure</w:t>
      </w:r>
      <w:r>
        <w:rPr>
          <w:rFonts w:ascii="Arial" w:cs="Arial" w:eastAsia="Arial" w:hAnsi="Arial"/>
          <w:sz w:val="16"/>
          <w:szCs w:val="16"/>
          <w:color w:val="auto"/>
        </w:rPr>
        <w:t>. Each officer shall hold office until the first meeting of the Board of Directors following the next annual meeting of the stockholders and until his or her successor is elected and qualified unless a shorter period shall have been specified in terms of his or her election or appointment, or in each case until he or she sooner dies, resigns, is removed or becomes disqualified. Each agent of the Corporation shall retain his or her authority at the pleasure of the directors, or the officer by whom he or she was appointed or by the officer who then holds agent appointive power.</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Resignation And Removal</w:t>
      </w:r>
      <w:r>
        <w:rPr>
          <w:rFonts w:ascii="Arial" w:cs="Arial" w:eastAsia="Arial" w:hAnsi="Arial"/>
          <w:sz w:val="16"/>
          <w:szCs w:val="16"/>
          <w:color w:val="auto"/>
        </w:rPr>
        <w:t>. Any officer may resign at any time by delivering his or her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 compensation as such officer for any period following his or her resignation or removal, or any right to damages on account of 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24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Capital Stock</w:t>
      </w:r>
      <w:r>
        <w:rPr>
          <w:rFonts w:ascii="Arial" w:cs="Arial" w:eastAsia="Arial" w:hAnsi="Arial"/>
          <w:sz w:val="16"/>
          <w:szCs w:val="16"/>
          <w:color w:val="auto"/>
        </w:rPr>
        <w: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Stock Certificates</w:t>
      </w:r>
      <w:r>
        <w:rPr>
          <w:rFonts w:ascii="Arial" w:cs="Arial" w:eastAsia="Arial" w:hAnsi="Arial"/>
          <w:sz w:val="16"/>
          <w:szCs w:val="16"/>
          <w:color w:val="auto"/>
        </w:rPr>
        <w:t>. The shares of stock of the Corporation shall be represented by certificates, uncertificated shares that may be evidenced by a book-entry system maintained by the registrar of such stock, or a combination of both. If shares are represented by certificates such certificates shall be in such form as shall, in conformity to law, the Certificate of Incorporation and the By-Laws, be prescribed from time to time by the Board of Directors. Such certificate shall be signed by the President or a Vice-President and (i) the Treasurer or an Assistant Treasurer or (ii)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Certificates</w:t>
      </w:r>
      <w:r>
        <w:rPr>
          <w:rFonts w:ascii="Arial" w:cs="Arial" w:eastAsia="Arial" w:hAnsi="Arial"/>
          <w:sz w:val="18"/>
          <w:szCs w:val="18"/>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62"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u w:val="single" w:color="auto"/>
          <w:color w:val="auto"/>
        </w:rPr>
        <w:t>Transfer Of Shares Of Stock</w:t>
      </w:r>
      <w:r>
        <w:rPr>
          <w:rFonts w:ascii="Arial" w:cs="Arial" w:eastAsia="Arial" w:hAnsi="Arial"/>
          <w:sz w:val="15"/>
          <w:szCs w:val="15"/>
          <w:color w:val="auto"/>
        </w:rPr>
        <w:t>.</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Transfer On Books</w:t>
      </w:r>
      <w:r>
        <w:rPr>
          <w:rFonts w:ascii="Arial" w:cs="Arial" w:eastAsia="Arial" w:hAnsi="Arial"/>
          <w:sz w:val="16"/>
          <w:szCs w:val="16"/>
          <w:color w:val="auto"/>
        </w:rPr>
        <w:t>. Subject to any restrictions with respect to the transfer of shares of stock, in the case of certificated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24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provided, however, that the Board of Directors may fix a new record date for the adjourned meeting. Subject to Section 3.12, for the purposes of determining the stockholders entitled to express consent to corporate action in writing without a meeting, unless otherwise required by the Certificate of Incorporation or applicable law, the Board of Directors may fix a record date, which record date shall not precede the date on which the resolution fixing the record date was adopted by the Board of Directors and shall not be more than ten days after the date on which the record date was fixed by the Board of Directors. If no record date is fixed, then:</w:t>
      </w:r>
    </w:p>
    <w:p>
      <w:pPr>
        <w:spacing w:after="0" w:line="124" w:lineRule="exact"/>
        <w:rPr>
          <w:sz w:val="20"/>
          <w:szCs w:val="20"/>
          <w:color w:val="auto"/>
        </w:rPr>
      </w:pPr>
    </w:p>
    <w:p>
      <w:pPr>
        <w:ind w:right="160" w:firstLine="921"/>
        <w:spacing w:after="0" w:line="259" w:lineRule="auto"/>
        <w:tabs>
          <w:tab w:leader="none" w:pos="1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1" w:name="page22"/>
    <w:bookmarkEnd w:id="21"/>
    <w:p>
      <w:pPr>
        <w:ind w:firstLine="921"/>
        <w:spacing w:after="0" w:line="294" w:lineRule="auto"/>
        <w:tabs>
          <w:tab w:leader="none" w:pos="1162"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record date for determining stockholders entitled to express consent to corporate action in writing without a meeting (unless otherwise provided in the Certificate of Incorporation), when no prior action by the Board of Directors is required by applicable law, shall be the first day on which a signed written consent setting forth the action taken or proposed to be taken is delivered to the Corporation in accordance with applicable law; and when prior action by the Board of Directors is required by applicable law, the record date for determining stockholders entitled to express consent to corporate action in writing without a meeting shall be at the close of business on the date on which the Board of Directors takes such prior action; and</w:t>
      </w:r>
    </w:p>
    <w:p>
      <w:pPr>
        <w:spacing w:after="0" w:line="115" w:lineRule="exact"/>
        <w:rPr>
          <w:rFonts w:ascii="Arial" w:cs="Arial" w:eastAsia="Arial" w:hAnsi="Arial"/>
          <w:sz w:val="16"/>
          <w:szCs w:val="16"/>
          <w:color w:val="auto"/>
        </w:rPr>
      </w:pPr>
    </w:p>
    <w:p>
      <w:pPr>
        <w:ind w:right="200" w:firstLine="921"/>
        <w:spacing w:after="0" w:line="268" w:lineRule="auto"/>
        <w:tabs>
          <w:tab w:leader="none" w:pos="11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to such purpose.</w:t>
      </w:r>
    </w:p>
    <w:p>
      <w:pPr>
        <w:spacing w:after="0" w:line="1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Payment Of Dividends</w:t>
      </w:r>
      <w:r>
        <w:rPr>
          <w:rFonts w:ascii="Arial" w:cs="Arial" w:eastAsia="Arial" w:hAnsi="Arial"/>
          <w:sz w:val="16"/>
          <w:szCs w:val="16"/>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the Saturday closest to the 31st of January unless otherwise determined by the Board of Directors.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262"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Corporation shall indemnify and hold harmless, to the fullest extent permitted by applicable law as it presently exists or may hereafter be amended,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right="2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(a “Covered Person”) who was or is a party or is threatened to be made a party to any threatened, pending or completed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entity or enterprise, including service with respect to employee benefit plans, against all liability and loss suffered and expenses (including attorneys’ fees) reasonably incurred by such Covered Person. Notwithstanding the preceding sentence, except as otherwise provided in Section 10.3, the Corporation shall be required to indemnify a Covered Person in connection with a Proceeding (or part thereof) commenced by such Covered Person only if the commencement of such Proceeding (or part thereof) by the Covered Person was authorized by the Board of Directors.</w:t>
      </w:r>
    </w:p>
    <w:p>
      <w:pPr>
        <w:spacing w:after="0" w:line="105"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Expenses</w:t>
      </w:r>
      <w:r>
        <w:rPr>
          <w:rFonts w:ascii="Arial" w:cs="Arial" w:eastAsia="Arial" w:hAnsi="Arial"/>
          <w:sz w:val="16"/>
          <w:szCs w:val="16"/>
          <w:color w:val="auto"/>
        </w:rPr>
        <w:t>. To the extent not prohibited by applicable law,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Section 10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Procedures; Non-Exclusivity; Remedies</w:t>
      </w:r>
      <w:r>
        <w:rPr>
          <w:rFonts w:ascii="Arial" w:cs="Arial" w:eastAsia="Arial" w:hAnsi="Arial"/>
          <w:sz w:val="18"/>
          <w:szCs w:val="18"/>
          <w:color w:val="auto"/>
        </w:rPr>
        <w:t>.</w:t>
      </w:r>
    </w:p>
    <w:p>
      <w:pPr>
        <w:spacing w:after="0" w:line="171" w:lineRule="exact"/>
        <w:rPr>
          <w:sz w:val="20"/>
          <w:szCs w:val="20"/>
          <w:color w:val="auto"/>
        </w:rPr>
      </w:pPr>
    </w:p>
    <w:p>
      <w:pPr>
        <w:jc w:val="both"/>
        <w:ind w:right="60" w:firstLine="921"/>
        <w:spacing w:after="0" w:line="298" w:lineRule="auto"/>
        <w:tabs>
          <w:tab w:leader="none" w:pos="11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 claim for indemnification or advancement of expenses under Section 10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12" w:lineRule="exact"/>
        <w:rPr>
          <w:rFonts w:ascii="Arial" w:cs="Arial" w:eastAsia="Arial" w:hAnsi="Arial"/>
          <w:sz w:val="16"/>
          <w:szCs w:val="16"/>
          <w:color w:val="auto"/>
        </w:rPr>
      </w:pPr>
    </w:p>
    <w:p>
      <w:pPr>
        <w:ind w:right="380" w:firstLine="921"/>
        <w:spacing w:after="0" w:line="259"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rights conferred on any Covered Person by Section 10 shall not be exclusive of any other rights that such Covered Person may have or hereafter acquire under any statute, provision of these By-Laws, the Certificate of Incorporation, agreement, vote of stockholders or disinterested directors or otherwise.</w:t>
      </w:r>
    </w:p>
    <w:p>
      <w:pPr>
        <w:spacing w:after="0" w:line="140" w:lineRule="exact"/>
        <w:rPr>
          <w:rFonts w:ascii="Arial" w:cs="Arial" w:eastAsia="Arial" w:hAnsi="Arial"/>
          <w:sz w:val="18"/>
          <w:szCs w:val="18"/>
          <w:color w:val="auto"/>
        </w:rPr>
      </w:pPr>
    </w:p>
    <w:p>
      <w:pPr>
        <w:ind w:firstLine="921"/>
        <w:spacing w:after="0" w:line="259"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Corporation’s obligation, if any, to indemnify or to advance expenses to any Covered Person who was or is serving at its request as a director, officer, employee or agent of another entity or enterprise shall be reduced by any amount such Covered Person may collect as indemnification or advancement of expenses from such other entity or enterprise.</w:t>
      </w:r>
    </w:p>
    <w:p>
      <w:pPr>
        <w:spacing w:after="0" w:line="140"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amendment or repeal of the foregoing provisions of Section 10 shall not adversely affect any right or protection hereunder of any Covered Person in respect of any act or omission occurring prior to the time of such amendment or repeal.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ind w:right="120" w:firstLine="921"/>
        <w:spacing w:after="0" w:line="268" w:lineRule="auto"/>
        <w:tabs>
          <w:tab w:leader="none" w:pos="1152"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 shall not limit the right of the Corporation, to the extent and in the manner permitted by applicable law, to indemnify and to advance expenses to persons other than Covered Persons when and as authorized by appropriate corporate action.</w:t>
      </w:r>
    </w:p>
    <w:p>
      <w:pPr>
        <w:spacing w:after="0" w:line="25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u w:val="single" w:color="auto"/>
          <w:color w:val="auto"/>
        </w:rPr>
        <w:t>Amendments</w:t>
      </w:r>
      <w:r>
        <w:rPr>
          <w:rFonts w:ascii="Arial" w:cs="Arial" w:eastAsia="Arial" w:hAnsi="Arial"/>
          <w:sz w:val="15"/>
          <w:szCs w:val="15"/>
          <w:color w:val="auto"/>
        </w:rPr>
        <w: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11.1 These By-Laws may be altered, amended or repealed or new By-Laws may be adopted by the stockholders or by the Board of Directors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2)"/>
      <w:numFmt w:val="lowerLetter"/>
      <w:start w:val="1"/>
    </w:lvl>
  </w:abstractNum>
  <w:abstractNum w:abstractNumId="3">
    <w:nsid w:val="140E0F76"/>
    <w:multiLevelType w:val="hybridMultilevel"/>
    <w:lvl w:ilvl="0">
      <w:lvlJc w:val="left"/>
      <w:lvlText w:val="(%1)"/>
      <w:numFmt w:val="decimal"/>
      <w:start w:val="2"/>
    </w:lvl>
    <w:lvl w:ilvl="1">
      <w:lvlJc w:val="left"/>
      <w:lvlText w:val="%2"/>
      <w:numFmt w:val="lowerLetter"/>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decimal"/>
      <w:start w:val="1"/>
    </w:lvl>
    <w:lvl w:ilvl="1">
      <w:lvlJc w:val="left"/>
      <w:lvlText w:val="(%2)"/>
      <w:numFmt w:val="lowerLetter"/>
      <w:start w:val="3"/>
    </w:lvl>
  </w:abstractNum>
  <w:abstractNum w:abstractNumId="6">
    <w:nsid w:val="DED7263"/>
    <w:multiLevelType w:val="hybridMultilevel"/>
    <w:lvl w:ilvl="0">
      <w:lvlJc w:val="left"/>
      <w:lvlText w:val="(%1)"/>
      <w:numFmt w:val="decimal"/>
      <w:start w:val="1"/>
    </w:lvl>
    <w:lvl w:ilvl="1">
      <w:lvlJc w:val="left"/>
      <w:lvlText w:val="%2"/>
      <w:numFmt w:val="lowerLetter"/>
      <w:start w:val="1"/>
    </w:lvl>
  </w:abstractNum>
  <w:abstractNum w:abstractNumId="7">
    <w:nsid w:val="7FDCC233"/>
    <w:multiLevelType w:val="hybridMultilevel"/>
    <w:lvl w:ilvl="0">
      <w:lvlJc w:val="left"/>
      <w:lvlText w:val="(%1)"/>
      <w:numFmt w:val="decimal"/>
      <w:start w:val="6"/>
    </w:lvl>
    <w:lvl w:ilvl="1">
      <w:lvlJc w:val="left"/>
      <w:lvlText w:val="(%2)"/>
      <w:numFmt w:val="lowerLetter"/>
      <w:start w:val="4"/>
    </w:lvl>
  </w:abstractNum>
  <w:abstractNum w:abstractNumId="8">
    <w:nsid w:val="1BEFD79F"/>
    <w:multiLevelType w:val="hybridMultilevel"/>
    <w:lvl w:ilvl="0">
      <w:lvlJc w:val="left"/>
      <w:lvlText w:val="%1"/>
      <w:numFmt w:val="decimal"/>
      <w:start w:val="1"/>
    </w:lvl>
    <w:lvl w:ilvl="1">
      <w:lvlJc w:val="left"/>
      <w:lvlText w:val="(%2)"/>
      <w:numFmt w:val="lowerLetter"/>
      <w:start w:val="7"/>
    </w:lvl>
  </w:abstractNum>
  <w:abstractNum w:abstractNumId="9">
    <w:nsid w:val="41A7C4C9"/>
    <w:multiLevelType w:val="hybridMultilevel"/>
    <w:lvl w:ilvl="0">
      <w:lvlJc w:val="left"/>
      <w:lvlText w:val="(%1)"/>
      <w:numFmt w:val="decimal"/>
      <w:start w:val="1"/>
    </w:lvl>
    <w:lvl w:ilvl="1">
      <w:lvlJc w:val="left"/>
      <w:lvlText w:val="(%2)"/>
      <w:numFmt w:val="lowerLetter"/>
      <w:start w:val="9"/>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
    </w:lvl>
    <w:lvl w:ilvl="1">
      <w:lvlJc w:val="left"/>
      <w:lvlText w:val="(%2)"/>
      <w:numFmt w:val="lowerLetter"/>
      <w:start w:val="3"/>
    </w:lvl>
  </w:abstractNum>
  <w:abstractNum w:abstractNumId="12">
    <w:nsid w:val="25E45D32"/>
    <w:multiLevelType w:val="hybridMultilevel"/>
    <w:lvl w:ilvl="0">
      <w:lvlJc w:val="left"/>
      <w:lvlText w:val="(%1)"/>
      <w:numFmt w:val="decimal"/>
      <w:start w:val="1"/>
    </w:lvl>
    <w:lvl w:ilvl="1">
      <w:lvlJc w:val="left"/>
      <w:lvlText w:val="(%2)"/>
      <w:numFmt w:val="lowerLetter"/>
      <w:start w:val="4"/>
    </w:lvl>
  </w:abstractNum>
  <w:abstractNum w:abstractNumId="13">
    <w:nsid w:val="519B500D"/>
    <w:multiLevelType w:val="hybridMultilevel"/>
    <w:lvl w:ilvl="0">
      <w:lvlJc w:val="left"/>
      <w:lvlText w:val="(%1)"/>
      <w:numFmt w:val="lowerLetter"/>
      <w:start w:val="5"/>
    </w:lvl>
  </w:abstractNum>
  <w:abstractNum w:abstractNumId="14">
    <w:nsid w:val="431BD7B7"/>
    <w:multiLevelType w:val="hybridMultilevel"/>
    <w:lvl w:ilvl="0">
      <w:lvlJc w:val="left"/>
      <w:lvlText w:val="(%1)"/>
      <w:numFmt w:val="lowerLetter"/>
      <w:start w:val="9"/>
    </w:lvl>
  </w:abstractNum>
  <w:abstractNum w:abstractNumId="15">
    <w:nsid w:val="3F2DBA31"/>
    <w:multiLevelType w:val="hybridMultilevel"/>
    <w:lvl w:ilvl="0">
      <w:lvlJc w:val="left"/>
      <w:lvlText w:val="(%1)"/>
      <w:numFmt w:val="upperLetter"/>
      <w:start w:val="1"/>
    </w:lvl>
  </w:abstractNum>
  <w:abstractNum w:abstractNumId="16">
    <w:nsid w:val="7C83E458"/>
    <w:multiLevelType w:val="hybridMultilevel"/>
    <w:lvl w:ilvl="0">
      <w:lvlJc w:val="left"/>
      <w:lvlText w:val="(%1)"/>
      <w:numFmt w:val="upperLetter"/>
      <w:start w:val="4"/>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2019-12-09T09:19:35Z</dcterms:created>
  <dcterms:modified xsi:type="dcterms:W3CDTF">2019-12-09T09:19:35Z</dcterms:modified>
</cp:coreProperties>
</file>