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38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94615</wp:posOffset>
            </wp:positionV>
            <wp:extent cx="15214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174"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109855</wp:posOffset>
            </wp:positionV>
            <wp:extent cx="15214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82" w:lineRule="exact"/>
        <w:rPr>
          <w:sz w:val="24"/>
          <w:szCs w:val="24"/>
          <w:color w:val="auto"/>
        </w:rPr>
      </w:pPr>
    </w:p>
    <w:p>
      <w:pPr>
        <w:ind w:left="4846"/>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ind w:left="3706"/>
        <w:spacing w:after="0"/>
        <w:rPr>
          <w:sz w:val="20"/>
          <w:szCs w:val="20"/>
          <w:color w:val="auto"/>
        </w:rPr>
      </w:pPr>
      <w:r>
        <w:rPr>
          <w:rFonts w:ascii="Arial" w:cs="Arial" w:eastAsia="Arial" w:hAnsi="Arial"/>
          <w:sz w:val="19"/>
          <w:szCs w:val="19"/>
          <w:b w:val="1"/>
          <w:bCs w:val="1"/>
          <w:color w:val="auto"/>
        </w:rPr>
        <w:t>PURSUANT TO SECTION 13 OR 15(d) OF THE</w:t>
      </w:r>
    </w:p>
    <w:p>
      <w:pPr>
        <w:spacing w:after="0" w:line="13" w:lineRule="exact"/>
        <w:rPr>
          <w:sz w:val="24"/>
          <w:szCs w:val="24"/>
          <w:color w:val="auto"/>
        </w:rPr>
      </w:pPr>
    </w:p>
    <w:p>
      <w:pPr>
        <w:jc w:val="center"/>
        <w:ind w:right="-385"/>
        <w:spacing w:after="0"/>
        <w:rPr>
          <w:sz w:val="20"/>
          <w:szCs w:val="20"/>
          <w:color w:val="auto"/>
        </w:rPr>
      </w:pPr>
      <w:r>
        <w:rPr>
          <w:rFonts w:ascii="Arial" w:cs="Arial" w:eastAsia="Arial" w:hAnsi="Arial"/>
          <w:sz w:val="19"/>
          <w:szCs w:val="19"/>
          <w:b w:val="1"/>
          <w:bCs w:val="1"/>
          <w:color w:val="auto"/>
        </w:rPr>
        <w:t>SECURITIES EXCHANGE ACT OF 1934</w:t>
      </w:r>
    </w:p>
    <w:p>
      <w:pPr>
        <w:spacing w:after="0" w:line="126" w:lineRule="exact"/>
        <w:rPr>
          <w:sz w:val="24"/>
          <w:szCs w:val="24"/>
          <w:color w:val="auto"/>
        </w:rPr>
      </w:pPr>
    </w:p>
    <w:p>
      <w:pPr>
        <w:jc w:val="center"/>
        <w:ind w:right="-385"/>
        <w:spacing w:after="0"/>
        <w:rPr>
          <w:sz w:val="20"/>
          <w:szCs w:val="20"/>
          <w:color w:val="auto"/>
        </w:rPr>
      </w:pPr>
      <w:r>
        <w:rPr>
          <w:rFonts w:ascii="Arial" w:cs="Arial" w:eastAsia="Arial" w:hAnsi="Arial"/>
          <w:sz w:val="15"/>
          <w:szCs w:val="15"/>
          <w:b w:val="1"/>
          <w:bCs w:val="1"/>
          <w:color w:val="auto"/>
        </w:rPr>
        <w:t>Date of Report (Date of earliest event reported): January 7, 2010</w:t>
      </w:r>
    </w:p>
    <w:p>
      <w:pPr>
        <w:spacing w:after="0" w:line="156" w:lineRule="exact"/>
        <w:rPr>
          <w:sz w:val="24"/>
          <w:szCs w:val="24"/>
          <w:color w:val="auto"/>
        </w:rPr>
      </w:pPr>
    </w:p>
    <w:p>
      <w:pPr>
        <w:jc w:val="center"/>
        <w:ind w:right="-385"/>
        <w:spacing w:after="0"/>
        <w:rPr>
          <w:sz w:val="20"/>
          <w:szCs w:val="20"/>
          <w:color w:val="auto"/>
        </w:rPr>
      </w:pPr>
      <w:r>
        <w:rPr>
          <w:rFonts w:ascii="Arial" w:cs="Arial" w:eastAsia="Arial" w:hAnsi="Arial"/>
          <w:sz w:val="15"/>
          <w:szCs w:val="15"/>
          <w:b w:val="1"/>
          <w:bCs w:val="1"/>
          <w:color w:val="auto"/>
        </w:rPr>
        <w:t>01-34219</w:t>
      </w:r>
    </w:p>
    <w:p>
      <w:pPr>
        <w:spacing w:after="0" w:line="26" w:lineRule="exact"/>
        <w:rPr>
          <w:sz w:val="24"/>
          <w:szCs w:val="24"/>
          <w:color w:val="auto"/>
        </w:rPr>
      </w:pPr>
    </w:p>
    <w:p>
      <w:pPr>
        <w:jc w:val="center"/>
        <w:ind w:right="-385"/>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84455</wp:posOffset>
            </wp:positionV>
            <wp:extent cx="15214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159" w:lineRule="exact"/>
        <w:rPr>
          <w:sz w:val="24"/>
          <w:szCs w:val="24"/>
          <w:color w:val="auto"/>
        </w:rPr>
      </w:pPr>
    </w:p>
    <w:p>
      <w:pPr>
        <w:ind w:left="2386"/>
        <w:spacing w:after="0"/>
        <w:rPr>
          <w:sz w:val="20"/>
          <w:szCs w:val="20"/>
          <w:color w:val="auto"/>
        </w:rPr>
      </w:pPr>
      <w:r>
        <w:rPr>
          <w:rFonts w:ascii="Arial" w:cs="Arial" w:eastAsia="Arial" w:hAnsi="Arial"/>
          <w:sz w:val="38"/>
          <w:szCs w:val="38"/>
          <w:b w:val="1"/>
          <w:bCs w:val="1"/>
          <w:color w:val="auto"/>
        </w:rPr>
        <w:t>CASUAL MALE RETAIL GROUP, INC.</w:t>
      </w:r>
    </w:p>
    <w:p>
      <w:pPr>
        <w:spacing w:after="0" w:line="39" w:lineRule="exact"/>
        <w:rPr>
          <w:sz w:val="24"/>
          <w:szCs w:val="24"/>
          <w:color w:val="auto"/>
        </w:rPr>
      </w:pPr>
    </w:p>
    <w:tbl>
      <w:tblPr>
        <w:tblLayout w:type="fixed"/>
        <w:tblInd w:w="2266" w:type="dxa"/>
        <w:tblCellMar>
          <w:top w:w="0" w:type="dxa"/>
          <w:left w:w="0" w:type="dxa"/>
          <w:bottom w:w="0" w:type="dxa"/>
          <w:right w:w="0" w:type="dxa"/>
        </w:tblCellMar>
      </w:tblPr>
      <w:tr>
        <w:trPr>
          <w:trHeight w:val="198"/>
        </w:trPr>
        <w:tc>
          <w:tcPr>
            <w:tcW w:w="1480" w:type="dxa"/>
            <w:vAlign w:val="bottom"/>
          </w:tcPr>
          <w:p>
            <w:pPr>
              <w:spacing w:after="0"/>
              <w:rPr>
                <w:sz w:val="17"/>
                <w:szCs w:val="17"/>
                <w:color w:val="auto"/>
              </w:rPr>
            </w:pPr>
          </w:p>
        </w:tc>
        <w:tc>
          <w:tcPr>
            <w:tcW w:w="5920" w:type="dxa"/>
            <w:vAlign w:val="bottom"/>
            <w:gridSpan w:val="3"/>
          </w:tcPr>
          <w:p>
            <w:pPr>
              <w:jc w:val="center"/>
              <w:ind w:right="1921"/>
              <w:spacing w:after="0"/>
              <w:rPr>
                <w:sz w:val="20"/>
                <w:szCs w:val="20"/>
                <w:color w:val="auto"/>
              </w:rPr>
            </w:pPr>
            <w:r>
              <w:rPr>
                <w:rFonts w:ascii="Arial" w:cs="Arial" w:eastAsia="Arial" w:hAnsi="Arial"/>
                <w:sz w:val="15"/>
                <w:szCs w:val="15"/>
                <w:b w:val="1"/>
                <w:bCs w:val="1"/>
                <w:color w:val="auto"/>
                <w:w w:val="91"/>
              </w:rPr>
              <w:t>(Exact name of registrant as specified in its charter)</w:t>
            </w:r>
          </w:p>
        </w:tc>
      </w:tr>
      <w:tr>
        <w:trPr>
          <w:trHeight w:val="138"/>
        </w:trPr>
        <w:tc>
          <w:tcPr>
            <w:tcW w:w="1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2740" w:type="dxa"/>
            <w:vAlign w:val="bottom"/>
          </w:tcPr>
          <w:p>
            <w:pPr>
              <w:spacing w:after="0"/>
              <w:rPr>
                <w:sz w:val="11"/>
                <w:szCs w:val="11"/>
                <w:color w:val="auto"/>
              </w:rPr>
            </w:pPr>
          </w:p>
        </w:tc>
      </w:tr>
      <w:tr>
        <w:trPr>
          <w:trHeight w:val="263"/>
        </w:trPr>
        <w:tc>
          <w:tcPr>
            <w:tcW w:w="1480" w:type="dxa"/>
            <w:vAlign w:val="bottom"/>
          </w:tcPr>
          <w:p>
            <w:pPr>
              <w:jc w:val="center"/>
              <w:ind w:right="212"/>
              <w:spacing w:after="0"/>
              <w:rPr>
                <w:sz w:val="20"/>
                <w:szCs w:val="20"/>
                <w:color w:val="auto"/>
              </w:rPr>
            </w:pPr>
            <w:r>
              <w:rPr>
                <w:rFonts w:ascii="Arial" w:cs="Arial" w:eastAsia="Arial" w:hAnsi="Arial"/>
                <w:sz w:val="15"/>
                <w:szCs w:val="15"/>
                <w:b w:val="1"/>
                <w:bCs w:val="1"/>
                <w:color w:val="auto"/>
                <w:w w:val="91"/>
              </w:rPr>
              <w:t>Delaware</w:t>
            </w:r>
          </w:p>
        </w:tc>
        <w:tc>
          <w:tcPr>
            <w:tcW w:w="5920" w:type="dxa"/>
            <w:vAlign w:val="bottom"/>
            <w:gridSpan w:val="3"/>
          </w:tcPr>
          <w:p>
            <w:pPr>
              <w:jc w:val="right"/>
              <w:ind w:right="541"/>
              <w:spacing w:after="0"/>
              <w:rPr>
                <w:sz w:val="20"/>
                <w:szCs w:val="20"/>
                <w:color w:val="auto"/>
              </w:rPr>
            </w:pPr>
            <w:r>
              <w:rPr>
                <w:rFonts w:ascii="Arial" w:cs="Arial" w:eastAsia="Arial" w:hAnsi="Arial"/>
                <w:sz w:val="15"/>
                <w:szCs w:val="15"/>
                <w:b w:val="1"/>
                <w:bCs w:val="1"/>
                <w:color w:val="auto"/>
              </w:rPr>
              <w:t>04-2623104</w:t>
            </w:r>
          </w:p>
        </w:tc>
      </w:tr>
      <w:tr>
        <w:trPr>
          <w:trHeight w:val="151"/>
        </w:trPr>
        <w:tc>
          <w:tcPr>
            <w:tcW w:w="1480" w:type="dxa"/>
            <w:vAlign w:val="bottom"/>
          </w:tcPr>
          <w:p>
            <w:pPr>
              <w:jc w:val="center"/>
              <w:ind w:right="212"/>
              <w:spacing w:after="0"/>
              <w:rPr>
                <w:sz w:val="20"/>
                <w:szCs w:val="20"/>
                <w:color w:val="auto"/>
              </w:rPr>
            </w:pPr>
            <w:r>
              <w:rPr>
                <w:rFonts w:ascii="Arial" w:cs="Arial" w:eastAsia="Arial" w:hAnsi="Arial"/>
                <w:sz w:val="12"/>
                <w:szCs w:val="12"/>
                <w:b w:val="1"/>
                <w:bCs w:val="1"/>
                <w:color w:val="auto"/>
                <w:w w:val="90"/>
              </w:rPr>
              <w:t>(State of Incorporation)</w:t>
            </w:r>
          </w:p>
        </w:tc>
        <w:tc>
          <w:tcPr>
            <w:tcW w:w="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740" w:type="dxa"/>
            <w:vAlign w:val="bottom"/>
          </w:tcPr>
          <w:p>
            <w:pPr>
              <w:jc w:val="center"/>
              <w:ind w:left="741"/>
              <w:spacing w:after="0"/>
              <w:rPr>
                <w:sz w:val="20"/>
                <w:szCs w:val="20"/>
                <w:color w:val="auto"/>
              </w:rPr>
            </w:pPr>
            <w:r>
              <w:rPr>
                <w:rFonts w:ascii="Arial" w:cs="Arial" w:eastAsia="Arial" w:hAnsi="Arial"/>
                <w:sz w:val="12"/>
                <w:szCs w:val="12"/>
                <w:b w:val="1"/>
                <w:bCs w:val="1"/>
                <w:color w:val="auto"/>
                <w:w w:val="91"/>
              </w:rPr>
              <w:t>(IRS Employer Identification Number)</w:t>
            </w:r>
          </w:p>
        </w:tc>
      </w:tr>
      <w:tr>
        <w:trPr>
          <w:trHeight w:val="307"/>
        </w:trPr>
        <w:tc>
          <w:tcPr>
            <w:tcW w:w="1480" w:type="dxa"/>
            <w:vAlign w:val="bottom"/>
          </w:tcPr>
          <w:p>
            <w:pPr>
              <w:spacing w:after="0"/>
              <w:rPr>
                <w:sz w:val="24"/>
                <w:szCs w:val="24"/>
                <w:color w:val="auto"/>
              </w:rPr>
            </w:pPr>
          </w:p>
        </w:tc>
        <w:tc>
          <w:tcPr>
            <w:tcW w:w="5920" w:type="dxa"/>
            <w:vAlign w:val="bottom"/>
            <w:gridSpan w:val="3"/>
          </w:tcPr>
          <w:p>
            <w:pPr>
              <w:jc w:val="center"/>
              <w:ind w:right="1921"/>
              <w:spacing w:after="0"/>
              <w:rPr>
                <w:sz w:val="20"/>
                <w:szCs w:val="20"/>
                <w:color w:val="auto"/>
              </w:rPr>
            </w:pPr>
            <w:r>
              <w:rPr>
                <w:rFonts w:ascii="Arial" w:cs="Arial" w:eastAsia="Arial" w:hAnsi="Arial"/>
                <w:sz w:val="15"/>
                <w:szCs w:val="15"/>
                <w:b w:val="1"/>
                <w:bCs w:val="1"/>
                <w:color w:val="auto"/>
                <w:w w:val="91"/>
              </w:rPr>
              <w:t>555 Turnpike Street, Canton, Massachusetts 02021</w:t>
            </w:r>
          </w:p>
        </w:tc>
      </w:tr>
      <w:tr>
        <w:trPr>
          <w:trHeight w:val="151"/>
        </w:trPr>
        <w:tc>
          <w:tcPr>
            <w:tcW w:w="1480" w:type="dxa"/>
            <w:vAlign w:val="bottom"/>
          </w:tcPr>
          <w:p>
            <w:pPr>
              <w:spacing w:after="0"/>
              <w:rPr>
                <w:sz w:val="13"/>
                <w:szCs w:val="13"/>
                <w:color w:val="auto"/>
              </w:rPr>
            </w:pPr>
          </w:p>
        </w:tc>
        <w:tc>
          <w:tcPr>
            <w:tcW w:w="5920" w:type="dxa"/>
            <w:vAlign w:val="bottom"/>
            <w:gridSpan w:val="3"/>
          </w:tcPr>
          <w:p>
            <w:pPr>
              <w:jc w:val="center"/>
              <w:ind w:right="1921"/>
              <w:spacing w:after="0"/>
              <w:rPr>
                <w:sz w:val="20"/>
                <w:szCs w:val="20"/>
                <w:color w:val="auto"/>
              </w:rPr>
            </w:pPr>
            <w:r>
              <w:rPr>
                <w:rFonts w:ascii="Arial" w:cs="Arial" w:eastAsia="Arial" w:hAnsi="Arial"/>
                <w:sz w:val="12"/>
                <w:szCs w:val="12"/>
                <w:b w:val="1"/>
                <w:bCs w:val="1"/>
                <w:color w:val="auto"/>
                <w:w w:val="87"/>
              </w:rPr>
              <w:t>(Address of registrant’s principal executive office)</w:t>
            </w:r>
          </w:p>
        </w:tc>
      </w:tr>
      <w:tr>
        <w:trPr>
          <w:trHeight w:val="307"/>
        </w:trPr>
        <w:tc>
          <w:tcPr>
            <w:tcW w:w="1480" w:type="dxa"/>
            <w:vAlign w:val="bottom"/>
          </w:tcPr>
          <w:p>
            <w:pPr>
              <w:spacing w:after="0"/>
              <w:rPr>
                <w:sz w:val="24"/>
                <w:szCs w:val="24"/>
                <w:color w:val="auto"/>
              </w:rPr>
            </w:pPr>
          </w:p>
        </w:tc>
        <w:tc>
          <w:tcPr>
            <w:tcW w:w="3180" w:type="dxa"/>
            <w:vAlign w:val="bottom"/>
            <w:gridSpan w:val="2"/>
          </w:tcPr>
          <w:p>
            <w:pPr>
              <w:jc w:val="center"/>
              <w:ind w:left="707"/>
              <w:spacing w:after="0"/>
              <w:rPr>
                <w:sz w:val="20"/>
                <w:szCs w:val="20"/>
                <w:color w:val="auto"/>
              </w:rPr>
            </w:pPr>
            <w:r>
              <w:rPr>
                <w:rFonts w:ascii="Arial" w:cs="Arial" w:eastAsia="Arial" w:hAnsi="Arial"/>
                <w:sz w:val="15"/>
                <w:szCs w:val="15"/>
                <w:b w:val="1"/>
                <w:bCs w:val="1"/>
                <w:color w:val="auto"/>
                <w:w w:val="93"/>
              </w:rPr>
              <w:t>(781) 828-9300</w:t>
            </w:r>
          </w:p>
        </w:tc>
        <w:tc>
          <w:tcPr>
            <w:tcW w:w="2740" w:type="dxa"/>
            <w:vAlign w:val="bottom"/>
          </w:tcPr>
          <w:p>
            <w:pPr>
              <w:spacing w:after="0"/>
              <w:rPr>
                <w:sz w:val="24"/>
                <w:szCs w:val="24"/>
                <w:color w:val="auto"/>
              </w:rPr>
            </w:pPr>
          </w:p>
        </w:tc>
      </w:tr>
      <w:tr>
        <w:trPr>
          <w:trHeight w:val="151"/>
        </w:trPr>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140" w:type="dxa"/>
            <w:vAlign w:val="bottom"/>
            <w:gridSpan w:val="2"/>
          </w:tcPr>
          <w:p>
            <w:pPr>
              <w:jc w:val="center"/>
              <w:ind w:right="2701"/>
              <w:spacing w:after="0"/>
              <w:rPr>
                <w:sz w:val="20"/>
                <w:szCs w:val="20"/>
                <w:color w:val="auto"/>
              </w:rPr>
            </w:pPr>
            <w:r>
              <w:rPr>
                <w:rFonts w:ascii="Arial" w:cs="Arial" w:eastAsia="Arial" w:hAnsi="Arial"/>
                <w:sz w:val="12"/>
                <w:szCs w:val="12"/>
                <w:b w:val="1"/>
                <w:bCs w:val="1"/>
                <w:color w:val="auto"/>
                <w:w w:val="87"/>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82550</wp:posOffset>
            </wp:positionV>
            <wp:extent cx="15214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186" w:lineRule="exact"/>
        <w:rPr>
          <w:sz w:val="24"/>
          <w:szCs w:val="24"/>
          <w:color w:val="auto"/>
        </w:rPr>
      </w:pPr>
    </w:p>
    <w:p>
      <w:pPr>
        <w:ind w:left="6"/>
        <w:spacing w:after="0" w:line="291"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34"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2644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066"/>
          </w:cols>
          <w:pgMar w:left="234" w:top="291" w:right="5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5040" cy="34925"/>
                    </a:xfrm>
                    <a:prstGeom prst="rect">
                      <a:avLst/>
                    </a:prstGeom>
                    <a:noFill/>
                  </pic:spPr>
                </pic:pic>
              </a:graphicData>
            </a:graphic>
          </wp:anchor>
        </w:drawing>
        <w:t>ITEM 5.02</w:t>
      </w:r>
      <w:r>
        <w:rPr>
          <w:sz w:val="20"/>
          <w:szCs w:val="20"/>
          <w:color w:val="auto"/>
        </w:rPr>
        <w:tab/>
      </w:r>
      <w:r>
        <w:rPr>
          <w:rFonts w:ascii="Arial" w:cs="Arial" w:eastAsia="Arial" w:hAnsi="Arial"/>
          <w:sz w:val="13"/>
          <w:szCs w:val="13"/>
          <w:b w:val="1"/>
          <w:bCs w:val="1"/>
          <w:color w:val="auto"/>
        </w:rPr>
        <w:t>Departure of Directors or Certain Officers; Election of Directors; Appointment of Certain Officers; Compensatory Arrangements of Certain Officers.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Compensatory Arrangements of Certain Officers</w:t>
      </w:r>
    </w:p>
    <w:p>
      <w:pPr>
        <w:spacing w:after="0" w:line="86"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On January 7, 2010, Casual Male Retail Group, Inc. (the “Company”) entered into new Employment Agreements (collectively, the “Employment Agreements”) which supersede the prior agreements, with each of Henry J. Metscher, Senior Vice President, General Merchandise Manager, Direct Businesses and President of Footwear/LivingXL and Robert S. Molloy, Vice President, General Counsel. Messrs. Metscher and Molloy were “named executive officers” in the Company’s 2009 Proxy Statement.</w:t>
      </w:r>
    </w:p>
    <w:p>
      <w:pPr>
        <w:spacing w:after="0" w:line="93" w:lineRule="exact"/>
        <w:rPr>
          <w:sz w:val="20"/>
          <w:szCs w:val="20"/>
          <w:color w:val="auto"/>
        </w:rPr>
      </w:pPr>
    </w:p>
    <w:p>
      <w:pPr>
        <w:ind w:right="160"/>
        <w:spacing w:after="0" w:line="296" w:lineRule="auto"/>
        <w:rPr>
          <w:sz w:val="20"/>
          <w:szCs w:val="20"/>
          <w:color w:val="auto"/>
        </w:rPr>
      </w:pPr>
      <w:r>
        <w:rPr>
          <w:rFonts w:ascii="Arial" w:cs="Arial" w:eastAsia="Arial" w:hAnsi="Arial"/>
          <w:sz w:val="14"/>
          <w:szCs w:val="14"/>
          <w:color w:val="auto"/>
        </w:rPr>
        <w:t>The term of the Employment Agreements begin January 7, 2010 and continue until terminated by either party. The Employment Agreements provide that Messrs. Metscher and Molloy will be paid base salaries of $300,000 and $325,000 per year, respectively, with an annual automobile allowance of $8,400 for Mr. Metscher and $7,200 for Mr. Molloy. Each executive will also be eligible to participate in the Company’s Annual Incentive Plan at a target rate of 35% of each executive’s actual annual base salary, as defined in that plan, and in its Long Term Incentive Plan (“LTIP”) at a target incentive rate of 70% of each executive’s combined actual annual base earnings for the incentive period.</w:t>
      </w:r>
    </w:p>
    <w:p>
      <w:pPr>
        <w:spacing w:after="0" w:line="98" w:lineRule="exact"/>
        <w:rPr>
          <w:sz w:val="20"/>
          <w:szCs w:val="20"/>
          <w:color w:val="auto"/>
        </w:rPr>
      </w:pPr>
    </w:p>
    <w:p>
      <w:pPr>
        <w:jc w:val="both"/>
        <w:ind w:right="280"/>
        <w:spacing w:after="0" w:line="276" w:lineRule="auto"/>
        <w:rPr>
          <w:sz w:val="20"/>
          <w:szCs w:val="20"/>
          <w:color w:val="auto"/>
        </w:rPr>
      </w:pPr>
      <w:r>
        <w:rPr>
          <w:rFonts w:ascii="Arial" w:cs="Arial" w:eastAsia="Arial" w:hAnsi="Arial"/>
          <w:sz w:val="15"/>
          <w:szCs w:val="15"/>
          <w:color w:val="auto"/>
        </w:rPr>
        <w:t>The Employment Agreements provide that in the event the executive officer’s employment is terminated by the Company at any time for any reason other than “justifiable cause” (as defined in the Employment Agreements), disability or death, the Company is required to pay the executive his then current base salary for five months after the effectiveness of such termination. This severance benefit is conditioned upon the executive officer’s execution of a general release.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above-listed payments are not made if the executive officer is terminated with “justifiable cause”, the executive officer resigns, or the executive officer dies or becomes disabled.</w:t>
      </w:r>
    </w:p>
    <w:p>
      <w:pPr>
        <w:spacing w:after="0" w:line="168"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In the event the executive officer’s employment is terminated at any time within one (1) year following a Change of Control (as defined in the Employment Agreement) other than for “justifiable cause,” or if the executive resigns for “good reason” (as defined in the Employee Agreement), the Company shall pay the executive an amount equal to twelve months of executive’s highest Base Salary in effect at any time during the six (6) month period ending on the date of the Change of Control. This payment also is conditioned upon the executive officer’s execution of a general release. Payments made under this provision are to be reduced if and to the extent necessary to avoid any payments or benefits to executive being treated as “excess parachute payments” within the meaning of Internal Revenue Code Section 280G(b)(i).</w:t>
      </w:r>
    </w:p>
    <w:p>
      <w:pPr>
        <w:spacing w:after="0" w:line="118"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The Employment Agreements contain confidentiality provisions pursuant to which each executive officer agrees not to disclose confidential information regarding the Company. The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w:t>
      </w:r>
    </w:p>
    <w:p>
      <w:pPr>
        <w:sectPr>
          <w:pgSz w:w="11900" w:h="16838" w:orient="portrait"/>
          <w:cols w:equalWidth="0" w:num="1">
            <w:col w:w="11380"/>
          </w:cols>
          <w:pgMar w:left="240" w:top="258" w:right="279" w:bottom="1440" w:gutter="0" w:footer="0" w:header="0"/>
        </w:sectPr>
      </w:pPr>
    </w:p>
    <w:bookmarkStart w:id="2" w:name="page3"/>
    <w:bookmarkEnd w:id="2"/>
    <w:p>
      <w:pPr>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5040" cy="34925"/>
                    </a:xfrm>
                    <a:prstGeom prst="rect">
                      <a:avLst/>
                    </a:prstGeom>
                    <a:noFill/>
                  </pic:spPr>
                </pic:pic>
              </a:graphicData>
            </a:graphic>
          </wp:anchor>
        </w:drawing>
        <w:t>the “big and tall” retail or wholesale marketing concept as part of its business. The Employment Agreements also contain a “clawback” provision which provides for remedies in the event the Company learns after the executive officer’s termination by the Company other than for “justifiable cause” that the executive officer could have been terminated for “justifiable cause”.</w:t>
      </w:r>
    </w:p>
    <w:p>
      <w:pPr>
        <w:spacing w:after="0" w:line="211"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 Regulation FD Disclosure</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The Company will be presenting a slide presentation to various investment groups at upcoming investor conferences beginning on January 12, 2010. A copy of the slides to be presented at those conferences is attached to this report as Exhibit 99.1, which slide presentation is incorporated by reference herein.</w:t>
      </w:r>
    </w:p>
    <w:p>
      <w:pPr>
        <w:spacing w:after="0" w:line="99" w:lineRule="exact"/>
        <w:rPr>
          <w:sz w:val="20"/>
          <w:szCs w:val="20"/>
          <w:color w:val="auto"/>
        </w:rPr>
      </w:pPr>
    </w:p>
    <w:p>
      <w:pPr>
        <w:ind w:right="40"/>
        <w:spacing w:after="0" w:line="292" w:lineRule="auto"/>
        <w:rPr>
          <w:sz w:val="20"/>
          <w:szCs w:val="20"/>
          <w:color w:val="auto"/>
        </w:rPr>
      </w:pPr>
      <w:r>
        <w:rPr>
          <w:rFonts w:ascii="Arial" w:cs="Arial" w:eastAsia="Arial" w:hAnsi="Arial"/>
          <w:sz w:val="14"/>
          <w:szCs w:val="14"/>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Presentation of Non-GAAP Measures</w:t>
      </w:r>
    </w:p>
    <w:p>
      <w:pPr>
        <w:spacing w:after="0" w:line="86"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The slide presentation includes the discussion of non-GAAP free cash flow on slide 4. Free cash flow is not a measure determined by generally accepted accounting principles (“GAAP”) and should not be considered superior to or as a substitute for net income (loss) or cash flows from operating activities or any other measure of performance derived in accordance with GAAP.</w:t>
      </w:r>
    </w:p>
    <w:p>
      <w:pPr>
        <w:spacing w:after="0" w:line="110"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addition, all companies do not calculate non-GAAP financial measures in the same manner and, accordingly, “free cash flows” as presented in this slide presentation may not be comparable to similar measures used by other companies. The Company calculates free cash flows as cash flow from operating activities less capital expenditures and discretionary store asset acquisitions, if any. We calculate projected free cash flows for fiscal 2009 of $15.0-$20.0 million as estimated cash flow from operating activities of $20.0-$25.0 million, less estimated capital expenditures of $5.0 million (no discretionary store asset acquisitions are anticipated in fiscal 2009). Free cash flow for fiscal 2008 of $7.6 million was calculated as cash flow from operating activities of $23.2 million less capital expenditures of $12.6 million and less $3.0 million for discretionary store asset acquisitions. Free cash flow for fiscal 2007 of $(9.6) million was calculated as cash flow from operating activities of $11.7 million less capital expenditures of $21.3 million. There were no discretionary store asset acquisitions in fiscal 2007. During the second quarter of fiscal 2009, we changed our method of calculating free cash flow to include, as a deduction, the use of cash for discretionary store asset acquisitions, if any. Accordingly, free cash flow for fiscal 2008, which was previously defined as cash flow from operating activities less capital expenditures, was restated to include, as a deduction, the cash used for discretionary store asset acquisitions of $3.0 million, for the Company’s acquisition of Dahle Big &amp; Tall stores.</w:t>
      </w:r>
    </w:p>
    <w:p>
      <w:pPr>
        <w:sectPr>
          <w:pgSz w:w="11900" w:h="16838" w:orient="portrait"/>
          <w:cols w:equalWidth="0" w:num="1">
            <w:col w:w="11420"/>
          </w:cols>
          <w:pgMar w:left="240" w:top="262" w:right="239" w:bottom="1440" w:gutter="0" w:footer="0" w:header="0"/>
        </w:sectPr>
      </w:pPr>
    </w:p>
    <w:bookmarkStart w:id="3" w:name="page4"/>
    <w:bookmarkEnd w:id="3"/>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5040" cy="34925"/>
                    </a:xfrm>
                    <a:prstGeom prst="rect">
                      <a:avLst/>
                    </a:prstGeom>
                    <a:noFill/>
                  </pic:spPr>
                </pic:pic>
              </a:graphicData>
            </a:graphic>
          </wp:anchor>
        </w:drawing>
        <w:t>We believe that inclusion of this non-GAAP measure helps investors gain a better understanding of our performance, especially when comparing such results to previous periods</w:t>
      </w:r>
    </w:p>
    <w:p>
      <w:pPr>
        <w:spacing w:after="0" w:line="281"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5"/>
          <w:szCs w:val="15"/>
          <w:b w:val="1"/>
          <w:bCs w:val="1"/>
          <w:color w:val="auto"/>
        </w:rPr>
        <w:t>- FINANCIAL STATEMENTS AND EXHIBITS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 Exhibits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120" w:type="dxa"/>
            <w:vAlign w:val="bottom"/>
          </w:tcPr>
          <w:p>
            <w:pPr>
              <w:spacing w:after="0"/>
              <w:rPr>
                <w:sz w:val="12"/>
                <w:szCs w:val="12"/>
                <w:color w:val="auto"/>
              </w:rPr>
            </w:pPr>
          </w:p>
        </w:tc>
      </w:tr>
      <w:tr>
        <w:trPr>
          <w:trHeight w:val="140"/>
        </w:trPr>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No.</w:t>
            </w:r>
          </w:p>
        </w:tc>
        <w:tc>
          <w:tcPr>
            <w:tcW w:w="54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0"/>
              </w:rPr>
              <w:t>Description</w:t>
            </w:r>
          </w:p>
        </w:tc>
        <w:tc>
          <w:tcPr>
            <w:tcW w:w="5120" w:type="dxa"/>
            <w:vAlign w:val="bottom"/>
          </w:tcPr>
          <w:p>
            <w:pPr>
              <w:spacing w:after="0"/>
              <w:rPr>
                <w:sz w:val="12"/>
                <w:szCs w:val="12"/>
                <w:color w:val="auto"/>
              </w:rPr>
            </w:pPr>
          </w:p>
        </w:tc>
      </w:tr>
      <w:tr>
        <w:trPr>
          <w:trHeight w:val="273"/>
        </w:trPr>
        <w:tc>
          <w:tcPr>
            <w:tcW w:w="400" w:type="dxa"/>
            <w:vAlign w:val="bottom"/>
          </w:tcPr>
          <w:p>
            <w:pPr>
              <w:jc w:val="center"/>
              <w:spacing w:after="0"/>
              <w:rPr>
                <w:sz w:val="20"/>
                <w:szCs w:val="20"/>
                <w:color w:val="auto"/>
              </w:rPr>
            </w:pPr>
            <w:r>
              <w:rPr>
                <w:rFonts w:ascii="Arial" w:cs="Arial" w:eastAsia="Arial" w:hAnsi="Arial"/>
                <w:sz w:val="15"/>
                <w:szCs w:val="15"/>
                <w:color w:val="auto"/>
                <w:w w:val="88"/>
              </w:rPr>
              <w:t>10.1</w:t>
            </w:r>
          </w:p>
        </w:tc>
        <w:tc>
          <w:tcPr>
            <w:tcW w:w="540" w:type="dxa"/>
            <w:vAlign w:val="bottom"/>
          </w:tcPr>
          <w:p>
            <w:pPr>
              <w:spacing w:after="0"/>
              <w:rPr>
                <w:sz w:val="23"/>
                <w:szCs w:val="23"/>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w w:val="91"/>
              </w:rPr>
              <w:t>Employment Agreement dated January 7, 2010 between the Company and Henry J. Metscher.</w:t>
            </w:r>
          </w:p>
        </w:tc>
      </w:tr>
      <w:tr>
        <w:trPr>
          <w:trHeight w:val="282"/>
        </w:trPr>
        <w:tc>
          <w:tcPr>
            <w:tcW w:w="400" w:type="dxa"/>
            <w:vAlign w:val="bottom"/>
          </w:tcPr>
          <w:p>
            <w:pPr>
              <w:jc w:val="center"/>
              <w:spacing w:after="0"/>
              <w:rPr>
                <w:sz w:val="20"/>
                <w:szCs w:val="20"/>
                <w:color w:val="auto"/>
              </w:rPr>
            </w:pPr>
            <w:r>
              <w:rPr>
                <w:rFonts w:ascii="Arial" w:cs="Arial" w:eastAsia="Arial" w:hAnsi="Arial"/>
                <w:sz w:val="15"/>
                <w:szCs w:val="15"/>
                <w:color w:val="auto"/>
                <w:w w:val="88"/>
              </w:rPr>
              <w:t>10.2</w:t>
            </w:r>
          </w:p>
        </w:tc>
        <w:tc>
          <w:tcPr>
            <w:tcW w:w="5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w w:val="92"/>
              </w:rPr>
              <w:t>Employment Agreement dated January 7, 2010 between the Company and Robert S. Molloy.</w:t>
            </w:r>
          </w:p>
        </w:tc>
      </w:tr>
      <w:tr>
        <w:trPr>
          <w:trHeight w:val="282"/>
        </w:trPr>
        <w:tc>
          <w:tcPr>
            <w:tcW w:w="400" w:type="dxa"/>
            <w:vAlign w:val="bottom"/>
          </w:tcPr>
          <w:p>
            <w:pPr>
              <w:jc w:val="center"/>
              <w:spacing w:after="0"/>
              <w:rPr>
                <w:sz w:val="20"/>
                <w:szCs w:val="20"/>
                <w:color w:val="auto"/>
              </w:rPr>
            </w:pPr>
            <w:r>
              <w:rPr>
                <w:rFonts w:ascii="Arial" w:cs="Arial" w:eastAsia="Arial" w:hAnsi="Arial"/>
                <w:sz w:val="15"/>
                <w:szCs w:val="15"/>
                <w:color w:val="auto"/>
                <w:w w:val="88"/>
              </w:rPr>
              <w:t>99.1</w:t>
            </w:r>
          </w:p>
        </w:tc>
        <w:tc>
          <w:tcPr>
            <w:tcW w:w="5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Investor Presentation dated January 2010.</w:t>
            </w:r>
          </w:p>
        </w:tc>
      </w:tr>
    </w:tbl>
    <w:p>
      <w:pPr>
        <w:sectPr>
          <w:pgSz w:w="11900" w:h="16838" w:orient="portrait"/>
          <w:cols w:equalWidth="0" w:num="1">
            <w:col w:w="10820"/>
          </w:cols>
          <w:pgMar w:left="240" w:top="262" w:right="8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5040" cy="34925"/>
                    </a:xfrm>
                    <a:prstGeom prst="rect">
                      <a:avLst/>
                    </a:prstGeom>
                    <a:noFill/>
                  </pic:spPr>
                </pic:pic>
              </a:graphicData>
            </a:graphic>
          </wp:anchor>
        </w:drawing>
        <w:t>SIGNATURES</w:t>
      </w:r>
    </w:p>
    <w:p>
      <w:pPr>
        <w:spacing w:after="0" w:line="160"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w:t>
      </w:r>
    </w:p>
    <w:p>
      <w:pPr>
        <w:spacing w:after="0" w:line="203" w:lineRule="exact"/>
        <w:rPr>
          <w:sz w:val="20"/>
          <w:szCs w:val="20"/>
          <w:color w:val="auto"/>
        </w:rPr>
      </w:pPr>
    </w:p>
    <w:tbl>
      <w:tblPr>
        <w:tblLayout w:type="fixed"/>
        <w:tblInd w:w="6860" w:type="dxa"/>
        <w:tblCellMar>
          <w:top w:w="0" w:type="dxa"/>
          <w:left w:w="0" w:type="dxa"/>
          <w:bottom w:w="0" w:type="dxa"/>
          <w:right w:w="0" w:type="dxa"/>
        </w:tblCellMar>
      </w:tblPr>
      <w:tr>
        <w:trPr>
          <w:trHeight w:val="194"/>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4060" w:type="dxa"/>
            <w:vAlign w:val="bottom"/>
            <w:tcBorders>
              <w:bottom w:val="single" w:sz="8" w:color="auto"/>
            </w:tcBorders>
          </w:tcPr>
          <w:p>
            <w:pPr>
              <w:ind w:left="1020"/>
              <w:spacing w:after="0"/>
              <w:rPr>
                <w:sz w:val="20"/>
                <w:szCs w:val="20"/>
                <w:color w:val="auto"/>
              </w:rPr>
            </w:pPr>
            <w:r>
              <w:rPr>
                <w:rFonts w:ascii="Arial" w:cs="Arial" w:eastAsia="Arial" w:hAnsi="Arial"/>
                <w:sz w:val="15"/>
                <w:szCs w:val="15"/>
                <w:color w:val="auto"/>
              </w:rPr>
              <w:t>/s/  D</w:t>
            </w:r>
            <w:r>
              <w:rPr>
                <w:rFonts w:ascii="Arial" w:cs="Arial" w:eastAsia="Arial" w:hAnsi="Arial"/>
                <w:sz w:val="12"/>
                <w:szCs w:val="12"/>
                <w:color w:val="auto"/>
              </w:rPr>
              <w:t>ENNIS</w:t>
            </w:r>
            <w:r>
              <w:rPr>
                <w:rFonts w:ascii="Arial" w:cs="Arial" w:eastAsia="Arial" w:hAnsi="Arial"/>
                <w:sz w:val="15"/>
                <w:szCs w:val="15"/>
                <w:color w:val="auto"/>
              </w:rPr>
              <w:t xml:space="preserve"> R. H</w:t>
            </w:r>
            <w:r>
              <w:rPr>
                <w:rFonts w:ascii="Arial" w:cs="Arial" w:eastAsia="Arial" w:hAnsi="Arial"/>
                <w:sz w:val="12"/>
                <w:szCs w:val="12"/>
                <w:color w:val="auto"/>
              </w:rPr>
              <w:t>ERNREICH</w:t>
            </w:r>
          </w:p>
        </w:tc>
      </w:tr>
      <w:tr>
        <w:trPr>
          <w:trHeight w:val="123"/>
        </w:trPr>
        <w:tc>
          <w:tcPr>
            <w:tcW w:w="520" w:type="dxa"/>
            <w:vAlign w:val="bottom"/>
          </w:tcPr>
          <w:p>
            <w:pPr>
              <w:spacing w:after="0" w:line="123" w:lineRule="exact"/>
              <w:rPr>
                <w:sz w:val="20"/>
                <w:szCs w:val="20"/>
                <w:color w:val="auto"/>
              </w:rPr>
            </w:pPr>
            <w:r>
              <w:rPr>
                <w:rFonts w:ascii="Arial" w:cs="Arial" w:eastAsia="Arial" w:hAnsi="Arial"/>
                <w:sz w:val="12"/>
                <w:szCs w:val="12"/>
                <w:b w:val="1"/>
                <w:bCs w:val="1"/>
                <w:color w:val="auto"/>
              </w:rPr>
              <w:t>Name:</w:t>
            </w:r>
          </w:p>
        </w:tc>
        <w:tc>
          <w:tcPr>
            <w:tcW w:w="40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90"/>
              </w:rPr>
              <w:t>Dennis R. Hernreich</w:t>
            </w:r>
          </w:p>
        </w:tc>
      </w:tr>
      <w:tr>
        <w:trPr>
          <w:trHeight w:val="151"/>
        </w:trPr>
        <w:tc>
          <w:tcPr>
            <w:tcW w:w="5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2"/>
                <w:szCs w:val="12"/>
                <w:b w:val="1"/>
                <w:bCs w:val="1"/>
                <w:color w:val="auto"/>
                <w:w w:val="88"/>
              </w:rPr>
              <w:t>Executive Vice President and Chief Financial Officer</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Date: January 11, 2010</w:t>
      </w:r>
    </w:p>
    <w:p>
      <w:pPr>
        <w:sectPr>
          <w:pgSz w:w="11900" w:h="16838" w:orient="portrait"/>
          <w:cols w:equalWidth="0" w:num="1">
            <w:col w:w="11440"/>
          </w:cols>
          <w:pgMar w:left="240" w:top="258" w:right="219" w:bottom="1440" w:gutter="0" w:footer="0" w:header="0"/>
        </w:sectPr>
      </w:pPr>
    </w:p>
    <w:bookmarkStart w:id="5" w:name="page6"/>
    <w:bookmarkEnd w:id="5"/>
    <w:p>
      <w:pPr>
        <w:jc w:val="right"/>
        <w:spacing w:after="0"/>
        <w:rPr>
          <w:sz w:val="20"/>
          <w:szCs w:val="20"/>
          <w:color w:val="auto"/>
        </w:rPr>
      </w:pPr>
      <w:r>
        <w:rPr>
          <w:rFonts w:ascii="Arial" w:cs="Arial" w:eastAsia="Arial" w:hAnsi="Arial"/>
          <w:sz w:val="15"/>
          <w:szCs w:val="15"/>
          <w:b w:val="1"/>
          <w:bCs w:val="1"/>
          <w:color w:val="auto"/>
        </w:rPr>
        <w:t>Exhibit 10.1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EMPLOYMENT AGREEMENT</w:t>
      </w:r>
    </w:p>
    <w:p>
      <w:pPr>
        <w:spacing w:after="0" w:line="160" w:lineRule="exact"/>
        <w:rPr>
          <w:sz w:val="20"/>
          <w:szCs w:val="20"/>
          <w:color w:val="auto"/>
        </w:rPr>
      </w:pPr>
    </w:p>
    <w:p>
      <w:pPr>
        <w:jc w:val="both"/>
        <w:ind w:right="280"/>
        <w:spacing w:after="0" w:line="276" w:lineRule="auto"/>
        <w:rPr>
          <w:sz w:val="20"/>
          <w:szCs w:val="20"/>
          <w:color w:val="auto"/>
        </w:rPr>
      </w:pPr>
      <w:r>
        <w:rPr>
          <w:rFonts w:ascii="Arial" w:cs="Arial" w:eastAsia="Arial" w:hAnsi="Arial"/>
          <w:sz w:val="15"/>
          <w:szCs w:val="15"/>
          <w:color w:val="auto"/>
        </w:rPr>
        <w:t>This Employment Agreement (“Agreement”) is made as of January 7, 2010 between CASUAL MALE RETAIL GROUP, INC., a Delaware corporation with an office at 555 Turnpike Street, Canton, Massachusetts, 02021 (the “Company” which term includes any affiliates and subsidiaries), and Henry J. Metscher (the “Executive”) having an address at 29 Brewster Street, Plymouth, MA 02360.</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WITNESSETH:</w:t>
      </w:r>
    </w:p>
    <w:p>
      <w:pPr>
        <w:spacing w:after="0" w:line="156" w:lineRule="exact"/>
        <w:rPr>
          <w:sz w:val="20"/>
          <w:szCs w:val="20"/>
          <w:color w:val="auto"/>
        </w:rPr>
      </w:pPr>
    </w:p>
    <w:p>
      <w:pPr>
        <w:ind w:right="400" w:firstLine="457"/>
        <w:spacing w:after="0" w:line="291" w:lineRule="auto"/>
        <w:rPr>
          <w:sz w:val="20"/>
          <w:szCs w:val="20"/>
          <w:color w:val="auto"/>
        </w:rPr>
      </w:pPr>
      <w:r>
        <w:rPr>
          <w:rFonts w:ascii="Arial" w:cs="Arial" w:eastAsia="Arial" w:hAnsi="Arial"/>
          <w:sz w:val="15"/>
          <w:szCs w:val="15"/>
          <w:color w:val="auto"/>
        </w:rPr>
        <w:t>WHEREAS, the Company desires that Executive serve as Senior Vice President, General Merchandise Manager, Direct Businesses and President of Footwear/LivingXL and Executive desires to be so employed by the Company.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WHEREAS, Executive and the Company desire to set forth in writing the terms and conditions of the Executive’s employment with the Company from the date hereof.</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NOW, THEREFORE, in consideration of the promises and the mutual promises, representations and covenants herein contained, the parties hereto agree as follows:</w:t>
      </w:r>
    </w:p>
    <w:p>
      <w:pPr>
        <w:spacing w:after="0" w:line="227" w:lineRule="exact"/>
        <w:rPr>
          <w:sz w:val="20"/>
          <w:szCs w:val="20"/>
          <w:color w:val="auto"/>
        </w:rPr>
      </w:pPr>
    </w:p>
    <w:p>
      <w:pPr>
        <w:ind w:left="1060" w:hanging="151"/>
        <w:spacing w:after="0"/>
        <w:tabs>
          <w:tab w:leader="none" w:pos="1060" w:val="left"/>
        </w:tabs>
        <w:numPr>
          <w:ilvl w:val="0"/>
          <w:numId w:val="2"/>
        </w:numPr>
        <w:rPr>
          <w:rFonts w:ascii="Arial" w:cs="Arial" w:eastAsia="Arial" w:hAnsi="Arial"/>
          <w:sz w:val="15"/>
          <w:szCs w:val="15"/>
          <w:color w:val="auto"/>
        </w:rPr>
      </w:pPr>
      <w:r>
        <w:rPr>
          <w:rFonts w:ascii="Arial" w:cs="Arial" w:eastAsia="Arial" w:hAnsi="Arial"/>
          <w:sz w:val="15"/>
          <w:szCs w:val="15"/>
          <w:u w:val="single" w:color="auto"/>
          <w:color w:val="auto"/>
        </w:rPr>
        <w:t>EMPLOYMENT</w:t>
      </w:r>
    </w:p>
    <w:p>
      <w:pPr>
        <w:spacing w:after="0" w:line="86" w:lineRule="exact"/>
        <w:rPr>
          <w:sz w:val="20"/>
          <w:szCs w:val="20"/>
          <w:color w:val="auto"/>
        </w:rPr>
      </w:pPr>
    </w:p>
    <w:p>
      <w:pPr>
        <w:ind w:right="320" w:firstLine="915"/>
        <w:spacing w:after="0" w:line="291" w:lineRule="auto"/>
        <w:rPr>
          <w:sz w:val="20"/>
          <w:szCs w:val="20"/>
          <w:color w:val="auto"/>
        </w:rPr>
      </w:pPr>
      <w:r>
        <w:rPr>
          <w:rFonts w:ascii="Arial" w:cs="Arial" w:eastAsia="Arial" w:hAnsi="Arial"/>
          <w:sz w:val="15"/>
          <w:szCs w:val="15"/>
          <w:color w:val="auto"/>
        </w:rPr>
        <w:t>The Company hereby employs Executive and Executive hereby accepts such employment, subject to the terms and conditions herein set forth. Executive shall hold the office of Senior Vice President, General Merchandise Manager, Direct Businesses and President of Footwear/LivingXL.</w:t>
      </w:r>
    </w:p>
    <w:p>
      <w:pPr>
        <w:spacing w:after="0" w:line="169" w:lineRule="exact"/>
        <w:rPr>
          <w:sz w:val="20"/>
          <w:szCs w:val="20"/>
          <w:color w:val="auto"/>
        </w:rPr>
      </w:pPr>
    </w:p>
    <w:p>
      <w:pPr>
        <w:ind w:left="1060" w:hanging="151"/>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u w:val="single" w:color="auto"/>
          <w:color w:val="auto"/>
        </w:rPr>
        <w:t>TERM</w:t>
      </w:r>
    </w:p>
    <w:p>
      <w:pPr>
        <w:spacing w:after="0" w:line="86" w:lineRule="exact"/>
        <w:rPr>
          <w:sz w:val="20"/>
          <w:szCs w:val="20"/>
          <w:color w:val="auto"/>
        </w:rPr>
      </w:pPr>
    </w:p>
    <w:p>
      <w:pPr>
        <w:ind w:right="620" w:firstLine="915"/>
        <w:spacing w:after="0" w:line="291" w:lineRule="auto"/>
        <w:rPr>
          <w:sz w:val="20"/>
          <w:szCs w:val="20"/>
          <w:color w:val="auto"/>
        </w:rPr>
      </w:pPr>
      <w:r>
        <w:rPr>
          <w:rFonts w:ascii="Arial" w:cs="Arial" w:eastAsia="Arial" w:hAnsi="Arial"/>
          <w:sz w:val="15"/>
          <w:szCs w:val="15"/>
          <w:color w:val="auto"/>
        </w:rPr>
        <w:t>The term of employment under this Agreement (the “Term of Employment”) shall begin on the date set forth above (the “Effective Date”) and shall continue until terminated by either party as hereinafter set forth.</w:t>
      </w:r>
    </w:p>
    <w:p>
      <w:pPr>
        <w:spacing w:after="0" w:line="169" w:lineRule="exact"/>
        <w:rPr>
          <w:sz w:val="20"/>
          <w:szCs w:val="20"/>
          <w:color w:val="auto"/>
        </w:rPr>
      </w:pPr>
    </w:p>
    <w:p>
      <w:pPr>
        <w:ind w:left="1060" w:hanging="151"/>
        <w:spacing w:after="0"/>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u w:val="single" w:color="auto"/>
          <w:color w:val="auto"/>
        </w:rPr>
        <w:t>COMPENSATION</w:t>
      </w:r>
    </w:p>
    <w:p>
      <w:pPr>
        <w:spacing w:after="0" w:line="86" w:lineRule="exact"/>
        <w:rPr>
          <w:sz w:val="20"/>
          <w:szCs w:val="20"/>
          <w:color w:val="auto"/>
        </w:rPr>
      </w:pPr>
    </w:p>
    <w:p>
      <w:pPr>
        <w:jc w:val="both"/>
        <w:ind w:right="160" w:firstLine="909"/>
        <w:spacing w:after="0" w:line="271" w:lineRule="auto"/>
        <w:tabs>
          <w:tab w:leader="none" w:pos="1123" w:val="left"/>
        </w:tabs>
        <w:numPr>
          <w:ilvl w:val="0"/>
          <w:numId w:val="5"/>
        </w:numPr>
        <w:rPr>
          <w:rFonts w:ascii="Arial" w:cs="Arial" w:eastAsia="Arial" w:hAnsi="Arial"/>
          <w:sz w:val="15"/>
          <w:szCs w:val="15"/>
          <w:color w:val="auto"/>
        </w:rPr>
      </w:pPr>
      <w:r>
        <w:rPr>
          <w:rFonts w:ascii="Arial" w:cs="Arial" w:eastAsia="Arial" w:hAnsi="Arial"/>
          <w:sz w:val="15"/>
          <w:szCs w:val="15"/>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Three Hundred Thousand Dollars and 00/100 Cents ($300,000.00)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13" w:lineRule="exact"/>
        <w:rPr>
          <w:rFonts w:ascii="Arial" w:cs="Arial" w:eastAsia="Arial" w:hAnsi="Arial"/>
          <w:sz w:val="15"/>
          <w:szCs w:val="15"/>
          <w:color w:val="auto"/>
        </w:rPr>
      </w:pPr>
    </w:p>
    <w:p>
      <w:pPr>
        <w:ind w:right="300" w:firstLine="909"/>
        <w:spacing w:after="0" w:line="291" w:lineRule="auto"/>
        <w:tabs>
          <w:tab w:leader="none" w:pos="1131"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addition to the Base Salary, during the Term of Employment, Executive is eligible to participate in the Company’s Annual Incentive Plan. Such incentive shall be determined and payable in accordance with the Company’s incentive program in effect at the</w:t>
      </w:r>
    </w:p>
    <w:p>
      <w:pPr>
        <w:sectPr>
          <w:pgSz w:w="11900" w:h="16838" w:orient="portrait"/>
          <w:cols w:equalWidth="0" w:num="1">
            <w:col w:w="11440"/>
          </w:cols>
          <w:pgMar w:left="240" w:top="128" w:right="219" w:bottom="1440" w:gutter="0" w:footer="0" w:header="0"/>
        </w:sectPr>
      </w:pPr>
    </w:p>
    <w:bookmarkStart w:id="6" w:name="page7"/>
    <w:bookmarkEnd w:id="6"/>
    <w:p>
      <w:pPr>
        <w:spacing w:after="0" w:line="29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5040" cy="34925"/>
                    </a:xfrm>
                    <a:prstGeom prst="rect">
                      <a:avLst/>
                    </a:prstGeom>
                    <a:noFill/>
                  </pic:spPr>
                </pic:pic>
              </a:graphicData>
            </a:graphic>
          </wp:anchor>
        </w:drawing>
        <w:t>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98" w:lineRule="exact"/>
        <w:rPr>
          <w:sz w:val="20"/>
          <w:szCs w:val="20"/>
          <w:color w:val="auto"/>
        </w:rPr>
      </w:pPr>
    </w:p>
    <w:p>
      <w:pPr>
        <w:ind w:right="80" w:firstLine="909"/>
        <w:spacing w:after="0" w:line="296" w:lineRule="auto"/>
        <w:tabs>
          <w:tab w:leader="none" w:pos="1123"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169" w:lineRule="exact"/>
        <w:rPr>
          <w:sz w:val="20"/>
          <w:szCs w:val="20"/>
          <w:color w:val="auto"/>
        </w:rPr>
      </w:pPr>
    </w:p>
    <w:p>
      <w:pPr>
        <w:ind w:left="1060" w:hanging="151"/>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EXPENSES</w:t>
      </w:r>
    </w:p>
    <w:p>
      <w:pPr>
        <w:spacing w:after="0" w:line="86" w:lineRule="exact"/>
        <w:rPr>
          <w:sz w:val="20"/>
          <w:szCs w:val="20"/>
          <w:color w:val="auto"/>
        </w:rPr>
      </w:pPr>
    </w:p>
    <w:p>
      <w:pPr>
        <w:ind w:right="160" w:firstLine="915"/>
        <w:spacing w:after="0" w:line="271" w:lineRule="auto"/>
        <w:rPr>
          <w:sz w:val="20"/>
          <w:szCs w:val="20"/>
          <w:color w:val="auto"/>
        </w:rPr>
      </w:pPr>
      <w:r>
        <w:rPr>
          <w:rFonts w:ascii="Arial" w:cs="Arial" w:eastAsia="Arial" w:hAnsi="Arial"/>
          <w:sz w:val="15"/>
          <w:szCs w:val="15"/>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84" w:lineRule="exact"/>
        <w:rPr>
          <w:sz w:val="20"/>
          <w:szCs w:val="20"/>
          <w:color w:val="auto"/>
        </w:rPr>
      </w:pPr>
    </w:p>
    <w:p>
      <w:pPr>
        <w:ind w:left="1060" w:hanging="151"/>
        <w:spacing w:after="0"/>
        <w:tabs>
          <w:tab w:leader="none" w:pos="1060"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OTHER BENEFITS</w:t>
      </w:r>
    </w:p>
    <w:p>
      <w:pPr>
        <w:spacing w:after="0" w:line="86" w:lineRule="exact"/>
        <w:rPr>
          <w:sz w:val="20"/>
          <w:szCs w:val="20"/>
          <w:color w:val="auto"/>
        </w:rPr>
      </w:pPr>
    </w:p>
    <w:p>
      <w:pPr>
        <w:jc w:val="both"/>
        <w:ind w:right="20" w:firstLine="909"/>
        <w:spacing w:after="0" w:line="271" w:lineRule="auto"/>
        <w:tabs>
          <w:tab w:leader="none" w:pos="1123" w:val="left"/>
        </w:tabs>
        <w:numPr>
          <w:ilvl w:val="0"/>
          <w:numId w:val="9"/>
        </w:numPr>
        <w:rPr>
          <w:rFonts w:ascii="Arial" w:cs="Arial" w:eastAsia="Arial" w:hAnsi="Arial"/>
          <w:sz w:val="15"/>
          <w:szCs w:val="15"/>
          <w:color w:val="auto"/>
        </w:rPr>
      </w:pPr>
      <w:r>
        <w:rPr>
          <w:rFonts w:ascii="Arial" w:cs="Arial" w:eastAsia="Arial" w:hAnsi="Arial"/>
          <w:sz w:val="15"/>
          <w:szCs w:val="15"/>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3" w:lineRule="exact"/>
        <w:rPr>
          <w:rFonts w:ascii="Arial" w:cs="Arial" w:eastAsia="Arial" w:hAnsi="Arial"/>
          <w:sz w:val="15"/>
          <w:szCs w:val="15"/>
          <w:color w:val="auto"/>
        </w:rPr>
      </w:pPr>
    </w:p>
    <w:p>
      <w:pPr>
        <w:ind w:right="40" w:firstLine="909"/>
        <w:spacing w:after="0" w:line="271" w:lineRule="auto"/>
        <w:tabs>
          <w:tab w:leader="none" w:pos="1131"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40"/>
          </w:cols>
          <w:pgMar w:left="240" w:top="262" w:right="219" w:bottom="1440" w:gutter="0" w:footer="0" w:header="0"/>
        </w:sectPr>
      </w:pPr>
    </w:p>
    <w:bookmarkStart w:id="7" w:name="page8"/>
    <w:bookmarkEnd w:id="7"/>
    <w:p>
      <w:pPr>
        <w:ind w:left="906"/>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5040" cy="34925"/>
                    </a:xfrm>
                    <a:prstGeom prst="rect">
                      <a:avLst/>
                    </a:prstGeom>
                    <a:noFill/>
                  </pic:spPr>
                </pic:pic>
              </a:graphicData>
            </a:graphic>
          </wp:anchor>
        </w:drawing>
        <w:t>(b) Executive will be eligible to participate in the Company’s annual performance appraisal process.</w:t>
      </w:r>
    </w:p>
    <w:p>
      <w:pPr>
        <w:spacing w:after="0" w:line="227" w:lineRule="exact"/>
        <w:rPr>
          <w:sz w:val="20"/>
          <w:szCs w:val="20"/>
          <w:color w:val="auto"/>
        </w:rPr>
      </w:pPr>
    </w:p>
    <w:p>
      <w:pPr>
        <w:ind w:left="1066" w:hanging="151"/>
        <w:spacing w:after="0"/>
        <w:tabs>
          <w:tab w:leader="none" w:pos="1066"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DUTIES</w:t>
      </w:r>
    </w:p>
    <w:p>
      <w:pPr>
        <w:spacing w:after="0" w:line="86" w:lineRule="exact"/>
        <w:rPr>
          <w:sz w:val="20"/>
          <w:szCs w:val="20"/>
          <w:color w:val="auto"/>
        </w:rPr>
      </w:pPr>
    </w:p>
    <w:p>
      <w:pPr>
        <w:ind w:left="6" w:right="20" w:firstLine="909"/>
        <w:spacing w:after="0" w:line="276" w:lineRule="auto"/>
        <w:tabs>
          <w:tab w:leader="none" w:pos="1129"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Executive shall perform such duties and functions consistent with the position of Senior Vice President, General Merchandise Manager, Direct Businesses and President of Footwear/LivingXL and/or as the Company shall from time to time determine and Executive shall comply in the performance of his duties with the policies of, and be subject to the direction of the Company.</w:t>
      </w:r>
    </w:p>
    <w:p>
      <w:pPr>
        <w:spacing w:after="0" w:line="109" w:lineRule="exact"/>
        <w:rPr>
          <w:rFonts w:ascii="Arial" w:cs="Arial" w:eastAsia="Arial" w:hAnsi="Arial"/>
          <w:sz w:val="15"/>
          <w:szCs w:val="15"/>
          <w:color w:val="auto"/>
        </w:rPr>
      </w:pPr>
    </w:p>
    <w:p>
      <w:pPr>
        <w:ind w:left="6" w:right="80" w:firstLine="909"/>
        <w:spacing w:after="0" w:line="271" w:lineRule="auto"/>
        <w:tabs>
          <w:tab w:leader="none" w:pos="1137" w:val="left"/>
        </w:tabs>
        <w:numPr>
          <w:ilvl w:val="0"/>
          <w:numId w:val="11"/>
        </w:numPr>
        <w:rPr>
          <w:rFonts w:ascii="Arial" w:cs="Arial" w:eastAsia="Arial" w:hAnsi="Arial"/>
          <w:sz w:val="15"/>
          <w:szCs w:val="15"/>
          <w:color w:val="auto"/>
        </w:rPr>
      </w:pPr>
      <w:r>
        <w:rPr>
          <w:rFonts w:ascii="Arial" w:cs="Arial" w:eastAsia="Arial" w:hAnsi="Arial"/>
          <w:sz w:val="15"/>
          <w:szCs w:val="15"/>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13" w:lineRule="exact"/>
        <w:rPr>
          <w:rFonts w:ascii="Arial" w:cs="Arial" w:eastAsia="Arial" w:hAnsi="Arial"/>
          <w:sz w:val="15"/>
          <w:szCs w:val="15"/>
          <w:color w:val="auto"/>
        </w:rPr>
      </w:pPr>
    </w:p>
    <w:p>
      <w:pPr>
        <w:ind w:left="6" w:firstLine="909"/>
        <w:spacing w:after="0" w:line="276" w:lineRule="auto"/>
        <w:tabs>
          <w:tab w:leader="none" w:pos="112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80" w:lineRule="exact"/>
        <w:rPr>
          <w:sz w:val="20"/>
          <w:szCs w:val="20"/>
          <w:color w:val="auto"/>
        </w:rPr>
      </w:pPr>
    </w:p>
    <w:p>
      <w:pPr>
        <w:ind w:left="1066" w:hanging="151"/>
        <w:spacing w:after="0"/>
        <w:tabs>
          <w:tab w:leader="none" w:pos="1066"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EFFECT OF TERMINATION</w:t>
      </w:r>
    </w:p>
    <w:p>
      <w:pPr>
        <w:spacing w:after="0" w:line="86" w:lineRule="exact"/>
        <w:rPr>
          <w:sz w:val="20"/>
          <w:szCs w:val="20"/>
          <w:color w:val="auto"/>
        </w:rPr>
      </w:pPr>
    </w:p>
    <w:p>
      <w:pPr>
        <w:ind w:left="1126" w:hanging="211"/>
        <w:spacing w:after="0"/>
        <w:tabs>
          <w:tab w:leader="none" w:pos="1126"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Term of Employment may be terminated by the Company at any time:</w:t>
      </w:r>
    </w:p>
    <w:p>
      <w:pPr>
        <w:spacing w:after="0" w:line="85" w:lineRule="exact"/>
        <w:rPr>
          <w:rFonts w:ascii="Arial" w:cs="Arial" w:eastAsia="Arial" w:hAnsi="Arial"/>
          <w:sz w:val="15"/>
          <w:szCs w:val="15"/>
          <w:color w:val="auto"/>
        </w:rPr>
      </w:pPr>
    </w:p>
    <w:p>
      <w:pPr>
        <w:ind w:left="6" w:right="60" w:firstLine="1481"/>
        <w:spacing w:after="0" w:line="276" w:lineRule="auto"/>
        <w:tabs>
          <w:tab w:leader="none" w:pos="1675" w:val="left"/>
        </w:tabs>
        <w:numPr>
          <w:ilvl w:val="2"/>
          <w:numId w:val="13"/>
        </w:numPr>
        <w:rPr>
          <w:rFonts w:ascii="Arial" w:cs="Arial" w:eastAsia="Arial" w:hAnsi="Arial"/>
          <w:sz w:val="15"/>
          <w:szCs w:val="15"/>
          <w:color w:val="auto"/>
        </w:rPr>
      </w:pPr>
      <w:r>
        <w:rPr>
          <w:rFonts w:ascii="Arial" w:cs="Arial" w:eastAsia="Arial" w:hAnsi="Arial"/>
          <w:sz w:val="15"/>
          <w:szCs w:val="15"/>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09" w:lineRule="exact"/>
        <w:rPr>
          <w:rFonts w:ascii="Arial" w:cs="Arial" w:eastAsia="Arial" w:hAnsi="Arial"/>
          <w:sz w:val="15"/>
          <w:szCs w:val="15"/>
          <w:color w:val="auto"/>
        </w:rPr>
      </w:pPr>
    </w:p>
    <w:p>
      <w:pPr>
        <w:ind w:left="1706" w:hanging="219"/>
        <w:spacing w:after="0"/>
        <w:tabs>
          <w:tab w:leader="none" w:pos="1706" w:val="left"/>
        </w:tabs>
        <w:numPr>
          <w:ilvl w:val="2"/>
          <w:numId w:val="13"/>
        </w:numPr>
        <w:rPr>
          <w:rFonts w:ascii="Arial" w:cs="Arial" w:eastAsia="Arial" w:hAnsi="Arial"/>
          <w:sz w:val="15"/>
          <w:szCs w:val="15"/>
          <w:color w:val="auto"/>
        </w:rPr>
      </w:pPr>
      <w:r>
        <w:rPr>
          <w:rFonts w:ascii="Arial" w:cs="Arial" w:eastAsia="Arial" w:hAnsi="Arial"/>
          <w:sz w:val="15"/>
          <w:szCs w:val="15"/>
          <w:color w:val="auto"/>
        </w:rPr>
        <w:t>upon the determination of the Company that there is justifiable cause (as hereinafter defined) for such termination.</w:t>
      </w:r>
    </w:p>
    <w:p>
      <w:pPr>
        <w:spacing w:after="0" w:line="156" w:lineRule="exact"/>
        <w:rPr>
          <w:rFonts w:ascii="Arial" w:cs="Arial" w:eastAsia="Arial" w:hAnsi="Arial"/>
          <w:sz w:val="15"/>
          <w:szCs w:val="15"/>
          <w:color w:val="auto"/>
        </w:rPr>
      </w:pPr>
    </w:p>
    <w:p>
      <w:pPr>
        <w:ind w:left="1126" w:hanging="211"/>
        <w:spacing w:after="0"/>
        <w:tabs>
          <w:tab w:leader="none" w:pos="1126"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Term of Employment shall terminate upon:</w:t>
      </w:r>
    </w:p>
    <w:p>
      <w:pPr>
        <w:spacing w:after="0" w:line="85" w:lineRule="exact"/>
        <w:rPr>
          <w:rFonts w:ascii="Arial" w:cs="Arial" w:eastAsia="Arial" w:hAnsi="Arial"/>
          <w:sz w:val="15"/>
          <w:szCs w:val="15"/>
          <w:color w:val="auto"/>
        </w:rPr>
      </w:pPr>
    </w:p>
    <w:p>
      <w:pPr>
        <w:ind w:left="1666" w:hanging="179"/>
        <w:spacing w:after="0"/>
        <w:tabs>
          <w:tab w:leader="none" w:pos="1666" w:val="left"/>
        </w:tabs>
        <w:numPr>
          <w:ilvl w:val="2"/>
          <w:numId w:val="13"/>
        </w:numPr>
        <w:rPr>
          <w:rFonts w:ascii="Arial" w:cs="Arial" w:eastAsia="Arial" w:hAnsi="Arial"/>
          <w:sz w:val="15"/>
          <w:szCs w:val="15"/>
          <w:color w:val="auto"/>
        </w:rPr>
      </w:pPr>
      <w:r>
        <w:rPr>
          <w:rFonts w:ascii="Arial" w:cs="Arial" w:eastAsia="Arial" w:hAnsi="Arial"/>
          <w:sz w:val="15"/>
          <w:szCs w:val="15"/>
          <w:color w:val="auto"/>
        </w:rPr>
        <w:t>the death of Executive;</w:t>
      </w:r>
    </w:p>
    <w:p>
      <w:pPr>
        <w:spacing w:after="0" w:line="156" w:lineRule="exact"/>
        <w:rPr>
          <w:rFonts w:ascii="Arial" w:cs="Arial" w:eastAsia="Arial" w:hAnsi="Arial"/>
          <w:sz w:val="15"/>
          <w:szCs w:val="15"/>
          <w:color w:val="auto"/>
        </w:rPr>
      </w:pPr>
    </w:p>
    <w:p>
      <w:pPr>
        <w:ind w:left="1706" w:hanging="219"/>
        <w:spacing w:after="0"/>
        <w:tabs>
          <w:tab w:leader="none" w:pos="1706" w:val="left"/>
        </w:tabs>
        <w:numPr>
          <w:ilvl w:val="2"/>
          <w:numId w:val="13"/>
        </w:numPr>
        <w:rPr>
          <w:rFonts w:ascii="Arial" w:cs="Arial" w:eastAsia="Arial" w:hAnsi="Arial"/>
          <w:sz w:val="14"/>
          <w:szCs w:val="14"/>
          <w:color w:val="auto"/>
        </w:rPr>
      </w:pPr>
      <w:r>
        <w:rPr>
          <w:rFonts w:ascii="Arial" w:cs="Arial" w:eastAsia="Arial" w:hAnsi="Arial"/>
          <w:sz w:val="14"/>
          <w:szCs w:val="14"/>
          <w:color w:val="auto"/>
        </w:rPr>
        <w:t>the date on which the Company elects to terminate the Term of Employment by reason of the “disability” of Executive (as hereinafter defined in subsection</w:t>
      </w:r>
    </w:p>
    <w:p>
      <w:pPr>
        <w:spacing w:after="0" w:line="33" w:lineRule="exact"/>
        <w:rPr>
          <w:rFonts w:ascii="Arial" w:cs="Arial" w:eastAsia="Arial" w:hAnsi="Arial"/>
          <w:sz w:val="14"/>
          <w:szCs w:val="14"/>
          <w:color w:val="auto"/>
        </w:rPr>
      </w:pPr>
    </w:p>
    <w:p>
      <w:pPr>
        <w:ind w:left="206" w:hanging="206"/>
        <w:spacing w:after="0"/>
        <w:tabs>
          <w:tab w:leader="none" w:pos="206" w:val="left"/>
        </w:tabs>
        <w:numPr>
          <w:ilvl w:val="0"/>
          <w:numId w:val="14"/>
        </w:numPr>
        <w:rPr>
          <w:rFonts w:ascii="Arial" w:cs="Arial" w:eastAsia="Arial" w:hAnsi="Arial"/>
          <w:sz w:val="15"/>
          <w:szCs w:val="15"/>
          <w:color w:val="auto"/>
        </w:rPr>
      </w:pPr>
      <w:r>
        <w:rPr>
          <w:rFonts w:ascii="Arial" w:cs="Arial" w:eastAsia="Arial" w:hAnsi="Arial"/>
          <w:sz w:val="15"/>
          <w:szCs w:val="15"/>
          <w:color w:val="auto"/>
        </w:rPr>
        <w:t>herein) pursuant to subsection (g) hereof; or</w:t>
      </w:r>
    </w:p>
    <w:p>
      <w:pPr>
        <w:spacing w:after="0" w:line="139"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26"/>
          </w:cols>
          <w:pgMar w:left="234" w:top="262" w:right="239" w:bottom="1440" w:gutter="0" w:footer="0" w:header="0"/>
        </w:sectPr>
      </w:pPr>
    </w:p>
    <w:bookmarkStart w:id="8" w:name="page9"/>
    <w:bookmarkEnd w:id="8"/>
    <w:p>
      <w:pPr>
        <w:ind w:left="1720" w:hanging="259"/>
        <w:spacing w:after="0"/>
        <w:tabs>
          <w:tab w:leader="none" w:pos="1720" w:val="left"/>
        </w:tabs>
        <w:numPr>
          <w:ilvl w:val="1"/>
          <w:numId w:val="1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5040" cy="34925"/>
                    </a:xfrm>
                    <a:prstGeom prst="rect">
                      <a:avLst/>
                    </a:prstGeom>
                    <a:noFill/>
                  </pic:spPr>
                </pic:pic>
              </a:graphicData>
            </a:graphic>
          </wp:anchor>
        </w:drawing>
        <w:t>Executive’s resignation of employment.</w:t>
      </w:r>
    </w:p>
    <w:p>
      <w:pPr>
        <w:spacing w:after="0" w:line="156" w:lineRule="exact"/>
        <w:rPr>
          <w:rFonts w:ascii="Arial" w:cs="Arial" w:eastAsia="Arial" w:hAnsi="Arial"/>
          <w:sz w:val="15"/>
          <w:szCs w:val="15"/>
          <w:color w:val="auto"/>
        </w:rPr>
      </w:pPr>
    </w:p>
    <w:p>
      <w:pPr>
        <w:ind w:left="-20" w:firstLine="909"/>
        <w:spacing w:after="0" w:line="329" w:lineRule="auto"/>
        <w:tabs>
          <w:tab w:leader="none" w:pos="1103"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75" w:lineRule="exact"/>
        <w:rPr>
          <w:rFonts w:ascii="Arial" w:cs="Arial" w:eastAsia="Arial" w:hAnsi="Arial"/>
          <w:sz w:val="14"/>
          <w:szCs w:val="14"/>
          <w:color w:val="auto"/>
        </w:rPr>
      </w:pPr>
    </w:p>
    <w:p>
      <w:pPr>
        <w:ind w:left="-20" w:right="20" w:firstLine="909"/>
        <w:spacing w:after="0" w:line="286" w:lineRule="auto"/>
        <w:tabs>
          <w:tab w:leader="none" w:pos="1111"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05" w:lineRule="exact"/>
        <w:rPr>
          <w:rFonts w:ascii="Arial" w:cs="Arial" w:eastAsia="Arial" w:hAnsi="Arial"/>
          <w:sz w:val="14"/>
          <w:szCs w:val="14"/>
          <w:color w:val="auto"/>
        </w:rPr>
      </w:pPr>
    </w:p>
    <w:p>
      <w:pPr>
        <w:ind w:left="-20" w:right="160" w:firstLine="909"/>
        <w:spacing w:after="0" w:line="266" w:lineRule="auto"/>
        <w:tabs>
          <w:tab w:leader="none" w:pos="1103"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5"/>
          <w:szCs w:val="15"/>
          <w:color w:val="auto"/>
        </w:rPr>
      </w:pPr>
    </w:p>
    <w:p>
      <w:pPr>
        <w:ind w:left="-20" w:right="140" w:firstLine="909"/>
        <w:spacing w:after="0" w:line="373" w:lineRule="auto"/>
        <w:tabs>
          <w:tab w:leader="none" w:pos="1086" w:val="left"/>
        </w:tabs>
        <w:numPr>
          <w:ilvl w:val="0"/>
          <w:numId w:val="16"/>
        </w:numPr>
        <w:rPr>
          <w:rFonts w:ascii="Arial" w:cs="Arial" w:eastAsia="Arial" w:hAnsi="Arial"/>
          <w:sz w:val="13"/>
          <w:szCs w:val="13"/>
          <w:color w:val="auto"/>
        </w:rPr>
      </w:pPr>
      <w:r>
        <w:rPr>
          <w:rFonts w:ascii="Arial" w:cs="Arial" w:eastAsia="Arial" w:hAnsi="Arial"/>
          <w:sz w:val="13"/>
          <w:szCs w:val="13"/>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00"/>
          </w:cols>
          <w:pgMar w:left="260" w:top="262" w:right="239" w:bottom="1440" w:gutter="0" w:footer="0" w:header="0"/>
        </w:sectPr>
      </w:pPr>
    </w:p>
    <w:bookmarkStart w:id="9" w:name="page10"/>
    <w:bookmarkEnd w:id="9"/>
    <w:p>
      <w:pPr>
        <w:ind w:firstLine="909"/>
        <w:spacing w:after="0" w:line="276" w:lineRule="auto"/>
        <w:tabs>
          <w:tab w:leader="none" w:pos="1131" w:val="left"/>
        </w:tabs>
        <w:numPr>
          <w:ilvl w:val="0"/>
          <w:numId w:val="1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5040" cy="34925"/>
                    </a:xfrm>
                    <a:prstGeom prst="rect">
                      <a:avLst/>
                    </a:prstGeom>
                    <a:noFill/>
                  </pic:spPr>
                </pic:pic>
              </a:graphicData>
            </a:graphic>
          </wp:anchor>
        </w:drawing>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109" w:lineRule="exact"/>
        <w:rPr>
          <w:rFonts w:ascii="Arial" w:cs="Arial" w:eastAsia="Arial" w:hAnsi="Arial"/>
          <w:sz w:val="15"/>
          <w:szCs w:val="15"/>
          <w:color w:val="auto"/>
        </w:rPr>
      </w:pPr>
    </w:p>
    <w:p>
      <w:pPr>
        <w:ind w:right="40" w:firstLine="909"/>
        <w:spacing w:after="0" w:line="276" w:lineRule="auto"/>
        <w:tabs>
          <w:tab w:leader="none" w:pos="1131" w:val="left"/>
        </w:tabs>
        <w:numPr>
          <w:ilvl w:val="0"/>
          <w:numId w:val="17"/>
        </w:numPr>
        <w:rPr>
          <w:rFonts w:ascii="Arial" w:cs="Arial" w:eastAsia="Arial" w:hAnsi="Arial"/>
          <w:sz w:val="15"/>
          <w:szCs w:val="15"/>
          <w:color w:val="auto"/>
        </w:rPr>
      </w:pPr>
      <w:r>
        <w:rPr>
          <w:rFonts w:ascii="Arial" w:cs="Arial" w:eastAsia="Arial" w:hAnsi="Arial"/>
          <w:sz w:val="15"/>
          <w:szCs w:val="15"/>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109" w:lineRule="exact"/>
        <w:rPr>
          <w:rFonts w:ascii="Arial" w:cs="Arial" w:eastAsia="Arial" w:hAnsi="Arial"/>
          <w:sz w:val="15"/>
          <w:szCs w:val="15"/>
          <w:color w:val="auto"/>
        </w:rPr>
      </w:pPr>
    </w:p>
    <w:p>
      <w:pPr>
        <w:ind w:firstLine="909"/>
        <w:spacing w:after="0" w:line="283" w:lineRule="auto"/>
        <w:tabs>
          <w:tab w:leader="none" w:pos="1097"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Good Reason”</w:t>
      </w:r>
      <w:r>
        <w:rPr>
          <w:rFonts w:ascii="Arial" w:cs="Arial" w:eastAsia="Arial" w:hAnsi="Arial"/>
          <w:sz w:val="14"/>
          <w:szCs w:val="14"/>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14" w:lineRule="exact"/>
        <w:rPr>
          <w:rFonts w:ascii="Arial" w:cs="Arial" w:eastAsia="Arial" w:hAnsi="Arial"/>
          <w:sz w:val="14"/>
          <w:szCs w:val="14"/>
          <w:color w:val="auto"/>
        </w:rPr>
      </w:pPr>
    </w:p>
    <w:p>
      <w:pPr>
        <w:ind w:left="1100" w:hanging="191"/>
        <w:spacing w:after="0"/>
        <w:tabs>
          <w:tab w:leader="none" w:pos="11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Clawback of Certain Compensation and Benefits. If, after the termination of the Term of Employment for any reason other than by the Company for “justifiable cause”:</w:t>
      </w:r>
    </w:p>
    <w:p>
      <w:pPr>
        <w:spacing w:after="0" w:line="97" w:lineRule="exact"/>
        <w:rPr>
          <w:rFonts w:ascii="Arial" w:cs="Arial" w:eastAsia="Arial" w:hAnsi="Arial"/>
          <w:sz w:val="14"/>
          <w:szCs w:val="14"/>
          <w:color w:val="auto"/>
        </w:rPr>
      </w:pPr>
    </w:p>
    <w:p>
      <w:pPr>
        <w:jc w:val="both"/>
        <w:ind w:right="200" w:firstLine="1481"/>
        <w:spacing w:after="0" w:line="304" w:lineRule="auto"/>
        <w:tabs>
          <w:tab w:leader="none" w:pos="1669" w:val="left"/>
        </w:tabs>
        <w:numPr>
          <w:ilvl w:val="1"/>
          <w:numId w:val="17"/>
        </w:numPr>
        <w:rPr>
          <w:rFonts w:ascii="Arial" w:cs="Arial" w:eastAsia="Arial" w:hAnsi="Arial"/>
          <w:sz w:val="14"/>
          <w:szCs w:val="14"/>
          <w:color w:val="auto"/>
        </w:rPr>
      </w:pPr>
      <w:r>
        <w:rPr>
          <w:rFonts w:ascii="Arial" w:cs="Arial" w:eastAsia="Arial" w:hAnsi="Arial"/>
          <w:sz w:val="14"/>
          <w:szCs w:val="14"/>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262" w:right="239" w:bottom="1440" w:gutter="0" w:footer="0" w:header="0"/>
        </w:sectPr>
      </w:pPr>
    </w:p>
    <w:bookmarkStart w:id="10" w:name="page11"/>
    <w:bookmarkEnd w:id="10"/>
    <w:p>
      <w:pPr>
        <w:ind w:firstLine="1481"/>
        <w:spacing w:after="0" w:line="276" w:lineRule="auto"/>
        <w:tabs>
          <w:tab w:leader="none" w:pos="1712" w:val="left"/>
        </w:tabs>
        <w:numPr>
          <w:ilvl w:val="1"/>
          <w:numId w:val="1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5040" cy="34925"/>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9" w:lineRule="exact"/>
        <w:rPr>
          <w:rFonts w:ascii="Arial" w:cs="Arial" w:eastAsia="Arial" w:hAnsi="Arial"/>
          <w:sz w:val="15"/>
          <w:szCs w:val="15"/>
          <w:color w:val="auto"/>
        </w:rPr>
      </w:pPr>
    </w:p>
    <w:p>
      <w:pPr>
        <w:ind w:right="80" w:firstLine="1939"/>
        <w:spacing w:after="0" w:line="268" w:lineRule="auto"/>
        <w:tabs>
          <w:tab w:leader="none" w:pos="2195" w:val="left"/>
        </w:tabs>
        <w:numPr>
          <w:ilvl w:val="2"/>
          <w:numId w:val="18"/>
        </w:numPr>
        <w:rPr>
          <w:rFonts w:ascii="Arial" w:cs="Arial" w:eastAsia="Arial" w:hAnsi="Arial"/>
          <w:sz w:val="15"/>
          <w:szCs w:val="15"/>
          <w:color w:val="auto"/>
        </w:rPr>
      </w:pPr>
      <w:r>
        <w:rPr>
          <w:rFonts w:ascii="Arial" w:cs="Arial" w:eastAsia="Arial" w:hAnsi="Arial"/>
          <w:sz w:val="15"/>
          <w:szCs w:val="15"/>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17" w:lineRule="exact"/>
        <w:rPr>
          <w:rFonts w:ascii="Arial" w:cs="Arial" w:eastAsia="Arial" w:hAnsi="Arial"/>
          <w:sz w:val="15"/>
          <w:szCs w:val="15"/>
          <w:color w:val="auto"/>
        </w:rPr>
      </w:pPr>
    </w:p>
    <w:p>
      <w:pPr>
        <w:ind w:left="2180" w:hanging="241"/>
        <w:spacing w:after="0"/>
        <w:tabs>
          <w:tab w:leader="none" w:pos="2180" w:val="left"/>
        </w:tabs>
        <w:numPr>
          <w:ilvl w:val="2"/>
          <w:numId w:val="18"/>
        </w:numPr>
        <w:rPr>
          <w:rFonts w:ascii="Arial" w:cs="Arial" w:eastAsia="Arial" w:hAnsi="Arial"/>
          <w:sz w:val="13"/>
          <w:szCs w:val="13"/>
          <w:color w:val="auto"/>
        </w:rPr>
      </w:pPr>
      <w:r>
        <w:rPr>
          <w:rFonts w:ascii="Arial" w:cs="Arial" w:eastAsia="Arial" w:hAnsi="Arial"/>
          <w:sz w:val="13"/>
          <w:szCs w:val="13"/>
          <w:color w:val="auto"/>
        </w:rPr>
        <w:t>all vested and unvested Awards (as that term is defined in the 2006 Incentive Compensation Plan) then held by the Executive shall immediately expire;</w:t>
      </w:r>
    </w:p>
    <w:p>
      <w:pPr>
        <w:spacing w:after="0" w:line="4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and</w:t>
      </w:r>
    </w:p>
    <w:p>
      <w:pPr>
        <w:spacing w:after="0" w:line="150" w:lineRule="exact"/>
        <w:rPr>
          <w:rFonts w:ascii="Arial" w:cs="Arial" w:eastAsia="Arial" w:hAnsi="Arial"/>
          <w:sz w:val="13"/>
          <w:szCs w:val="13"/>
          <w:color w:val="auto"/>
        </w:rPr>
      </w:pPr>
    </w:p>
    <w:p>
      <w:pPr>
        <w:ind w:firstLine="1939"/>
        <w:spacing w:after="0" w:line="266" w:lineRule="auto"/>
        <w:tabs>
          <w:tab w:leader="none" w:pos="2186" w:val="left"/>
        </w:tabs>
        <w:numPr>
          <w:ilvl w:val="2"/>
          <w:numId w:val="18"/>
        </w:numPr>
        <w:rPr>
          <w:rFonts w:ascii="Arial" w:cs="Arial" w:eastAsia="Arial" w:hAnsi="Arial"/>
          <w:sz w:val="15"/>
          <w:szCs w:val="15"/>
          <w:color w:val="auto"/>
        </w:rPr>
      </w:pPr>
      <w:r>
        <w:rPr>
          <w:rFonts w:ascii="Arial" w:cs="Arial" w:eastAsia="Arial" w:hAnsi="Arial"/>
          <w:sz w:val="15"/>
          <w:szCs w:val="15"/>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5"/>
          <w:szCs w:val="15"/>
          <w:color w:val="auto"/>
        </w:rPr>
      </w:pPr>
    </w:p>
    <w:p>
      <w:pPr>
        <w:ind w:right="120" w:firstLine="909"/>
        <w:spacing w:after="0" w:line="291" w:lineRule="auto"/>
        <w:tabs>
          <w:tab w:leader="none" w:pos="1131"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Any payment pursuant to paragraph 7(e) or 7(j) shall be contingent upon Executive’s execution of the General Release within 21 days after termination of the Term of Employment, and the Executive’s not revoking that release.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00"/>
          </w:cols>
          <w:pgMar w:left="240" w:top="262" w:right="259" w:bottom="1440" w:gutter="0" w:footer="0" w:header="0"/>
        </w:sectPr>
      </w:pPr>
    </w:p>
    <w:bookmarkStart w:id="11" w:name="page12"/>
    <w:bookmarkEnd w:id="11"/>
    <w:p>
      <w:pPr>
        <w:ind w:left="1060" w:hanging="151"/>
        <w:spacing w:after="0"/>
        <w:tabs>
          <w:tab w:leader="none" w:pos="1060"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5040" cy="34925"/>
                    </a:xfrm>
                    <a:prstGeom prst="rect">
                      <a:avLst/>
                    </a:prstGeom>
                    <a:noFill/>
                  </pic:spPr>
                </pic:pic>
              </a:graphicData>
            </a:graphic>
          </wp:anchor>
        </w:drawing>
        <w:t>COMPLIANCE WITH SECTION 409A</w:t>
      </w:r>
    </w:p>
    <w:p>
      <w:pPr>
        <w:spacing w:after="0" w:line="86" w:lineRule="exact"/>
        <w:rPr>
          <w:sz w:val="20"/>
          <w:szCs w:val="20"/>
          <w:color w:val="auto"/>
        </w:rPr>
      </w:pPr>
    </w:p>
    <w:p>
      <w:pPr>
        <w:ind w:right="140" w:firstLine="909"/>
        <w:spacing w:after="0" w:line="292" w:lineRule="auto"/>
        <w:tabs>
          <w:tab w:leader="none" w:pos="1123" w:val="left"/>
        </w:tabs>
        <w:numPr>
          <w:ilvl w:val="0"/>
          <w:numId w:val="21"/>
        </w:numPr>
        <w:rPr>
          <w:rFonts w:ascii="Arial" w:cs="Arial" w:eastAsia="Arial" w:hAnsi="Arial"/>
          <w:sz w:val="14"/>
          <w:szCs w:val="14"/>
          <w:color w:val="auto"/>
        </w:rPr>
      </w:pPr>
      <w:r>
        <w:rPr>
          <w:rFonts w:ascii="Arial" w:cs="Arial" w:eastAsia="Arial" w:hAnsi="Arial"/>
          <w:sz w:val="14"/>
          <w:szCs w:val="14"/>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01" w:lineRule="exact"/>
        <w:rPr>
          <w:rFonts w:ascii="Arial" w:cs="Arial" w:eastAsia="Arial" w:hAnsi="Arial"/>
          <w:sz w:val="14"/>
          <w:szCs w:val="14"/>
          <w:color w:val="auto"/>
        </w:rPr>
      </w:pPr>
    </w:p>
    <w:p>
      <w:pPr>
        <w:ind w:right="20" w:firstLine="909"/>
        <w:spacing w:after="0" w:line="373" w:lineRule="auto"/>
        <w:tabs>
          <w:tab w:leader="none" w:pos="1131"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22" w:lineRule="exact"/>
        <w:rPr>
          <w:rFonts w:ascii="Arial" w:cs="Arial" w:eastAsia="Arial" w:hAnsi="Arial"/>
          <w:sz w:val="13"/>
          <w:szCs w:val="13"/>
          <w:color w:val="auto"/>
        </w:rPr>
      </w:pPr>
    </w:p>
    <w:p>
      <w:pPr>
        <w:ind w:left="1120" w:hanging="211"/>
        <w:spacing w:after="0"/>
        <w:tabs>
          <w:tab w:leader="none" w:pos="11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6 Month Delay for “Specified Employees”.</w:t>
      </w:r>
    </w:p>
    <w:p>
      <w:pPr>
        <w:spacing w:after="0" w:line="85" w:lineRule="exact"/>
        <w:rPr>
          <w:rFonts w:ascii="Arial" w:cs="Arial" w:eastAsia="Arial" w:hAnsi="Arial"/>
          <w:sz w:val="15"/>
          <w:szCs w:val="15"/>
          <w:color w:val="auto"/>
        </w:rPr>
      </w:pPr>
    </w:p>
    <w:p>
      <w:pPr>
        <w:ind w:firstLine="1481"/>
        <w:spacing w:after="0" w:line="266" w:lineRule="auto"/>
        <w:tabs>
          <w:tab w:leader="none" w:pos="1669" w:val="left"/>
        </w:tabs>
        <w:numPr>
          <w:ilvl w:val="1"/>
          <w:numId w:val="21"/>
        </w:numPr>
        <w:rPr>
          <w:rFonts w:ascii="Arial" w:cs="Arial" w:eastAsia="Arial" w:hAnsi="Arial"/>
          <w:sz w:val="15"/>
          <w:szCs w:val="15"/>
          <w:color w:val="auto"/>
        </w:rPr>
      </w:pPr>
      <w:r>
        <w:rPr>
          <w:rFonts w:ascii="Arial" w:cs="Arial" w:eastAsia="Arial" w:hAnsi="Arial"/>
          <w:sz w:val="15"/>
          <w:szCs w:val="15"/>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5"/>
          <w:szCs w:val="15"/>
          <w:color w:val="auto"/>
        </w:rPr>
      </w:pPr>
    </w:p>
    <w:p>
      <w:pPr>
        <w:ind w:right="540" w:firstLine="1481"/>
        <w:spacing w:after="0" w:line="304" w:lineRule="auto"/>
        <w:tabs>
          <w:tab w:leader="none" w:pos="1712" w:val="left"/>
        </w:tabs>
        <w:numPr>
          <w:ilvl w:val="1"/>
          <w:numId w:val="21"/>
        </w:numPr>
        <w:rPr>
          <w:rFonts w:ascii="Arial" w:cs="Arial" w:eastAsia="Arial" w:hAnsi="Arial"/>
          <w:sz w:val="14"/>
          <w:szCs w:val="14"/>
          <w:color w:val="auto"/>
        </w:rPr>
      </w:pPr>
      <w:r>
        <w:rPr>
          <w:rFonts w:ascii="Arial" w:cs="Arial" w:eastAsia="Arial" w:hAnsi="Arial"/>
          <w:sz w:val="14"/>
          <w:szCs w:val="14"/>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92" w:lineRule="exact"/>
        <w:rPr>
          <w:rFonts w:ascii="Arial" w:cs="Arial" w:eastAsia="Arial" w:hAnsi="Arial"/>
          <w:sz w:val="14"/>
          <w:szCs w:val="14"/>
          <w:color w:val="auto"/>
        </w:rPr>
      </w:pPr>
    </w:p>
    <w:p>
      <w:pPr>
        <w:ind w:left="1120" w:hanging="211"/>
        <w:spacing w:after="0"/>
        <w:tabs>
          <w:tab w:leader="none" w:pos="11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 Acceleration of Payments. Neither the Company nor the Executive, individually or in combination, may accelerate any payment or benefit that is subject to</w:t>
      </w:r>
    </w:p>
    <w:p>
      <w:pPr>
        <w:spacing w:after="0" w:line="33"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Section 409A, except in compliance with Section 409A and the provisions of this Agreement, and no amount that is subject to Section 409A shall be paid prior to the earliest date on which it may be paid without violating Section 409A.</w:t>
      </w:r>
    </w:p>
    <w:p>
      <w:pPr>
        <w:spacing w:after="0" w:line="105" w:lineRule="exact"/>
        <w:rPr>
          <w:sz w:val="20"/>
          <w:szCs w:val="20"/>
          <w:color w:val="auto"/>
        </w:rPr>
      </w:pPr>
    </w:p>
    <w:p>
      <w:pPr>
        <w:jc w:val="both"/>
        <w:ind w:right="80" w:firstLine="909"/>
        <w:spacing w:after="0" w:line="276" w:lineRule="auto"/>
        <w:tabs>
          <w:tab w:leader="none" w:pos="1123" w:val="left"/>
        </w:tabs>
        <w:numPr>
          <w:ilvl w:val="0"/>
          <w:numId w:val="22"/>
        </w:numPr>
        <w:rPr>
          <w:rFonts w:ascii="Arial" w:cs="Arial" w:eastAsia="Arial" w:hAnsi="Arial"/>
          <w:sz w:val="15"/>
          <w:szCs w:val="15"/>
          <w:color w:val="auto"/>
        </w:rPr>
      </w:pPr>
      <w:r>
        <w:rPr>
          <w:rFonts w:ascii="Arial" w:cs="Arial" w:eastAsia="Arial" w:hAnsi="Arial"/>
          <w:sz w:val="15"/>
          <w:szCs w:val="15"/>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0"/>
          </w:cols>
          <w:pgMar w:left="240" w:top="262" w:right="239" w:bottom="1440" w:gutter="0" w:footer="0" w:header="0"/>
        </w:sectPr>
      </w:pPr>
    </w:p>
    <w:bookmarkStart w:id="12" w:name="page13"/>
    <w:bookmarkEnd w:id="12"/>
    <w:p>
      <w:pPr>
        <w:ind w:left="1106" w:hanging="191"/>
        <w:spacing w:after="0"/>
        <w:tabs>
          <w:tab w:leader="none" w:pos="1106" w:val="left"/>
        </w:tabs>
        <w:numPr>
          <w:ilvl w:val="0"/>
          <w:numId w:val="2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5040" cy="34925"/>
                    </a:xfrm>
                    <a:prstGeom prst="rect">
                      <a:avLst/>
                    </a:prstGeom>
                    <a:noFill/>
                  </pic:spPr>
                </pic:pic>
              </a:graphicData>
            </a:graphic>
          </wp:anchor>
        </w:drawing>
        <w:t>Taxable Reimbursements.</w:t>
      </w:r>
    </w:p>
    <w:p>
      <w:pPr>
        <w:spacing w:after="0" w:line="85" w:lineRule="exact"/>
        <w:rPr>
          <w:rFonts w:ascii="Arial" w:cs="Arial" w:eastAsia="Arial" w:hAnsi="Arial"/>
          <w:sz w:val="15"/>
          <w:szCs w:val="15"/>
          <w:color w:val="auto"/>
        </w:rPr>
      </w:pPr>
    </w:p>
    <w:p>
      <w:pPr>
        <w:ind w:left="6" w:firstLine="1481"/>
        <w:spacing w:after="0" w:line="276" w:lineRule="auto"/>
        <w:tabs>
          <w:tab w:leader="none" w:pos="1675" w:val="left"/>
        </w:tabs>
        <w:numPr>
          <w:ilvl w:val="1"/>
          <w:numId w:val="23"/>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9" w:lineRule="exact"/>
        <w:rPr>
          <w:rFonts w:ascii="Arial" w:cs="Arial" w:eastAsia="Arial" w:hAnsi="Arial"/>
          <w:sz w:val="15"/>
          <w:szCs w:val="15"/>
          <w:color w:val="auto"/>
        </w:rPr>
      </w:pPr>
    </w:p>
    <w:p>
      <w:pPr>
        <w:ind w:left="6" w:firstLine="1481"/>
        <w:spacing w:after="0" w:line="291" w:lineRule="auto"/>
        <w:tabs>
          <w:tab w:leader="none" w:pos="1718" w:val="left"/>
        </w:tabs>
        <w:numPr>
          <w:ilvl w:val="1"/>
          <w:numId w:val="23"/>
        </w:numPr>
        <w:rPr>
          <w:rFonts w:ascii="Arial" w:cs="Arial" w:eastAsia="Arial" w:hAnsi="Arial"/>
          <w:sz w:val="15"/>
          <w:szCs w:val="15"/>
          <w:color w:val="auto"/>
        </w:rPr>
      </w:pPr>
      <w:r>
        <w:rPr>
          <w:rFonts w:ascii="Arial" w:cs="Arial" w:eastAsia="Arial" w:hAnsi="Arial"/>
          <w:sz w:val="15"/>
          <w:szCs w:val="15"/>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98" w:lineRule="exact"/>
        <w:rPr>
          <w:rFonts w:ascii="Arial" w:cs="Arial" w:eastAsia="Arial" w:hAnsi="Arial"/>
          <w:sz w:val="15"/>
          <w:szCs w:val="15"/>
          <w:color w:val="auto"/>
        </w:rPr>
      </w:pPr>
    </w:p>
    <w:p>
      <w:pPr>
        <w:ind w:left="1746" w:hanging="259"/>
        <w:spacing w:after="0"/>
        <w:tabs>
          <w:tab w:leader="none" w:pos="1746" w:val="left"/>
        </w:tabs>
        <w:numPr>
          <w:ilvl w:val="1"/>
          <w:numId w:val="23"/>
        </w:numPr>
        <w:rPr>
          <w:rFonts w:ascii="Arial" w:cs="Arial" w:eastAsia="Arial" w:hAnsi="Arial"/>
          <w:sz w:val="15"/>
          <w:szCs w:val="15"/>
          <w:color w:val="auto"/>
        </w:rPr>
      </w:pPr>
      <w:r>
        <w:rPr>
          <w:rFonts w:ascii="Arial" w:cs="Arial" w:eastAsia="Arial" w:hAnsi="Arial"/>
          <w:sz w:val="15"/>
          <w:szCs w:val="15"/>
          <w:color w:val="auto"/>
        </w:rPr>
        <w:t>The right to Taxable Reimbursements shall not be subject to liquidation or exchange for another benefit.</w:t>
      </w:r>
    </w:p>
    <w:p>
      <w:pPr>
        <w:spacing w:after="0" w:line="227" w:lineRule="exact"/>
        <w:rPr>
          <w:sz w:val="20"/>
          <w:szCs w:val="20"/>
          <w:color w:val="auto"/>
        </w:rPr>
      </w:pPr>
    </w:p>
    <w:p>
      <w:pPr>
        <w:ind w:left="1066" w:hanging="151"/>
        <w:spacing w:after="0"/>
        <w:tabs>
          <w:tab w:leader="none" w:pos="1066"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REPRESENTATION AND AGREEMENTS OF EXECUTIVE</w:t>
      </w:r>
    </w:p>
    <w:p>
      <w:pPr>
        <w:spacing w:after="0" w:line="86" w:lineRule="exact"/>
        <w:rPr>
          <w:sz w:val="20"/>
          <w:szCs w:val="20"/>
          <w:color w:val="auto"/>
        </w:rPr>
      </w:pPr>
    </w:p>
    <w:p>
      <w:pPr>
        <w:ind w:left="6" w:right="80" w:firstLine="909"/>
        <w:spacing w:after="0" w:line="291" w:lineRule="auto"/>
        <w:tabs>
          <w:tab w:leader="none" w:pos="1129" w:val="left"/>
        </w:tabs>
        <w:numPr>
          <w:ilvl w:val="1"/>
          <w:numId w:val="25"/>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98" w:lineRule="exact"/>
        <w:rPr>
          <w:rFonts w:ascii="Arial" w:cs="Arial" w:eastAsia="Arial" w:hAnsi="Arial"/>
          <w:sz w:val="15"/>
          <w:szCs w:val="15"/>
          <w:color w:val="auto"/>
        </w:rPr>
      </w:pPr>
    </w:p>
    <w:p>
      <w:pPr>
        <w:jc w:val="both"/>
        <w:ind w:left="6" w:right="20" w:firstLine="909"/>
        <w:spacing w:after="0" w:line="276" w:lineRule="auto"/>
        <w:tabs>
          <w:tab w:leader="none" w:pos="1137" w:val="left"/>
        </w:tabs>
        <w:numPr>
          <w:ilvl w:val="1"/>
          <w:numId w:val="25"/>
        </w:numPr>
        <w:rPr>
          <w:rFonts w:ascii="Arial" w:cs="Arial" w:eastAsia="Arial" w:hAnsi="Arial"/>
          <w:sz w:val="15"/>
          <w:szCs w:val="15"/>
          <w:color w:val="auto"/>
        </w:rPr>
      </w:pPr>
      <w:r>
        <w:rPr>
          <w:rFonts w:ascii="Arial" w:cs="Arial" w:eastAsia="Arial" w:hAnsi="Arial"/>
          <w:sz w:val="15"/>
          <w:szCs w:val="15"/>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09" w:lineRule="exact"/>
        <w:rPr>
          <w:rFonts w:ascii="Arial" w:cs="Arial" w:eastAsia="Arial" w:hAnsi="Arial"/>
          <w:sz w:val="15"/>
          <w:szCs w:val="15"/>
          <w:color w:val="auto"/>
        </w:rPr>
      </w:pPr>
    </w:p>
    <w:p>
      <w:pPr>
        <w:ind w:left="6" w:right="220" w:firstLine="909"/>
        <w:spacing w:after="0" w:line="291" w:lineRule="auto"/>
        <w:tabs>
          <w:tab w:leader="none" w:pos="1129" w:val="left"/>
        </w:tabs>
        <w:numPr>
          <w:ilvl w:val="1"/>
          <w:numId w:val="25"/>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98" w:lineRule="exact"/>
        <w:rPr>
          <w:rFonts w:ascii="Arial" w:cs="Arial" w:eastAsia="Arial" w:hAnsi="Arial"/>
          <w:sz w:val="15"/>
          <w:szCs w:val="15"/>
          <w:color w:val="auto"/>
        </w:rPr>
      </w:pPr>
    </w:p>
    <w:p>
      <w:pPr>
        <w:ind w:left="1126" w:hanging="211"/>
        <w:spacing w:after="0"/>
        <w:tabs>
          <w:tab w:leader="none" w:pos="1126" w:val="left"/>
        </w:tabs>
        <w:numPr>
          <w:ilvl w:val="1"/>
          <w:numId w:val="25"/>
        </w:numPr>
        <w:rPr>
          <w:rFonts w:ascii="Arial" w:cs="Arial" w:eastAsia="Arial" w:hAnsi="Arial"/>
          <w:sz w:val="14"/>
          <w:szCs w:val="14"/>
          <w:color w:val="auto"/>
        </w:rPr>
      </w:pPr>
      <w:r>
        <w:rPr>
          <w:rFonts w:ascii="Arial" w:cs="Arial" w:eastAsia="Arial" w:hAnsi="Arial"/>
          <w:sz w:val="14"/>
          <w:szCs w:val="14"/>
          <w:color w:val="auto"/>
        </w:rPr>
        <w:t>Executive represents and warrants that he has never been a party to any judicial or administrative proceeding that resulted in a judgement, decree, or final order</w:t>
      </w:r>
    </w:p>
    <w:p>
      <w:pPr>
        <w:spacing w:after="0" w:line="33" w:lineRule="exact"/>
        <w:rPr>
          <w:rFonts w:ascii="Arial" w:cs="Arial" w:eastAsia="Arial" w:hAnsi="Arial"/>
          <w:sz w:val="14"/>
          <w:szCs w:val="14"/>
          <w:color w:val="auto"/>
        </w:rPr>
      </w:pPr>
    </w:p>
    <w:p>
      <w:pPr>
        <w:ind w:left="186" w:hanging="186"/>
        <w:spacing w:after="0"/>
        <w:tabs>
          <w:tab w:leader="none" w:pos="186" w:val="left"/>
        </w:tabs>
        <w:numPr>
          <w:ilvl w:val="0"/>
          <w:numId w:val="26"/>
        </w:numPr>
        <w:rPr>
          <w:rFonts w:ascii="Arial" w:cs="Arial" w:eastAsia="Arial" w:hAnsi="Arial"/>
          <w:sz w:val="15"/>
          <w:szCs w:val="15"/>
          <w:color w:val="auto"/>
        </w:rPr>
      </w:pPr>
      <w:r>
        <w:rPr>
          <w:rFonts w:ascii="Arial" w:cs="Arial" w:eastAsia="Arial" w:hAnsi="Arial"/>
          <w:sz w:val="15"/>
          <w:szCs w:val="15"/>
          <w:color w:val="auto"/>
        </w:rPr>
        <w:t>enjoining him from future violations of, or prohibiting any violations of any federal or state securities law, or (ii) finding any violations of any federal or state securities law.</w:t>
      </w:r>
    </w:p>
    <w:p>
      <w:pPr>
        <w:spacing w:after="0" w:line="150" w:lineRule="exact"/>
        <w:rPr>
          <w:rFonts w:ascii="Arial" w:cs="Arial" w:eastAsia="Arial" w:hAnsi="Arial"/>
          <w:sz w:val="15"/>
          <w:szCs w:val="15"/>
          <w:color w:val="auto"/>
        </w:rPr>
      </w:pPr>
    </w:p>
    <w:p>
      <w:pPr>
        <w:ind w:left="1126" w:hanging="211"/>
        <w:spacing w:after="0"/>
        <w:tabs>
          <w:tab w:leader="none" w:pos="1126" w:val="left"/>
        </w:tabs>
        <w:numPr>
          <w:ilvl w:val="1"/>
          <w:numId w:val="26"/>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accused of any impropriety in connection with any employment;</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15"/>
          <w:szCs w:val="15"/>
          <w:color w:val="auto"/>
        </w:rPr>
        <w:t>Any breach of any of the above representations and warranties is “justifiable cause” for termination under paragraph 7(d) of this Agreement.</w:t>
      </w:r>
    </w:p>
    <w:p>
      <w:pPr>
        <w:spacing w:after="0" w:line="145" w:lineRule="exact"/>
        <w:rPr>
          <w:sz w:val="20"/>
          <w:szCs w:val="20"/>
          <w:color w:val="auto"/>
        </w:rPr>
      </w:pPr>
    </w:p>
    <w:p>
      <w:pPr>
        <w:ind w:left="5686"/>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386"/>
          </w:cols>
          <w:pgMar w:left="234" w:top="262" w:right="279" w:bottom="1440" w:gutter="0" w:footer="0" w:header="0"/>
        </w:sectPr>
      </w:pPr>
    </w:p>
    <w:bookmarkStart w:id="13" w:name="page14"/>
    <w:bookmarkEnd w:id="13"/>
    <w:p>
      <w:pPr>
        <w:ind w:left="1120" w:hanging="231"/>
        <w:spacing w:after="0"/>
        <w:tabs>
          <w:tab w:leader="none" w:pos="112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5040" cy="34925"/>
                    </a:xfrm>
                    <a:prstGeom prst="rect">
                      <a:avLst/>
                    </a:prstGeom>
                    <a:noFill/>
                  </pic:spPr>
                </pic:pic>
              </a:graphicData>
            </a:graphic>
          </wp:anchor>
        </w:drawing>
        <w:t>NON-COMPETITION</w:t>
      </w:r>
    </w:p>
    <w:p>
      <w:pPr>
        <w:spacing w:after="0" w:line="86" w:lineRule="exact"/>
        <w:rPr>
          <w:sz w:val="20"/>
          <w:szCs w:val="20"/>
          <w:color w:val="auto"/>
        </w:rPr>
      </w:pPr>
    </w:p>
    <w:p>
      <w:pPr>
        <w:ind w:left="-20" w:right="20" w:firstLine="909"/>
        <w:spacing w:after="0" w:line="309" w:lineRule="auto"/>
        <w:tabs>
          <w:tab w:leader="none" w:pos="1103" w:val="left"/>
        </w:tabs>
        <w:numPr>
          <w:ilvl w:val="0"/>
          <w:numId w:val="28"/>
        </w:numPr>
        <w:rPr>
          <w:rFonts w:ascii="Arial" w:cs="Arial" w:eastAsia="Arial" w:hAnsi="Arial"/>
          <w:sz w:val="13"/>
          <w:szCs w:val="13"/>
          <w:color w:val="auto"/>
        </w:rPr>
      </w:pPr>
      <w:r>
        <w:rPr>
          <w:rFonts w:ascii="Arial" w:cs="Arial" w:eastAsia="Arial" w:hAnsi="Arial"/>
          <w:sz w:val="13"/>
          <w:szCs w:val="13"/>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95" w:lineRule="exact"/>
        <w:rPr>
          <w:rFonts w:ascii="Arial" w:cs="Arial" w:eastAsia="Arial" w:hAnsi="Arial"/>
          <w:sz w:val="13"/>
          <w:szCs w:val="13"/>
          <w:color w:val="auto"/>
        </w:rPr>
      </w:pPr>
    </w:p>
    <w:p>
      <w:pPr>
        <w:jc w:val="both"/>
        <w:ind w:left="-20" w:firstLine="909"/>
        <w:spacing w:after="0" w:line="271" w:lineRule="auto"/>
        <w:tabs>
          <w:tab w:leader="none" w:pos="1111"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13" w:lineRule="exact"/>
        <w:rPr>
          <w:rFonts w:ascii="Arial" w:cs="Arial" w:eastAsia="Arial" w:hAnsi="Arial"/>
          <w:sz w:val="15"/>
          <w:szCs w:val="15"/>
          <w:color w:val="auto"/>
        </w:rPr>
      </w:pPr>
    </w:p>
    <w:p>
      <w:pPr>
        <w:ind w:left="-20" w:right="120" w:firstLine="909"/>
        <w:spacing w:after="0" w:line="268" w:lineRule="auto"/>
        <w:tabs>
          <w:tab w:leader="none" w:pos="1103" w:val="left"/>
        </w:tabs>
        <w:numPr>
          <w:ilvl w:val="0"/>
          <w:numId w:val="28"/>
        </w:numPr>
        <w:rPr>
          <w:rFonts w:ascii="Arial" w:cs="Arial" w:eastAsia="Arial" w:hAnsi="Arial"/>
          <w:sz w:val="15"/>
          <w:szCs w:val="15"/>
          <w:color w:val="auto"/>
        </w:rPr>
      </w:pPr>
      <w:r>
        <w:rPr>
          <w:rFonts w:ascii="Arial" w:cs="Arial" w:eastAsia="Arial" w:hAnsi="Arial"/>
          <w:sz w:val="15"/>
          <w:szCs w:val="15"/>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7" w:lineRule="exact"/>
        <w:rPr>
          <w:rFonts w:ascii="Arial" w:cs="Arial" w:eastAsia="Arial" w:hAnsi="Arial"/>
          <w:sz w:val="15"/>
          <w:szCs w:val="15"/>
          <w:color w:val="auto"/>
        </w:rPr>
      </w:pPr>
    </w:p>
    <w:p>
      <w:pPr>
        <w:ind w:left="-20" w:right="20" w:firstLine="909"/>
        <w:spacing w:after="0" w:line="304" w:lineRule="auto"/>
        <w:tabs>
          <w:tab w:leader="none" w:pos="1111"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380"/>
          </w:cols>
          <w:pgMar w:left="260" w:top="262" w:right="259" w:bottom="1440" w:gutter="0" w:footer="0" w:header="0"/>
        </w:sectPr>
      </w:pPr>
    </w:p>
    <w:bookmarkStart w:id="14" w:name="page15"/>
    <w:bookmarkEnd w:id="14"/>
    <w:p>
      <w:pPr>
        <w:ind w:left="1140" w:hanging="231"/>
        <w:spacing w:after="0"/>
        <w:tabs>
          <w:tab w:leader="none" w:pos="1140"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5040" cy="34925"/>
                    </a:xfrm>
                    <a:prstGeom prst="rect">
                      <a:avLst/>
                    </a:prstGeom>
                    <a:noFill/>
                  </pic:spPr>
                </pic:pic>
              </a:graphicData>
            </a:graphic>
          </wp:anchor>
        </w:drawing>
        <w:t>INVENTIONS AND DISCOVERIES</w:t>
      </w:r>
    </w:p>
    <w:p>
      <w:pPr>
        <w:spacing w:after="0" w:line="86" w:lineRule="exact"/>
        <w:rPr>
          <w:sz w:val="20"/>
          <w:szCs w:val="20"/>
          <w:color w:val="auto"/>
        </w:rPr>
      </w:pPr>
    </w:p>
    <w:p>
      <w:pPr>
        <w:ind w:right="120" w:firstLine="909"/>
        <w:spacing w:after="0" w:line="267" w:lineRule="auto"/>
        <w:tabs>
          <w:tab w:leader="none" w:pos="1123" w:val="left"/>
        </w:tabs>
        <w:numPr>
          <w:ilvl w:val="0"/>
          <w:numId w:val="30"/>
        </w:numPr>
        <w:rPr>
          <w:rFonts w:ascii="Arial" w:cs="Arial" w:eastAsia="Arial" w:hAnsi="Arial"/>
          <w:sz w:val="15"/>
          <w:szCs w:val="15"/>
          <w:color w:val="auto"/>
        </w:rPr>
      </w:pPr>
      <w:r>
        <w:rPr>
          <w:rFonts w:ascii="Arial" w:cs="Arial" w:eastAsia="Arial" w:hAnsi="Arial"/>
          <w:sz w:val="15"/>
          <w:szCs w:val="15"/>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17" w:lineRule="exact"/>
        <w:rPr>
          <w:rFonts w:ascii="Arial" w:cs="Arial" w:eastAsia="Arial" w:hAnsi="Arial"/>
          <w:sz w:val="15"/>
          <w:szCs w:val="15"/>
          <w:color w:val="auto"/>
        </w:rPr>
      </w:pPr>
    </w:p>
    <w:p>
      <w:pPr>
        <w:ind w:right="160" w:firstLine="909"/>
        <w:spacing w:after="0" w:line="266" w:lineRule="auto"/>
        <w:tabs>
          <w:tab w:leader="none" w:pos="1131" w:val="left"/>
        </w:tabs>
        <w:numPr>
          <w:ilvl w:val="0"/>
          <w:numId w:val="30"/>
        </w:numPr>
        <w:rPr>
          <w:rFonts w:ascii="Arial" w:cs="Arial" w:eastAsia="Arial" w:hAnsi="Arial"/>
          <w:sz w:val="15"/>
          <w:szCs w:val="15"/>
          <w:color w:val="auto"/>
        </w:rPr>
      </w:pPr>
      <w:r>
        <w:rPr>
          <w:rFonts w:ascii="Arial" w:cs="Arial" w:eastAsia="Arial" w:hAnsi="Arial"/>
          <w:sz w:val="15"/>
          <w:szCs w:val="15"/>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89" w:lineRule="exact"/>
        <w:rPr>
          <w:sz w:val="20"/>
          <w:szCs w:val="20"/>
          <w:color w:val="auto"/>
        </w:rPr>
      </w:pPr>
    </w:p>
    <w:p>
      <w:pPr>
        <w:ind w:left="1140" w:hanging="231"/>
        <w:spacing w:after="0"/>
        <w:tabs>
          <w:tab w:leader="none" w:pos="1140"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NON-DISCLOSURE OF CONFIDENTIAL INFORMATION</w:t>
      </w:r>
    </w:p>
    <w:p>
      <w:pPr>
        <w:spacing w:after="0" w:line="86" w:lineRule="exact"/>
        <w:rPr>
          <w:sz w:val="20"/>
          <w:szCs w:val="20"/>
          <w:color w:val="auto"/>
        </w:rPr>
      </w:pPr>
    </w:p>
    <w:p>
      <w:pPr>
        <w:ind w:firstLine="909"/>
        <w:spacing w:after="0" w:line="288" w:lineRule="auto"/>
        <w:tabs>
          <w:tab w:leader="none" w:pos="1123"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20"/>
          </w:cols>
          <w:pgMar w:left="240" w:top="262" w:right="239" w:bottom="1440" w:gutter="0" w:footer="0" w:header="0"/>
        </w:sectPr>
      </w:pPr>
    </w:p>
    <w:bookmarkStart w:id="15" w:name="page16"/>
    <w:bookmarkEnd w:id="15"/>
    <w:p>
      <w:pPr>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5040" cy="34925"/>
                    </a:xfrm>
                    <a:prstGeom prst="rect">
                      <a:avLst/>
                    </a:prstGeom>
                    <a:noFill/>
                  </pic:spPr>
                </pic:pic>
              </a:graphicData>
            </a:graphic>
          </wp:anchor>
        </w:drawing>
        <w:t>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01" w:lineRule="exact"/>
        <w:rPr>
          <w:sz w:val="20"/>
          <w:szCs w:val="20"/>
          <w:color w:val="auto"/>
        </w:rPr>
      </w:pPr>
    </w:p>
    <w:p>
      <w:pPr>
        <w:ind w:right="140" w:firstLine="909"/>
        <w:spacing w:after="0" w:line="271" w:lineRule="auto"/>
        <w:tabs>
          <w:tab w:leader="none" w:pos="1123" w:val="left"/>
        </w:tabs>
        <w:numPr>
          <w:ilvl w:val="0"/>
          <w:numId w:val="33"/>
        </w:numPr>
        <w:rPr>
          <w:rFonts w:ascii="Arial" w:cs="Arial" w:eastAsia="Arial" w:hAnsi="Arial"/>
          <w:sz w:val="15"/>
          <w:szCs w:val="15"/>
          <w:color w:val="auto"/>
        </w:rPr>
      </w:pPr>
      <w:r>
        <w:rPr>
          <w:rFonts w:ascii="Arial" w:cs="Arial" w:eastAsia="Arial" w:hAnsi="Arial"/>
          <w:sz w:val="15"/>
          <w:szCs w:val="15"/>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84" w:lineRule="exact"/>
        <w:rPr>
          <w:sz w:val="20"/>
          <w:szCs w:val="20"/>
          <w:color w:val="auto"/>
        </w:rPr>
      </w:pPr>
    </w:p>
    <w:p>
      <w:pPr>
        <w:ind w:left="1140" w:hanging="231"/>
        <w:spacing w:after="0"/>
        <w:tabs>
          <w:tab w:leader="none" w:pos="1140"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SPECIFIC PERFORMANCE</w:t>
      </w:r>
    </w:p>
    <w:p>
      <w:pPr>
        <w:spacing w:after="0" w:line="86" w:lineRule="exact"/>
        <w:rPr>
          <w:sz w:val="20"/>
          <w:szCs w:val="20"/>
          <w:color w:val="auto"/>
        </w:rPr>
      </w:pPr>
    </w:p>
    <w:p>
      <w:pPr>
        <w:ind w:right="40" w:firstLine="915"/>
        <w:spacing w:after="0" w:line="313" w:lineRule="auto"/>
        <w:rPr>
          <w:sz w:val="20"/>
          <w:szCs w:val="20"/>
          <w:color w:val="auto"/>
        </w:rPr>
      </w:pPr>
      <w:r>
        <w:rPr>
          <w:rFonts w:ascii="Arial" w:cs="Arial" w:eastAsia="Arial" w:hAnsi="Arial"/>
          <w:sz w:val="13"/>
          <w:szCs w:val="13"/>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62" w:lineRule="exact"/>
        <w:rPr>
          <w:sz w:val="20"/>
          <w:szCs w:val="20"/>
          <w:color w:val="auto"/>
        </w:rPr>
      </w:pPr>
    </w:p>
    <w:p>
      <w:pPr>
        <w:ind w:left="1140" w:hanging="231"/>
        <w:spacing w:after="0"/>
        <w:tabs>
          <w:tab w:leader="none" w:pos="1140"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AMENDMENT OR ALTERATION</w:t>
      </w:r>
    </w:p>
    <w:p>
      <w:pPr>
        <w:spacing w:after="0" w:line="8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No amendment or alteration of the terms of this Agreement shall be valid unless made in writing and signed by both of the parties hereto.</w:t>
      </w:r>
    </w:p>
    <w:p>
      <w:pPr>
        <w:spacing w:after="0" w:line="227" w:lineRule="exact"/>
        <w:rPr>
          <w:sz w:val="20"/>
          <w:szCs w:val="20"/>
          <w:color w:val="auto"/>
        </w:rPr>
      </w:pPr>
    </w:p>
    <w:p>
      <w:pPr>
        <w:ind w:left="1140" w:hanging="231"/>
        <w:spacing w:after="0"/>
        <w:tabs>
          <w:tab w:leader="none" w:pos="1140"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GOVERNING LAW</w:t>
      </w:r>
    </w:p>
    <w:p>
      <w:pPr>
        <w:spacing w:after="0" w:line="86" w:lineRule="exact"/>
        <w:rPr>
          <w:sz w:val="20"/>
          <w:szCs w:val="20"/>
          <w:color w:val="auto"/>
        </w:rPr>
      </w:pPr>
    </w:p>
    <w:p>
      <w:pPr>
        <w:ind w:right="160" w:firstLine="915"/>
        <w:spacing w:after="0" w:line="291" w:lineRule="auto"/>
        <w:rPr>
          <w:sz w:val="20"/>
          <w:szCs w:val="20"/>
          <w:color w:val="auto"/>
        </w:rPr>
      </w:pPr>
      <w:r>
        <w:rPr>
          <w:rFonts w:ascii="Arial" w:cs="Arial" w:eastAsia="Arial" w:hAnsi="Arial"/>
          <w:sz w:val="15"/>
          <w:szCs w:val="15"/>
          <w:color w:val="auto"/>
        </w:rPr>
        <w:t>This Agreement shall be governed by, and construed and enforced in accordance with the substantive laws of the Commonwealth of Massachusetts, without regard to its principles of conflicts of laws.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380"/>
          </w:cols>
          <w:pgMar w:left="240" w:top="262" w:right="279" w:bottom="1440" w:gutter="0" w:footer="0" w:header="0"/>
        </w:sectPr>
      </w:pPr>
    </w:p>
    <w:bookmarkStart w:id="16" w:name="page17"/>
    <w:bookmarkEnd w:id="16"/>
    <w:p>
      <w:pPr>
        <w:ind w:left="1140" w:hanging="231"/>
        <w:spacing w:after="0"/>
        <w:tabs>
          <w:tab w:leader="none" w:pos="1140"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5040" cy="34925"/>
                    </a:xfrm>
                    <a:prstGeom prst="rect">
                      <a:avLst/>
                    </a:prstGeom>
                    <a:noFill/>
                  </pic:spPr>
                </pic:pic>
              </a:graphicData>
            </a:graphic>
          </wp:anchor>
        </w:drawing>
        <w:t>SEVERABILITY</w:t>
      </w:r>
    </w:p>
    <w:p>
      <w:pPr>
        <w:spacing w:after="0" w:line="86" w:lineRule="exact"/>
        <w:rPr>
          <w:sz w:val="20"/>
          <w:szCs w:val="20"/>
          <w:color w:val="auto"/>
        </w:rPr>
      </w:pPr>
    </w:p>
    <w:p>
      <w:pPr>
        <w:ind w:right="160" w:firstLine="915"/>
        <w:spacing w:after="0" w:line="291" w:lineRule="auto"/>
        <w:rPr>
          <w:sz w:val="20"/>
          <w:szCs w:val="20"/>
          <w:color w:val="auto"/>
        </w:rPr>
      </w:pPr>
      <w:r>
        <w:rPr>
          <w:rFonts w:ascii="Arial" w:cs="Arial" w:eastAsia="Arial" w:hAnsi="Arial"/>
          <w:sz w:val="15"/>
          <w:szCs w:val="15"/>
          <w:color w:val="auto"/>
        </w:rPr>
        <w:t>The holding of any provision of this Agreement to be invalid or unenforceable by a court of competent jurisdiction shall not affect any other provision of this Agreement, which shall remain in full force and effect.</w:t>
      </w:r>
    </w:p>
    <w:p>
      <w:pPr>
        <w:spacing w:after="0" w:line="169" w:lineRule="exact"/>
        <w:rPr>
          <w:sz w:val="20"/>
          <w:szCs w:val="20"/>
          <w:color w:val="auto"/>
        </w:rPr>
      </w:pPr>
    </w:p>
    <w:p>
      <w:pPr>
        <w:ind w:left="1140" w:hanging="231"/>
        <w:spacing w:after="0"/>
        <w:tabs>
          <w:tab w:leader="none" w:pos="1140"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NOTICES</w:t>
      </w:r>
    </w:p>
    <w:p>
      <w:pPr>
        <w:spacing w:after="0" w:line="86" w:lineRule="exact"/>
        <w:rPr>
          <w:sz w:val="20"/>
          <w:szCs w:val="20"/>
          <w:color w:val="auto"/>
        </w:rPr>
      </w:pPr>
    </w:p>
    <w:p>
      <w:pPr>
        <w:ind w:right="300" w:firstLine="915"/>
        <w:spacing w:after="0" w:line="276" w:lineRule="auto"/>
        <w:rPr>
          <w:sz w:val="20"/>
          <w:szCs w:val="20"/>
          <w:color w:val="auto"/>
        </w:rPr>
      </w:pPr>
      <w:r>
        <w:rPr>
          <w:rFonts w:ascii="Arial" w:cs="Arial" w:eastAsia="Arial" w:hAnsi="Arial"/>
          <w:sz w:val="15"/>
          <w:szCs w:val="15"/>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80" w:lineRule="exact"/>
        <w:rPr>
          <w:sz w:val="20"/>
          <w:szCs w:val="20"/>
          <w:color w:val="auto"/>
        </w:rPr>
      </w:pPr>
    </w:p>
    <w:p>
      <w:pPr>
        <w:ind w:left="1140" w:hanging="231"/>
        <w:spacing w:after="0"/>
        <w:tabs>
          <w:tab w:leader="none" w:pos="1140"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WAIVER OR BREACH</w:t>
      </w:r>
    </w:p>
    <w:p>
      <w:pPr>
        <w:spacing w:after="0" w:line="8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It is agreed that a waiver by either party of a breach of any provision of this Agreement shall not operate, or be construed as a waiver of any subsequent breach by that same</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party.</w:t>
      </w:r>
    </w:p>
    <w:p>
      <w:pPr>
        <w:spacing w:after="0" w:line="221" w:lineRule="exact"/>
        <w:rPr>
          <w:sz w:val="20"/>
          <w:szCs w:val="20"/>
          <w:color w:val="auto"/>
        </w:rPr>
      </w:pPr>
    </w:p>
    <w:p>
      <w:pPr>
        <w:ind w:left="1140" w:hanging="231"/>
        <w:spacing w:after="0"/>
        <w:tabs>
          <w:tab w:leader="none" w:pos="1140"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ENTIRE AGREEMENT AND BINDING EFFECT</w:t>
      </w:r>
    </w:p>
    <w:p>
      <w:pPr>
        <w:spacing w:after="0" w:line="86" w:lineRule="exact"/>
        <w:rPr>
          <w:sz w:val="20"/>
          <w:szCs w:val="20"/>
          <w:color w:val="auto"/>
        </w:rPr>
      </w:pPr>
    </w:p>
    <w:p>
      <w:pPr>
        <w:ind w:firstLine="915"/>
        <w:spacing w:after="0" w:line="266" w:lineRule="auto"/>
        <w:rPr>
          <w:sz w:val="20"/>
          <w:szCs w:val="20"/>
          <w:color w:val="auto"/>
        </w:rPr>
      </w:pPr>
      <w:r>
        <w:rPr>
          <w:rFonts w:ascii="Arial" w:cs="Arial" w:eastAsia="Arial" w:hAnsi="Arial"/>
          <w:sz w:val="15"/>
          <w:szCs w:val="15"/>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89" w:lineRule="exact"/>
        <w:rPr>
          <w:sz w:val="20"/>
          <w:szCs w:val="20"/>
          <w:color w:val="auto"/>
        </w:rPr>
      </w:pPr>
    </w:p>
    <w:p>
      <w:pPr>
        <w:ind w:left="1140" w:hanging="231"/>
        <w:spacing w:after="0"/>
        <w:tabs>
          <w:tab w:leader="none" w:pos="1140"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SURVIVAL</w:t>
      </w:r>
    </w:p>
    <w:p>
      <w:pPr>
        <w:spacing w:after="0" w:line="86" w:lineRule="exact"/>
        <w:rPr>
          <w:sz w:val="20"/>
          <w:szCs w:val="20"/>
          <w:color w:val="auto"/>
        </w:rPr>
      </w:pPr>
    </w:p>
    <w:p>
      <w:pPr>
        <w:ind w:right="60" w:firstLine="915"/>
        <w:spacing w:after="0" w:line="291" w:lineRule="auto"/>
        <w:rPr>
          <w:sz w:val="20"/>
          <w:szCs w:val="20"/>
          <w:color w:val="auto"/>
        </w:rPr>
      </w:pPr>
      <w:r>
        <w:rPr>
          <w:rFonts w:ascii="Arial" w:cs="Arial" w:eastAsia="Arial" w:hAnsi="Arial"/>
          <w:sz w:val="15"/>
          <w:szCs w:val="15"/>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20"/>
          </w:cols>
          <w:pgMar w:left="240" w:top="262" w:right="239" w:bottom="1440" w:gutter="0" w:footer="0" w:header="0"/>
        </w:sectPr>
      </w:pPr>
    </w:p>
    <w:bookmarkStart w:id="17" w:name="page18"/>
    <w:bookmarkEnd w:id="17"/>
    <w:p>
      <w:pPr>
        <w:ind w:left="1140" w:hanging="231"/>
        <w:spacing w:after="0"/>
        <w:tabs>
          <w:tab w:leader="none" w:pos="1140"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5040" cy="34925"/>
                    </a:xfrm>
                    <a:prstGeom prst="rect">
                      <a:avLst/>
                    </a:prstGeom>
                    <a:noFill/>
                  </pic:spPr>
                </pic:pic>
              </a:graphicData>
            </a:graphic>
          </wp:anchor>
        </w:drawing>
        <w:t>RESOLUTION OF DISPUTES</w:t>
      </w:r>
    </w:p>
    <w:p>
      <w:pPr>
        <w:spacing w:after="0" w:line="8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Any and all disputes arising under or in connection with this Agreement shall be resolved in accordance with this paragraph 21 and paragraph 15.</w:t>
      </w:r>
    </w:p>
    <w:p>
      <w:pPr>
        <w:spacing w:after="0" w:line="156" w:lineRule="exact"/>
        <w:rPr>
          <w:sz w:val="20"/>
          <w:szCs w:val="20"/>
          <w:color w:val="auto"/>
        </w:rPr>
      </w:pPr>
    </w:p>
    <w:p>
      <w:pPr>
        <w:ind w:firstLine="915"/>
        <w:spacing w:after="0" w:line="271" w:lineRule="auto"/>
        <w:rPr>
          <w:sz w:val="20"/>
          <w:szCs w:val="20"/>
          <w:color w:val="auto"/>
        </w:rPr>
      </w:pPr>
      <w:r>
        <w:rPr>
          <w:rFonts w:ascii="Arial" w:cs="Arial" w:eastAsia="Arial" w:hAnsi="Arial"/>
          <w:sz w:val="15"/>
          <w:szCs w:val="15"/>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84" w:lineRule="exact"/>
        <w:rPr>
          <w:sz w:val="20"/>
          <w:szCs w:val="20"/>
          <w:color w:val="auto"/>
        </w:rPr>
      </w:pPr>
    </w:p>
    <w:p>
      <w:pPr>
        <w:ind w:left="1140" w:hanging="231"/>
        <w:spacing w:after="0"/>
        <w:tabs>
          <w:tab w:leader="none" w:pos="1140" w:val="left"/>
        </w:tabs>
        <w:numPr>
          <w:ilvl w:val="0"/>
          <w:numId w:val="43"/>
        </w:numPr>
        <w:rPr>
          <w:rFonts w:ascii="Arial" w:cs="Arial" w:eastAsia="Arial" w:hAnsi="Arial"/>
          <w:sz w:val="15"/>
          <w:szCs w:val="15"/>
          <w:color w:val="auto"/>
        </w:rPr>
      </w:pPr>
      <w:r>
        <w:rPr>
          <w:rFonts w:ascii="Arial" w:cs="Arial" w:eastAsia="Arial" w:hAnsi="Arial"/>
          <w:sz w:val="15"/>
          <w:szCs w:val="15"/>
          <w:u w:val="single" w:color="auto"/>
          <w:color w:val="auto"/>
        </w:rPr>
        <w:t>NON-DISPARAGEMENT</w:t>
      </w:r>
    </w:p>
    <w:p>
      <w:pPr>
        <w:spacing w:after="0" w:line="86" w:lineRule="exact"/>
        <w:rPr>
          <w:sz w:val="20"/>
          <w:szCs w:val="20"/>
          <w:color w:val="auto"/>
        </w:rPr>
      </w:pPr>
    </w:p>
    <w:p>
      <w:pPr>
        <w:jc w:val="both"/>
        <w:ind w:right="80" w:firstLine="915"/>
        <w:spacing w:after="0" w:line="276" w:lineRule="auto"/>
        <w:rPr>
          <w:sz w:val="20"/>
          <w:szCs w:val="20"/>
          <w:color w:val="auto"/>
        </w:rPr>
      </w:pPr>
      <w:r>
        <w:rPr>
          <w:rFonts w:ascii="Arial" w:cs="Arial" w:eastAsia="Arial" w:hAnsi="Arial"/>
          <w:sz w:val="15"/>
          <w:szCs w:val="15"/>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80" w:lineRule="exact"/>
        <w:rPr>
          <w:sz w:val="20"/>
          <w:szCs w:val="20"/>
          <w:color w:val="auto"/>
        </w:rPr>
      </w:pPr>
    </w:p>
    <w:p>
      <w:pPr>
        <w:ind w:left="1140" w:hanging="231"/>
        <w:spacing w:after="0"/>
        <w:tabs>
          <w:tab w:leader="none" w:pos="1140"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FURTHER ASSURANCES</w:t>
      </w:r>
    </w:p>
    <w:p>
      <w:pPr>
        <w:spacing w:after="0" w:line="86" w:lineRule="exact"/>
        <w:rPr>
          <w:sz w:val="20"/>
          <w:szCs w:val="20"/>
          <w:color w:val="auto"/>
        </w:rPr>
      </w:pPr>
    </w:p>
    <w:p>
      <w:pPr>
        <w:ind w:right="60" w:firstLine="915"/>
        <w:spacing w:after="0" w:line="291" w:lineRule="auto"/>
        <w:rPr>
          <w:sz w:val="20"/>
          <w:szCs w:val="20"/>
          <w:color w:val="auto"/>
        </w:rPr>
      </w:pPr>
      <w:r>
        <w:rPr>
          <w:rFonts w:ascii="Arial" w:cs="Arial" w:eastAsia="Arial" w:hAnsi="Arial"/>
          <w:sz w:val="15"/>
          <w:szCs w:val="15"/>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69" w:lineRule="exact"/>
        <w:rPr>
          <w:sz w:val="20"/>
          <w:szCs w:val="20"/>
          <w:color w:val="auto"/>
        </w:rPr>
      </w:pPr>
    </w:p>
    <w:p>
      <w:pPr>
        <w:ind w:right="7960" w:firstLine="909"/>
        <w:spacing w:after="0" w:line="359" w:lineRule="auto"/>
        <w:tabs>
          <w:tab w:leader="none" w:pos="1144"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 xml:space="preserve">SUBSIDIARIES AND AFFILIATES </w:t>
      </w:r>
      <w:r>
        <w:rPr>
          <w:rFonts w:ascii="Arial" w:cs="Arial" w:eastAsia="Arial" w:hAnsi="Arial"/>
          <w:sz w:val="15"/>
          <w:szCs w:val="15"/>
          <w:color w:val="auto"/>
        </w:rPr>
        <w:t>For purposes of this Agreement:</w:t>
      </w:r>
    </w:p>
    <w:p>
      <w:pPr>
        <w:ind w:right="460" w:firstLine="1481"/>
        <w:spacing w:after="0" w:line="291" w:lineRule="auto"/>
        <w:tabs>
          <w:tab w:leader="none" w:pos="1695" w:val="left"/>
        </w:tabs>
        <w:numPr>
          <w:ilvl w:val="1"/>
          <w:numId w:val="45"/>
        </w:numPr>
        <w:rPr>
          <w:rFonts w:ascii="Arial" w:cs="Arial" w:eastAsia="Arial" w:hAnsi="Arial"/>
          <w:sz w:val="15"/>
          <w:szCs w:val="15"/>
          <w:color w:val="auto"/>
        </w:rPr>
      </w:pPr>
      <w:r>
        <w:rPr>
          <w:rFonts w:ascii="Arial" w:cs="Arial" w:eastAsia="Arial" w:hAnsi="Arial"/>
          <w:sz w:val="15"/>
          <w:szCs w:val="15"/>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98" w:lineRule="exact"/>
        <w:rPr>
          <w:rFonts w:ascii="Arial" w:cs="Arial" w:eastAsia="Arial" w:hAnsi="Arial"/>
          <w:sz w:val="15"/>
          <w:szCs w:val="15"/>
          <w:color w:val="auto"/>
        </w:rPr>
      </w:pPr>
    </w:p>
    <w:p>
      <w:pPr>
        <w:jc w:val="both"/>
        <w:ind w:right="200" w:firstLine="1481"/>
        <w:spacing w:after="0" w:line="304" w:lineRule="auto"/>
        <w:tabs>
          <w:tab w:leader="none" w:pos="1703" w:val="left"/>
        </w:tabs>
        <w:numPr>
          <w:ilvl w:val="1"/>
          <w:numId w:val="45"/>
        </w:numPr>
        <w:rPr>
          <w:rFonts w:ascii="Arial" w:cs="Arial" w:eastAsia="Arial" w:hAnsi="Arial"/>
          <w:sz w:val="14"/>
          <w:szCs w:val="14"/>
          <w:color w:val="auto"/>
        </w:rPr>
      </w:pPr>
      <w:r>
        <w:rPr>
          <w:rFonts w:ascii="Arial" w:cs="Arial" w:eastAsia="Arial" w:hAnsi="Arial"/>
          <w:sz w:val="14"/>
          <w:szCs w:val="14"/>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380"/>
          </w:cols>
          <w:pgMar w:left="240" w:top="262" w:right="279" w:bottom="1440" w:gutter="0" w:footer="0" w:header="0"/>
        </w:sectPr>
      </w:pPr>
    </w:p>
    <w:bookmarkStart w:id="18" w:name="page19"/>
    <w:bookmarkEnd w:id="18"/>
    <w:p>
      <w:pPr>
        <w:ind w:left="1140" w:hanging="231"/>
        <w:spacing w:after="0"/>
        <w:tabs>
          <w:tab w:leader="none" w:pos="1140"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5040" cy="34925"/>
                    </a:xfrm>
                    <a:prstGeom prst="rect">
                      <a:avLst/>
                    </a:prstGeom>
                    <a:noFill/>
                  </pic:spPr>
                </pic:pic>
              </a:graphicData>
            </a:graphic>
          </wp:anchor>
        </w:drawing>
        <w:t>HEADINGS</w:t>
      </w:r>
    </w:p>
    <w:p>
      <w:pPr>
        <w:spacing w:after="0" w:line="86" w:lineRule="exact"/>
        <w:rPr>
          <w:sz w:val="20"/>
          <w:szCs w:val="20"/>
          <w:color w:val="auto"/>
        </w:rPr>
      </w:pPr>
    </w:p>
    <w:p>
      <w:pPr>
        <w:ind w:firstLine="915"/>
        <w:spacing w:after="0" w:line="291" w:lineRule="auto"/>
        <w:rPr>
          <w:sz w:val="20"/>
          <w:szCs w:val="20"/>
          <w:color w:val="auto"/>
        </w:rPr>
      </w:pPr>
      <w:r>
        <w:rPr>
          <w:rFonts w:ascii="Arial" w:cs="Arial" w:eastAsia="Arial" w:hAnsi="Arial"/>
          <w:sz w:val="15"/>
          <w:szCs w:val="15"/>
          <w:color w:val="auto"/>
        </w:rPr>
        <w:t>The paragraph headings appearing in this Agreement are for the purposes of easy reference and shall not be considered a part of this Agreement or in any way modify, amend or affect its provisions.</w:t>
      </w:r>
    </w:p>
    <w:p>
      <w:pPr>
        <w:spacing w:after="0" w:line="169" w:lineRule="exact"/>
        <w:rPr>
          <w:sz w:val="20"/>
          <w:szCs w:val="20"/>
          <w:color w:val="auto"/>
        </w:rPr>
      </w:pPr>
    </w:p>
    <w:p>
      <w:pPr>
        <w:ind w:left="1140" w:hanging="231"/>
        <w:spacing w:after="0"/>
        <w:tabs>
          <w:tab w:leader="none" w:pos="1140" w:val="left"/>
        </w:tabs>
        <w:numPr>
          <w:ilvl w:val="0"/>
          <w:numId w:val="47"/>
        </w:numPr>
        <w:rPr>
          <w:rFonts w:ascii="Arial" w:cs="Arial" w:eastAsia="Arial" w:hAnsi="Arial"/>
          <w:sz w:val="15"/>
          <w:szCs w:val="15"/>
          <w:color w:val="auto"/>
        </w:rPr>
      </w:pPr>
      <w:r>
        <w:rPr>
          <w:rFonts w:ascii="Arial" w:cs="Arial" w:eastAsia="Arial" w:hAnsi="Arial"/>
          <w:sz w:val="15"/>
          <w:szCs w:val="15"/>
          <w:u w:val="single" w:color="auto"/>
          <w:color w:val="auto"/>
        </w:rPr>
        <w:t>COUNTERPARTS</w:t>
      </w:r>
    </w:p>
    <w:p>
      <w:pPr>
        <w:spacing w:after="0" w:line="8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This Agreement may be executed in one or more counterparts, each of which shall be deemed an original and all of which together shall constitute one and the same</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agreement.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executed this Agreement, under seal, as of the date and year first above written.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CASUAL MALE RETAIL GROUP, INC.</w:t>
      </w:r>
    </w:p>
    <w:p>
      <w:pPr>
        <w:sectPr>
          <w:pgSz w:w="11900" w:h="16838" w:orient="portrait"/>
          <w:cols w:equalWidth="0" w:num="1">
            <w:col w:w="11080"/>
          </w:cols>
          <w:pgMar w:left="240" w:top="262" w:right="579" w:bottom="1440" w:gutter="0" w:footer="0" w:header="0"/>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0" w:type="dxa"/>
            <w:vAlign w:val="bottom"/>
          </w:tcPr>
          <w:p>
            <w:pPr>
              <w:spacing w:after="0"/>
              <w:rPr>
                <w:sz w:val="20"/>
                <w:szCs w:val="20"/>
                <w:color w:val="auto"/>
              </w:rPr>
            </w:pPr>
            <w:r>
              <w:rPr>
                <w:rFonts w:ascii="Arial" w:cs="Arial" w:eastAsia="Arial" w:hAnsi="Arial"/>
                <w:sz w:val="15"/>
                <w:szCs w:val="15"/>
                <w:color w:val="auto"/>
              </w:rPr>
              <w:t>By:</w:t>
            </w:r>
          </w:p>
        </w:tc>
        <w:tc>
          <w:tcPr>
            <w:tcW w:w="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w:t>
            </w: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David A. Levin</w:t>
            </w:r>
          </w:p>
        </w:tc>
      </w:tr>
      <w:tr>
        <w:trPr>
          <w:trHeight w:val="185"/>
        </w:trPr>
        <w:tc>
          <w:tcPr>
            <w:tcW w:w="560" w:type="dxa"/>
            <w:vAlign w:val="bottom"/>
          </w:tcPr>
          <w:p>
            <w:pPr>
              <w:spacing w:after="0"/>
              <w:rPr>
                <w:sz w:val="20"/>
                <w:szCs w:val="20"/>
                <w:color w:val="auto"/>
              </w:rPr>
            </w:pPr>
            <w:r>
              <w:rPr>
                <w:rFonts w:ascii="Arial" w:cs="Arial" w:eastAsia="Arial" w:hAnsi="Arial"/>
                <w:sz w:val="15"/>
                <w:szCs w:val="15"/>
                <w:color w:val="auto"/>
              </w:rPr>
              <w:t>Name:</w:t>
            </w:r>
          </w:p>
        </w:tc>
        <w:tc>
          <w:tcPr>
            <w:tcW w:w="4240" w:type="dxa"/>
            <w:vAlign w:val="bottom"/>
            <w:gridSpan w:val="2"/>
          </w:tcPr>
          <w:p>
            <w:pPr>
              <w:spacing w:after="0"/>
              <w:rPr>
                <w:sz w:val="20"/>
                <w:szCs w:val="20"/>
                <w:color w:val="auto"/>
              </w:rPr>
            </w:pPr>
            <w:r>
              <w:rPr>
                <w:rFonts w:ascii="Arial" w:cs="Arial" w:eastAsia="Arial" w:hAnsi="Arial"/>
                <w:sz w:val="15"/>
                <w:szCs w:val="15"/>
                <w:color w:val="auto"/>
              </w:rPr>
              <w:t>David A. Levin</w:t>
            </w:r>
          </w:p>
        </w:tc>
      </w:tr>
      <w:tr>
        <w:trPr>
          <w:trHeight w:val="194"/>
        </w:trPr>
        <w:tc>
          <w:tcPr>
            <w:tcW w:w="560" w:type="dxa"/>
            <w:vAlign w:val="bottom"/>
          </w:tcPr>
          <w:p>
            <w:pPr>
              <w:spacing w:after="0"/>
              <w:rPr>
                <w:sz w:val="20"/>
                <w:szCs w:val="20"/>
                <w:color w:val="auto"/>
              </w:rPr>
            </w:pPr>
            <w:r>
              <w:rPr>
                <w:rFonts w:ascii="Arial" w:cs="Arial" w:eastAsia="Arial" w:hAnsi="Arial"/>
                <w:sz w:val="15"/>
                <w:szCs w:val="15"/>
                <w:color w:val="auto"/>
              </w:rPr>
              <w:t>Its:</w:t>
            </w:r>
          </w:p>
        </w:tc>
        <w:tc>
          <w:tcPr>
            <w:tcW w:w="4240" w:type="dxa"/>
            <w:vAlign w:val="bottom"/>
            <w:gridSpan w:val="2"/>
          </w:tcPr>
          <w:p>
            <w:pPr>
              <w:spacing w:after="0"/>
              <w:rPr>
                <w:sz w:val="20"/>
                <w:szCs w:val="20"/>
                <w:color w:val="auto"/>
              </w:rPr>
            </w:pPr>
            <w:r>
              <w:rPr>
                <w:rFonts w:ascii="Arial" w:cs="Arial" w:eastAsia="Arial" w:hAnsi="Arial"/>
                <w:sz w:val="15"/>
                <w:szCs w:val="15"/>
                <w:color w:val="auto"/>
              </w:rPr>
              <w:t>President, Chief Executive Officer</w:t>
            </w:r>
          </w:p>
        </w:tc>
      </w:tr>
      <w:tr>
        <w:trPr>
          <w:trHeight w:val="376"/>
        </w:trPr>
        <w:tc>
          <w:tcPr>
            <w:tcW w:w="560" w:type="dxa"/>
            <w:vAlign w:val="bottom"/>
          </w:tcPr>
          <w:p>
            <w:pPr>
              <w:spacing w:after="0"/>
              <w:rPr>
                <w:sz w:val="20"/>
                <w:szCs w:val="20"/>
                <w:color w:val="auto"/>
              </w:rPr>
            </w:pPr>
            <w:r>
              <w:rPr>
                <w:rFonts w:ascii="Arial" w:cs="Arial" w:eastAsia="Arial" w:hAnsi="Arial"/>
                <w:sz w:val="15"/>
                <w:szCs w:val="15"/>
                <w:color w:val="auto"/>
              </w:rPr>
              <w:t>By:</w:t>
            </w:r>
          </w:p>
        </w:tc>
        <w:tc>
          <w:tcPr>
            <w:tcW w:w="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w:t>
            </w: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Dennis R. Hernreich</w:t>
            </w:r>
          </w:p>
        </w:tc>
      </w:tr>
      <w:tr>
        <w:trPr>
          <w:trHeight w:val="185"/>
        </w:trPr>
        <w:tc>
          <w:tcPr>
            <w:tcW w:w="560" w:type="dxa"/>
            <w:vAlign w:val="bottom"/>
          </w:tcPr>
          <w:p>
            <w:pPr>
              <w:spacing w:after="0"/>
              <w:rPr>
                <w:sz w:val="20"/>
                <w:szCs w:val="20"/>
                <w:color w:val="auto"/>
              </w:rPr>
            </w:pPr>
            <w:r>
              <w:rPr>
                <w:rFonts w:ascii="Arial" w:cs="Arial" w:eastAsia="Arial" w:hAnsi="Arial"/>
                <w:sz w:val="15"/>
                <w:szCs w:val="15"/>
                <w:color w:val="auto"/>
              </w:rPr>
              <w:t>Name:</w:t>
            </w:r>
          </w:p>
        </w:tc>
        <w:tc>
          <w:tcPr>
            <w:tcW w:w="4240" w:type="dxa"/>
            <w:vAlign w:val="bottom"/>
            <w:gridSpan w:val="2"/>
          </w:tcPr>
          <w:p>
            <w:pPr>
              <w:spacing w:after="0"/>
              <w:rPr>
                <w:sz w:val="20"/>
                <w:szCs w:val="20"/>
                <w:color w:val="auto"/>
              </w:rPr>
            </w:pPr>
            <w:r>
              <w:rPr>
                <w:rFonts w:ascii="Arial" w:cs="Arial" w:eastAsia="Arial" w:hAnsi="Arial"/>
                <w:sz w:val="15"/>
                <w:szCs w:val="15"/>
                <w:color w:val="auto"/>
              </w:rPr>
              <w:t>Dennis R. Hernreich</w:t>
            </w:r>
          </w:p>
        </w:tc>
      </w:tr>
      <w:tr>
        <w:trPr>
          <w:trHeight w:val="194"/>
        </w:trPr>
        <w:tc>
          <w:tcPr>
            <w:tcW w:w="560" w:type="dxa"/>
            <w:vAlign w:val="bottom"/>
          </w:tcPr>
          <w:p>
            <w:pPr>
              <w:spacing w:after="0"/>
              <w:rPr>
                <w:sz w:val="20"/>
                <w:szCs w:val="20"/>
                <w:color w:val="auto"/>
              </w:rPr>
            </w:pPr>
            <w:r>
              <w:rPr>
                <w:rFonts w:ascii="Arial" w:cs="Arial" w:eastAsia="Arial" w:hAnsi="Arial"/>
                <w:sz w:val="15"/>
                <w:szCs w:val="15"/>
                <w:color w:val="auto"/>
              </w:rPr>
              <w:t>Its:</w:t>
            </w:r>
          </w:p>
        </w:tc>
        <w:tc>
          <w:tcPr>
            <w:tcW w:w="4240" w:type="dxa"/>
            <w:vAlign w:val="bottom"/>
            <w:gridSpan w:val="2"/>
          </w:tcPr>
          <w:p>
            <w:pPr>
              <w:spacing w:after="0"/>
              <w:rPr>
                <w:sz w:val="20"/>
                <w:szCs w:val="20"/>
                <w:color w:val="auto"/>
              </w:rPr>
            </w:pPr>
            <w:r>
              <w:rPr>
                <w:rFonts w:ascii="Arial" w:cs="Arial" w:eastAsia="Arial" w:hAnsi="Arial"/>
                <w:sz w:val="15"/>
                <w:szCs w:val="15"/>
                <w:color w:val="auto"/>
              </w:rPr>
              <w:t>Executive VP, COO, CFO</w:t>
            </w:r>
          </w:p>
        </w:tc>
      </w:tr>
    </w:tbl>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ind w:right="2420"/>
        <w:spacing w:after="0"/>
        <w:rPr>
          <w:sz w:val="20"/>
          <w:szCs w:val="20"/>
          <w:color w:val="auto"/>
        </w:rPr>
      </w:pPr>
      <w:r>
        <w:rPr>
          <w:rFonts w:ascii="Arial" w:cs="Arial" w:eastAsia="Arial" w:hAnsi="Arial"/>
          <w:sz w:val="13"/>
          <w:szCs w:val="13"/>
          <w:color w:val="auto"/>
        </w:rPr>
        <w:t>Date: January 7, 2010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420"/>
        <w:spacing w:after="0"/>
        <w:rPr>
          <w:sz w:val="20"/>
          <w:szCs w:val="20"/>
          <w:color w:val="auto"/>
        </w:rPr>
      </w:pPr>
      <w:r>
        <w:rPr>
          <w:rFonts w:ascii="Arial" w:cs="Arial" w:eastAsia="Arial" w:hAnsi="Arial"/>
          <w:sz w:val="13"/>
          <w:szCs w:val="13"/>
          <w:color w:val="auto"/>
        </w:rPr>
        <w:t>Date: January 7, 2010</w:t>
      </w:r>
    </w:p>
    <w:p>
      <w:pPr>
        <w:spacing w:after="0" w:line="602" w:lineRule="exact"/>
        <w:rPr>
          <w:sz w:val="20"/>
          <w:szCs w:val="20"/>
          <w:color w:val="auto"/>
        </w:rPr>
      </w:pPr>
    </w:p>
    <w:p>
      <w:pPr>
        <w:sectPr>
          <w:pgSz w:w="11900" w:h="16838" w:orient="portrait"/>
          <w:cols w:equalWidth="0" w:num="2">
            <w:col w:w="6600" w:space="720"/>
            <w:col w:w="3760"/>
          </w:cols>
          <w:pgMar w:left="240" w:top="262" w:right="57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Henry J. Metscher</w:t>
            </w:r>
          </w:p>
        </w:tc>
        <w:tc>
          <w:tcPr>
            <w:tcW w:w="3860" w:type="dxa"/>
            <w:vAlign w:val="bottom"/>
          </w:tcPr>
          <w:p>
            <w:pPr>
              <w:jc w:val="right"/>
              <w:spacing w:after="0"/>
              <w:rPr>
                <w:sz w:val="20"/>
                <w:szCs w:val="20"/>
                <w:color w:val="auto"/>
              </w:rPr>
            </w:pPr>
            <w:r>
              <w:rPr>
                <w:rFonts w:ascii="Arial" w:cs="Arial" w:eastAsia="Arial" w:hAnsi="Arial"/>
                <w:sz w:val="15"/>
                <w:szCs w:val="15"/>
                <w:color w:val="auto"/>
              </w:rPr>
              <w:t>Date: January 7, 2010</w:t>
            </w:r>
          </w:p>
        </w:tc>
      </w:tr>
      <w:tr>
        <w:trPr>
          <w:trHeight w:val="190"/>
        </w:trPr>
        <w:tc>
          <w:tcPr>
            <w:tcW w:w="4800" w:type="dxa"/>
            <w:vAlign w:val="bottom"/>
          </w:tcPr>
          <w:p>
            <w:pPr>
              <w:spacing w:after="0"/>
              <w:rPr>
                <w:sz w:val="20"/>
                <w:szCs w:val="20"/>
                <w:color w:val="auto"/>
              </w:rPr>
            </w:pPr>
            <w:r>
              <w:rPr>
                <w:rFonts w:ascii="Arial" w:cs="Arial" w:eastAsia="Arial" w:hAnsi="Arial"/>
                <w:sz w:val="15"/>
                <w:szCs w:val="15"/>
                <w:color w:val="auto"/>
              </w:rPr>
              <w:t>Henry J. Metscher</w:t>
            </w:r>
          </w:p>
        </w:tc>
        <w:tc>
          <w:tcPr>
            <w:tcW w:w="3860" w:type="dxa"/>
            <w:vAlign w:val="bottom"/>
          </w:tcPr>
          <w:p>
            <w:pPr>
              <w:spacing w:after="0"/>
              <w:rPr>
                <w:sz w:val="16"/>
                <w:szCs w:val="16"/>
                <w:color w:val="auto"/>
              </w:rPr>
            </w:pPr>
          </w:p>
        </w:tc>
      </w:tr>
      <w:tr>
        <w:trPr>
          <w:trHeight w:val="317"/>
        </w:trPr>
        <w:tc>
          <w:tcPr>
            <w:tcW w:w="4800" w:type="dxa"/>
            <w:vAlign w:val="bottom"/>
          </w:tcPr>
          <w:p>
            <w:pPr>
              <w:spacing w:after="0"/>
              <w:rPr>
                <w:sz w:val="24"/>
                <w:szCs w:val="24"/>
                <w:color w:val="auto"/>
              </w:rPr>
            </w:pPr>
          </w:p>
        </w:tc>
        <w:tc>
          <w:tcPr>
            <w:tcW w:w="3860" w:type="dxa"/>
            <w:vAlign w:val="bottom"/>
          </w:tcPr>
          <w:p>
            <w:pPr>
              <w:jc w:val="right"/>
              <w:ind w:right="2784"/>
              <w:spacing w:after="0"/>
              <w:rPr>
                <w:sz w:val="20"/>
                <w:szCs w:val="20"/>
                <w:color w:val="auto"/>
              </w:rPr>
            </w:pPr>
            <w:r>
              <w:rPr>
                <w:rFonts w:ascii="Arial" w:cs="Arial" w:eastAsia="Arial" w:hAnsi="Arial"/>
                <w:sz w:val="15"/>
                <w:szCs w:val="15"/>
                <w:color w:val="auto"/>
              </w:rPr>
              <w:t>14</w:t>
            </w:r>
          </w:p>
        </w:tc>
      </w:tr>
    </w:tbl>
    <w:p>
      <w:pPr>
        <w:sectPr>
          <w:pgSz w:w="11900" w:h="16838" w:orient="portrait"/>
          <w:cols w:equalWidth="0" w:num="1">
            <w:col w:w="11080"/>
          </w:cols>
          <w:pgMar w:left="240" w:top="262" w:right="579" w:bottom="1440" w:gutter="0" w:footer="0" w:header="0"/>
          <w:type w:val="continuous"/>
        </w:sectPr>
      </w:pPr>
    </w:p>
    <w:bookmarkStart w:id="19" w:name="page20"/>
    <w:bookmarkEnd w:id="19"/>
    <w:p>
      <w:pPr>
        <w:jc w:val="center"/>
        <w:ind w:right="-25"/>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5040" cy="34925"/>
                    </a:xfrm>
                    <a:prstGeom prst="rect">
                      <a:avLst/>
                    </a:prstGeom>
                    <a:noFill/>
                  </pic:spPr>
                </pic:pic>
              </a:graphicData>
            </a:graphic>
          </wp:anchor>
        </w:drawing>
        <w:t>EXHIBIT A</w:t>
      </w:r>
    </w:p>
    <w:p>
      <w:pPr>
        <w:spacing w:after="0" w:line="2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i w:val="1"/>
          <w:iCs w:val="1"/>
          <w:color w:val="auto"/>
        </w:rPr>
        <w:t>FORM OF RELEASE</w:t>
      </w:r>
    </w:p>
    <w:p>
      <w:pPr>
        <w:spacing w:after="0" w:line="150"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i w:val="1"/>
          <w:iCs w:val="1"/>
          <w:color w:val="auto"/>
        </w:rPr>
        <w:t>GENERAL RELEASE OF CLAIMS</w:t>
      </w:r>
    </w:p>
    <w:p>
      <w:pPr>
        <w:spacing w:after="0" w:line="156" w:lineRule="exact"/>
        <w:rPr>
          <w:sz w:val="20"/>
          <w:szCs w:val="20"/>
          <w:color w:val="auto"/>
        </w:rPr>
      </w:pPr>
    </w:p>
    <w:p>
      <w:pPr>
        <w:ind w:left="6" w:firstLine="451"/>
        <w:spacing w:after="0" w:line="280" w:lineRule="auto"/>
        <w:tabs>
          <w:tab w:leader="none" w:pos="616" w:val="left"/>
        </w:tabs>
        <w:numPr>
          <w:ilvl w:val="1"/>
          <w:numId w:val="48"/>
        </w:numPr>
        <w:rPr>
          <w:rFonts w:ascii="Arial" w:cs="Arial" w:eastAsia="Arial" w:hAnsi="Arial"/>
          <w:sz w:val="14"/>
          <w:szCs w:val="14"/>
          <w:color w:val="auto"/>
        </w:rPr>
      </w:pPr>
      <w:r>
        <w:rPr>
          <w:rFonts w:ascii="Arial" w:cs="Arial" w:eastAsia="Arial" w:hAnsi="Arial"/>
          <w:sz w:val="14"/>
          <w:szCs w:val="14"/>
          <w:color w:val="auto"/>
        </w:rPr>
        <w:t>Henry J. Metscher (“</w:t>
      </w:r>
      <w:r>
        <w:rPr>
          <w:rFonts w:ascii="Arial" w:cs="Arial" w:eastAsia="Arial" w:hAnsi="Arial"/>
          <w:sz w:val="14"/>
          <w:szCs w:val="14"/>
          <w:u w:val="single" w:color="auto"/>
          <w:color w:val="auto"/>
        </w:rPr>
        <w:t>Executive</w:t>
      </w:r>
      <w:r>
        <w:rPr>
          <w:rFonts w:ascii="Arial" w:cs="Arial" w:eastAsia="Arial" w:hAnsi="Arial"/>
          <w:sz w:val="14"/>
          <w:szCs w:val="14"/>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4"/>
          <w:szCs w:val="14"/>
          <w:u w:val="single" w:color="auto"/>
          <w:color w:val="auto"/>
        </w:rPr>
        <w:t>Employment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does hereby release and forever discharge Casual Male Retail Group, Inc. (the “</w:t>
      </w:r>
      <w:r>
        <w:rPr>
          <w:rFonts w:ascii="Arial" w:cs="Arial" w:eastAsia="Arial" w:hAnsi="Arial"/>
          <w:sz w:val="14"/>
          <w:szCs w:val="14"/>
          <w:u w:val="single" w:color="auto"/>
          <w:color w:val="auto"/>
        </w:rPr>
        <w:t>Company</w:t>
      </w:r>
      <w:r>
        <w:rPr>
          <w:rFonts w:ascii="Arial" w:cs="Arial" w:eastAsia="Arial" w:hAnsi="Arial"/>
          <w:sz w:val="14"/>
          <w:szCs w:val="14"/>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4"/>
          <w:szCs w:val="14"/>
          <w:u w:val="single" w:color="auto"/>
          <w:color w:val="auto"/>
        </w:rPr>
        <w:t>Released Parties</w:t>
      </w:r>
      <w:r>
        <w:rPr>
          <w:rFonts w:ascii="Arial" w:cs="Arial" w:eastAsia="Arial" w:hAnsi="Arial"/>
          <w:sz w:val="14"/>
          <w:szCs w:val="14"/>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4"/>
          <w:szCs w:val="14"/>
          <w:u w:val="single" w:color="auto"/>
          <w:color w:val="auto"/>
        </w:rPr>
        <w:t>ADEA</w:t>
      </w:r>
      <w:r>
        <w:rPr>
          <w:rFonts w:ascii="Arial" w:cs="Arial" w:eastAsia="Arial" w:hAnsi="Arial"/>
          <w:sz w:val="14"/>
          <w:szCs w:val="14"/>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w:t>
      </w:r>
    </w:p>
    <w:p>
      <w:pPr>
        <w:spacing w:after="0" w:line="7" w:lineRule="exact"/>
        <w:rPr>
          <w:rFonts w:ascii="Arial" w:cs="Arial" w:eastAsia="Arial" w:hAnsi="Arial"/>
          <w:sz w:val="14"/>
          <w:szCs w:val="14"/>
          <w:color w:val="auto"/>
        </w:rPr>
      </w:pPr>
    </w:p>
    <w:p>
      <w:pPr>
        <w:ind w:left="6" w:hanging="6"/>
        <w:spacing w:after="0" w:line="268" w:lineRule="auto"/>
        <w:tabs>
          <w:tab w:leader="none" w:pos="222"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04"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06"/>
          </w:cols>
          <w:pgMar w:left="234" w:top="262" w:right="259" w:bottom="1440" w:gutter="0" w:footer="0" w:header="0"/>
        </w:sectPr>
      </w:pPr>
    </w:p>
    <w:bookmarkStart w:id="20" w:name="page21"/>
    <w:bookmarkEnd w:id="20"/>
    <w:p>
      <w:pPr>
        <w:ind w:left="-40" w:firstLine="451"/>
        <w:spacing w:after="0" w:line="268" w:lineRule="auto"/>
        <w:tabs>
          <w:tab w:leader="none" w:pos="570" w:val="left"/>
        </w:tabs>
        <w:numPr>
          <w:ilvl w:val="0"/>
          <w:numId w:val="5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5040" cy="34925"/>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5"/>
          <w:szCs w:val="15"/>
          <w:u w:val="single" w:color="auto"/>
          <w:color w:val="auto"/>
        </w:rPr>
        <w:t>Proceeding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Executive shall not have relinquished his right to commence a Proceeding to challenge whether Executive knowingly and voluntarily waived his rights under ADEA.</w:t>
      </w:r>
    </w:p>
    <w:p>
      <w:pPr>
        <w:spacing w:after="0" w:line="117" w:lineRule="exact"/>
        <w:rPr>
          <w:rFonts w:ascii="Arial" w:cs="Arial" w:eastAsia="Arial" w:hAnsi="Arial"/>
          <w:sz w:val="15"/>
          <w:szCs w:val="15"/>
          <w:color w:val="auto"/>
        </w:rPr>
      </w:pPr>
    </w:p>
    <w:p>
      <w:pPr>
        <w:ind w:left="-40" w:right="120" w:firstLine="451"/>
        <w:spacing w:after="0" w:line="276" w:lineRule="auto"/>
        <w:tabs>
          <w:tab w:leader="none" w:pos="57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09" w:lineRule="exact"/>
        <w:rPr>
          <w:rFonts w:ascii="Arial" w:cs="Arial" w:eastAsia="Arial" w:hAnsi="Arial"/>
          <w:sz w:val="15"/>
          <w:szCs w:val="15"/>
          <w:color w:val="auto"/>
        </w:rPr>
      </w:pPr>
    </w:p>
    <w:p>
      <w:pPr>
        <w:ind w:left="-40" w:right="280" w:firstLine="451"/>
        <w:spacing w:after="0" w:line="291" w:lineRule="auto"/>
        <w:tabs>
          <w:tab w:leader="none" w:pos="57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98" w:lineRule="exact"/>
        <w:rPr>
          <w:rFonts w:ascii="Arial" w:cs="Arial" w:eastAsia="Arial" w:hAnsi="Arial"/>
          <w:sz w:val="15"/>
          <w:szCs w:val="15"/>
          <w:color w:val="auto"/>
        </w:rPr>
      </w:pPr>
    </w:p>
    <w:p>
      <w:pPr>
        <w:ind w:left="-40" w:firstLine="451"/>
        <w:spacing w:after="0" w:line="291" w:lineRule="auto"/>
        <w:tabs>
          <w:tab w:leader="none" w:pos="57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98" w:lineRule="exact"/>
        <w:rPr>
          <w:rFonts w:ascii="Arial" w:cs="Arial" w:eastAsia="Arial" w:hAnsi="Arial"/>
          <w:sz w:val="15"/>
          <w:szCs w:val="15"/>
          <w:color w:val="auto"/>
        </w:rPr>
      </w:pPr>
    </w:p>
    <w:p>
      <w:pPr>
        <w:ind w:left="-40" w:right="160" w:firstLine="451"/>
        <w:spacing w:after="0" w:line="291" w:lineRule="auto"/>
        <w:tabs>
          <w:tab w:leader="none" w:pos="57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320675</wp:posOffset>
            </wp:positionV>
            <wp:extent cx="290131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01315" cy="76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Henry J. Metscher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340"/>
          </w:cols>
          <w:pgMar w:left="280" w:top="262" w:right="279" w:bottom="1440" w:gutter="0" w:footer="0" w:header="0"/>
        </w:sectPr>
      </w:pPr>
    </w:p>
    <w:bookmarkStart w:id="21" w:name="page22"/>
    <w:bookmarkEnd w:id="21"/>
    <w:p>
      <w:pPr>
        <w:jc w:val="right"/>
        <w:spacing w:after="0"/>
        <w:rPr>
          <w:sz w:val="20"/>
          <w:szCs w:val="20"/>
          <w:color w:val="auto"/>
        </w:rPr>
      </w:pPr>
      <w:r>
        <w:rPr>
          <w:rFonts w:ascii="Arial" w:cs="Arial" w:eastAsia="Arial" w:hAnsi="Arial"/>
          <w:sz w:val="15"/>
          <w:szCs w:val="15"/>
          <w:b w:val="1"/>
          <w:bCs w:val="1"/>
          <w:color w:val="auto"/>
        </w:rPr>
        <w:t>Exhibit 10.2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EMPLOYMENT AGREEMENT</w:t>
      </w:r>
    </w:p>
    <w:p>
      <w:pPr>
        <w:spacing w:after="0" w:line="160" w:lineRule="exact"/>
        <w:rPr>
          <w:sz w:val="20"/>
          <w:szCs w:val="20"/>
          <w:color w:val="auto"/>
        </w:rPr>
      </w:pPr>
    </w:p>
    <w:p>
      <w:pPr>
        <w:jc w:val="both"/>
        <w:ind w:right="280"/>
        <w:spacing w:after="0" w:line="276" w:lineRule="auto"/>
        <w:rPr>
          <w:sz w:val="20"/>
          <w:szCs w:val="20"/>
          <w:color w:val="auto"/>
        </w:rPr>
      </w:pPr>
      <w:r>
        <w:rPr>
          <w:rFonts w:ascii="Arial" w:cs="Arial" w:eastAsia="Arial" w:hAnsi="Arial"/>
          <w:sz w:val="15"/>
          <w:szCs w:val="15"/>
          <w:color w:val="auto"/>
        </w:rPr>
        <w:t>This Employment Agreement (“Agreement”) is made as of January 7, 2010 between CASUAL MALE RETAIL GROUP, INC., a Delaware corporation with an office at 555 Turnpike Street, Canton, Massachusetts, 02021 (the “Company” which term includes any affiliates and subsidiaries), and Robert S. Molloy (the “Executive”) having an address at 103 Oakland Avenue, Arlington, MA 02476.</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WITNESSETH:</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WHEREAS, the Company desires that Executive serve as Vice President, General Counsel and Executive desires to be so employed by the Company.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WHEREAS, Executive and the Company desire to set forth in writing the terms and conditions of the Executive’s employment with the Company from the date hereof.</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NOW, THEREFORE, in consideration of the promises and the mutual promises, representations and covenants herein contained, the parties hereto agree as follows:</w:t>
      </w:r>
    </w:p>
    <w:p>
      <w:pPr>
        <w:spacing w:after="0" w:line="227" w:lineRule="exact"/>
        <w:rPr>
          <w:sz w:val="20"/>
          <w:szCs w:val="20"/>
          <w:color w:val="auto"/>
        </w:rPr>
      </w:pPr>
    </w:p>
    <w:p>
      <w:pPr>
        <w:ind w:left="1060" w:hanging="151"/>
        <w:spacing w:after="0"/>
        <w:tabs>
          <w:tab w:leader="none" w:pos="1060"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EMPLOYMENT</w:t>
      </w:r>
    </w:p>
    <w:p>
      <w:pPr>
        <w:spacing w:after="0" w:line="86" w:lineRule="exact"/>
        <w:rPr>
          <w:sz w:val="20"/>
          <w:szCs w:val="20"/>
          <w:color w:val="auto"/>
        </w:rPr>
      </w:pPr>
    </w:p>
    <w:p>
      <w:pPr>
        <w:ind w:right="320" w:firstLine="915"/>
        <w:spacing w:after="0" w:line="291" w:lineRule="auto"/>
        <w:rPr>
          <w:sz w:val="20"/>
          <w:szCs w:val="20"/>
          <w:color w:val="auto"/>
        </w:rPr>
      </w:pPr>
      <w:r>
        <w:rPr>
          <w:rFonts w:ascii="Arial" w:cs="Arial" w:eastAsia="Arial" w:hAnsi="Arial"/>
          <w:sz w:val="15"/>
          <w:szCs w:val="15"/>
          <w:color w:val="auto"/>
        </w:rPr>
        <w:t>The Company hereby employs Executive and Executive hereby accepts such employment, subject to the terms and conditions herein set forth. Executive shall hold the office of Vice President, General Counsel.</w:t>
      </w:r>
    </w:p>
    <w:p>
      <w:pPr>
        <w:spacing w:after="0" w:line="169" w:lineRule="exact"/>
        <w:rPr>
          <w:sz w:val="20"/>
          <w:szCs w:val="20"/>
          <w:color w:val="auto"/>
        </w:rPr>
      </w:pPr>
    </w:p>
    <w:p>
      <w:pPr>
        <w:ind w:left="1060" w:hanging="151"/>
        <w:spacing w:after="0"/>
        <w:tabs>
          <w:tab w:leader="none" w:pos="1060"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TERM</w:t>
      </w:r>
    </w:p>
    <w:p>
      <w:pPr>
        <w:spacing w:after="0" w:line="86" w:lineRule="exact"/>
        <w:rPr>
          <w:sz w:val="20"/>
          <w:szCs w:val="20"/>
          <w:color w:val="auto"/>
        </w:rPr>
      </w:pPr>
    </w:p>
    <w:p>
      <w:pPr>
        <w:ind w:right="620" w:firstLine="915"/>
        <w:spacing w:after="0" w:line="291" w:lineRule="auto"/>
        <w:rPr>
          <w:sz w:val="20"/>
          <w:szCs w:val="20"/>
          <w:color w:val="auto"/>
        </w:rPr>
      </w:pPr>
      <w:r>
        <w:rPr>
          <w:rFonts w:ascii="Arial" w:cs="Arial" w:eastAsia="Arial" w:hAnsi="Arial"/>
          <w:sz w:val="15"/>
          <w:szCs w:val="15"/>
          <w:color w:val="auto"/>
        </w:rPr>
        <w:t>The term of employment under this Agreement (the “Term of Employment”) shall begin on the date set forth above (the “Effective Date”) and shall continue until terminated by either party as hereinafter set forth.</w:t>
      </w:r>
    </w:p>
    <w:p>
      <w:pPr>
        <w:spacing w:after="0" w:line="169" w:lineRule="exact"/>
        <w:rPr>
          <w:sz w:val="20"/>
          <w:szCs w:val="20"/>
          <w:color w:val="auto"/>
        </w:rPr>
      </w:pPr>
    </w:p>
    <w:p>
      <w:pPr>
        <w:ind w:left="1060" w:hanging="151"/>
        <w:spacing w:after="0"/>
        <w:tabs>
          <w:tab w:leader="none" w:pos="1060"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t>COMPENSATION</w:t>
      </w:r>
    </w:p>
    <w:p>
      <w:pPr>
        <w:spacing w:after="0" w:line="86" w:lineRule="exact"/>
        <w:rPr>
          <w:sz w:val="20"/>
          <w:szCs w:val="20"/>
          <w:color w:val="auto"/>
        </w:rPr>
      </w:pPr>
    </w:p>
    <w:p>
      <w:pPr>
        <w:jc w:val="both"/>
        <w:ind w:right="220" w:firstLine="909"/>
        <w:spacing w:after="0" w:line="271" w:lineRule="auto"/>
        <w:tabs>
          <w:tab w:leader="none" w:pos="1123" w:val="left"/>
        </w:tabs>
        <w:numPr>
          <w:ilvl w:val="0"/>
          <w:numId w:val="54"/>
        </w:numPr>
        <w:rPr>
          <w:rFonts w:ascii="Arial" w:cs="Arial" w:eastAsia="Arial" w:hAnsi="Arial"/>
          <w:sz w:val="15"/>
          <w:szCs w:val="15"/>
          <w:color w:val="auto"/>
        </w:rPr>
      </w:pPr>
      <w:r>
        <w:rPr>
          <w:rFonts w:ascii="Arial" w:cs="Arial" w:eastAsia="Arial" w:hAnsi="Arial"/>
          <w:sz w:val="15"/>
          <w:szCs w:val="15"/>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Three Hundred Twenty-Five Thousand Dollars and 00/100 Cents ($325,000.00)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13" w:lineRule="exact"/>
        <w:rPr>
          <w:rFonts w:ascii="Arial" w:cs="Arial" w:eastAsia="Arial" w:hAnsi="Arial"/>
          <w:sz w:val="15"/>
          <w:szCs w:val="15"/>
          <w:color w:val="auto"/>
        </w:rPr>
      </w:pPr>
    </w:p>
    <w:p>
      <w:pPr>
        <w:ind w:right="220" w:firstLine="909"/>
        <w:spacing w:after="0" w:line="276" w:lineRule="auto"/>
        <w:tabs>
          <w:tab w:leader="none" w:pos="1131" w:val="left"/>
        </w:tabs>
        <w:numPr>
          <w:ilvl w:val="0"/>
          <w:numId w:val="54"/>
        </w:numPr>
        <w:rPr>
          <w:rFonts w:ascii="Arial" w:cs="Arial" w:eastAsia="Arial" w:hAnsi="Arial"/>
          <w:sz w:val="15"/>
          <w:szCs w:val="15"/>
          <w:color w:val="auto"/>
        </w:rPr>
      </w:pPr>
      <w:r>
        <w:rPr>
          <w:rFonts w:ascii="Arial" w:cs="Arial" w:eastAsia="Arial" w:hAnsi="Arial"/>
          <w:sz w:val="15"/>
          <w:szCs w:val="15"/>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w:t>
      </w:r>
    </w:p>
    <w:p>
      <w:pPr>
        <w:sectPr>
          <w:pgSz w:w="11900" w:h="16838" w:orient="portrait"/>
          <w:cols w:equalWidth="0" w:num="1">
            <w:col w:w="11440"/>
          </w:cols>
          <w:pgMar w:left="240" w:top="128" w:right="219" w:bottom="1440" w:gutter="0" w:footer="0" w:header="0"/>
        </w:sectPr>
      </w:pPr>
    </w:p>
    <w:bookmarkStart w:id="22" w:name="page23"/>
    <w:bookmarkEnd w:id="22"/>
    <w:p>
      <w:pPr>
        <w:spacing w:after="0" w:line="30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5040" cy="34925"/>
                    </a:xfrm>
                    <a:prstGeom prst="rect">
                      <a:avLst/>
                    </a:prstGeom>
                    <a:noFill/>
                  </pic:spPr>
                </pic:pic>
              </a:graphicData>
            </a:graphic>
          </wp:anchor>
        </w:drawing>
        <w:t>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93" w:lineRule="exact"/>
        <w:rPr>
          <w:sz w:val="20"/>
          <w:szCs w:val="20"/>
          <w:color w:val="auto"/>
        </w:rPr>
      </w:pPr>
    </w:p>
    <w:p>
      <w:pPr>
        <w:ind w:right="60" w:firstLine="909"/>
        <w:spacing w:after="0" w:line="296" w:lineRule="auto"/>
        <w:tabs>
          <w:tab w:leader="none" w:pos="1123"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169" w:lineRule="exact"/>
        <w:rPr>
          <w:sz w:val="20"/>
          <w:szCs w:val="20"/>
          <w:color w:val="auto"/>
        </w:rPr>
      </w:pPr>
    </w:p>
    <w:p>
      <w:pPr>
        <w:ind w:left="1060" w:hanging="151"/>
        <w:spacing w:after="0"/>
        <w:tabs>
          <w:tab w:leader="none" w:pos="1060"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EXPENSES</w:t>
      </w:r>
    </w:p>
    <w:p>
      <w:pPr>
        <w:spacing w:after="0" w:line="86" w:lineRule="exact"/>
        <w:rPr>
          <w:sz w:val="20"/>
          <w:szCs w:val="20"/>
          <w:color w:val="auto"/>
        </w:rPr>
      </w:pPr>
    </w:p>
    <w:p>
      <w:pPr>
        <w:ind w:right="140" w:firstLine="915"/>
        <w:spacing w:after="0" w:line="271" w:lineRule="auto"/>
        <w:rPr>
          <w:sz w:val="20"/>
          <w:szCs w:val="20"/>
          <w:color w:val="auto"/>
        </w:rPr>
      </w:pPr>
      <w:r>
        <w:rPr>
          <w:rFonts w:ascii="Arial" w:cs="Arial" w:eastAsia="Arial" w:hAnsi="Arial"/>
          <w:sz w:val="15"/>
          <w:szCs w:val="15"/>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84" w:lineRule="exact"/>
        <w:rPr>
          <w:sz w:val="20"/>
          <w:szCs w:val="20"/>
          <w:color w:val="auto"/>
        </w:rPr>
      </w:pPr>
    </w:p>
    <w:p>
      <w:pPr>
        <w:ind w:left="1060" w:hanging="151"/>
        <w:spacing w:after="0"/>
        <w:tabs>
          <w:tab w:leader="none" w:pos="1060"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OTHER BENEFITS</w:t>
      </w:r>
    </w:p>
    <w:p>
      <w:pPr>
        <w:spacing w:after="0" w:line="86" w:lineRule="exact"/>
        <w:rPr>
          <w:sz w:val="20"/>
          <w:szCs w:val="20"/>
          <w:color w:val="auto"/>
        </w:rPr>
      </w:pPr>
    </w:p>
    <w:p>
      <w:pPr>
        <w:jc w:val="both"/>
        <w:ind w:firstLine="909"/>
        <w:spacing w:after="0" w:line="271" w:lineRule="auto"/>
        <w:tabs>
          <w:tab w:leader="none" w:pos="1123" w:val="left"/>
        </w:tabs>
        <w:numPr>
          <w:ilvl w:val="0"/>
          <w:numId w:val="58"/>
        </w:numPr>
        <w:rPr>
          <w:rFonts w:ascii="Arial" w:cs="Arial" w:eastAsia="Arial" w:hAnsi="Arial"/>
          <w:sz w:val="15"/>
          <w:szCs w:val="15"/>
          <w:color w:val="auto"/>
        </w:rPr>
      </w:pPr>
      <w:r>
        <w:rPr>
          <w:rFonts w:ascii="Arial" w:cs="Arial" w:eastAsia="Arial" w:hAnsi="Arial"/>
          <w:sz w:val="15"/>
          <w:szCs w:val="15"/>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3" w:lineRule="exact"/>
        <w:rPr>
          <w:rFonts w:ascii="Arial" w:cs="Arial" w:eastAsia="Arial" w:hAnsi="Arial"/>
          <w:sz w:val="15"/>
          <w:szCs w:val="15"/>
          <w:color w:val="auto"/>
        </w:rPr>
      </w:pPr>
    </w:p>
    <w:p>
      <w:pPr>
        <w:ind w:firstLine="909"/>
        <w:spacing w:after="0" w:line="271" w:lineRule="auto"/>
        <w:tabs>
          <w:tab w:leader="none" w:pos="1131"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Company will, during the Term of Employment, provide Executive with an automobile allowance in the total amount of Seven Thousand Two Hundred Dollars and 00/100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4" w:lineRule="exact"/>
        <w:rPr>
          <w:sz w:val="20"/>
          <w:szCs w:val="20"/>
          <w:color w:val="auto"/>
        </w:rPr>
      </w:pPr>
    </w:p>
    <w:p>
      <w:pPr>
        <w:ind w:left="5680" w:right="4400" w:hanging="4771"/>
        <w:spacing w:after="0" w:line="471" w:lineRule="auto"/>
        <w:tabs>
          <w:tab w:leader="none" w:pos="1129"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Executive will be eligible to participate in the Company’s annual performance appraisal process. 2</w:t>
      </w:r>
    </w:p>
    <w:p>
      <w:pPr>
        <w:sectPr>
          <w:pgSz w:w="11900" w:h="16838" w:orient="portrait"/>
          <w:cols w:equalWidth="0" w:num="1">
            <w:col w:w="11420"/>
          </w:cols>
          <w:pgMar w:left="240" w:top="262" w:right="239" w:bottom="1440" w:gutter="0" w:footer="0" w:header="0"/>
        </w:sectPr>
      </w:pPr>
    </w:p>
    <w:bookmarkStart w:id="23" w:name="page24"/>
    <w:bookmarkEnd w:id="23"/>
    <w:p>
      <w:pPr>
        <w:ind w:left="1066" w:hanging="151"/>
        <w:spacing w:after="0"/>
        <w:tabs>
          <w:tab w:leader="none" w:pos="1066"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5040" cy="34925"/>
                    </a:xfrm>
                    <a:prstGeom prst="rect">
                      <a:avLst/>
                    </a:prstGeom>
                    <a:noFill/>
                  </pic:spPr>
                </pic:pic>
              </a:graphicData>
            </a:graphic>
          </wp:anchor>
        </w:drawing>
        <w:t>DUTIES</w:t>
      </w:r>
    </w:p>
    <w:p>
      <w:pPr>
        <w:spacing w:after="0" w:line="86" w:lineRule="exact"/>
        <w:rPr>
          <w:sz w:val="20"/>
          <w:szCs w:val="20"/>
          <w:color w:val="auto"/>
        </w:rPr>
      </w:pPr>
    </w:p>
    <w:p>
      <w:pPr>
        <w:ind w:left="6" w:right="460" w:firstLine="909"/>
        <w:spacing w:after="0" w:line="291" w:lineRule="auto"/>
        <w:tabs>
          <w:tab w:leader="none" w:pos="1129" w:val="left"/>
        </w:tabs>
        <w:numPr>
          <w:ilvl w:val="0"/>
          <w:numId w:val="61"/>
        </w:numPr>
        <w:rPr>
          <w:rFonts w:ascii="Arial" w:cs="Arial" w:eastAsia="Arial" w:hAnsi="Arial"/>
          <w:sz w:val="15"/>
          <w:szCs w:val="15"/>
          <w:color w:val="auto"/>
        </w:rPr>
      </w:pPr>
      <w:r>
        <w:rPr>
          <w:rFonts w:ascii="Arial" w:cs="Arial" w:eastAsia="Arial" w:hAnsi="Arial"/>
          <w:sz w:val="15"/>
          <w:szCs w:val="15"/>
          <w:color w:val="auto"/>
        </w:rPr>
        <w:t>Executive shall perform such duties and functions consistent with the position of Vice President, General Counsel and/or as the Company shall from time to time determine and Executive shall comply in the performance of his duties with the policies of, and be subject to the direction of the Company.</w:t>
      </w:r>
    </w:p>
    <w:p>
      <w:pPr>
        <w:spacing w:after="0" w:line="98" w:lineRule="exact"/>
        <w:rPr>
          <w:rFonts w:ascii="Arial" w:cs="Arial" w:eastAsia="Arial" w:hAnsi="Arial"/>
          <w:sz w:val="15"/>
          <w:szCs w:val="15"/>
          <w:color w:val="auto"/>
        </w:rPr>
      </w:pPr>
    </w:p>
    <w:p>
      <w:pPr>
        <w:ind w:left="6" w:right="80" w:firstLine="909"/>
        <w:spacing w:after="0" w:line="271" w:lineRule="auto"/>
        <w:tabs>
          <w:tab w:leader="none" w:pos="1137" w:val="left"/>
        </w:tabs>
        <w:numPr>
          <w:ilvl w:val="0"/>
          <w:numId w:val="61"/>
        </w:numPr>
        <w:rPr>
          <w:rFonts w:ascii="Arial" w:cs="Arial" w:eastAsia="Arial" w:hAnsi="Arial"/>
          <w:sz w:val="15"/>
          <w:szCs w:val="15"/>
          <w:color w:val="auto"/>
        </w:rPr>
      </w:pPr>
      <w:r>
        <w:rPr>
          <w:rFonts w:ascii="Arial" w:cs="Arial" w:eastAsia="Arial" w:hAnsi="Arial"/>
          <w:sz w:val="15"/>
          <w:szCs w:val="15"/>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13" w:lineRule="exact"/>
        <w:rPr>
          <w:rFonts w:ascii="Arial" w:cs="Arial" w:eastAsia="Arial" w:hAnsi="Arial"/>
          <w:sz w:val="15"/>
          <w:szCs w:val="15"/>
          <w:color w:val="auto"/>
        </w:rPr>
      </w:pPr>
    </w:p>
    <w:p>
      <w:pPr>
        <w:ind w:left="6" w:firstLine="909"/>
        <w:spacing w:after="0" w:line="276" w:lineRule="auto"/>
        <w:tabs>
          <w:tab w:leader="none" w:pos="1129"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80" w:lineRule="exact"/>
        <w:rPr>
          <w:sz w:val="20"/>
          <w:szCs w:val="20"/>
          <w:color w:val="auto"/>
        </w:rPr>
      </w:pPr>
    </w:p>
    <w:p>
      <w:pPr>
        <w:ind w:left="1066" w:hanging="151"/>
        <w:spacing w:after="0"/>
        <w:tabs>
          <w:tab w:leader="none" w:pos="1066"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EFFECT OF TERMINATION</w:t>
      </w:r>
    </w:p>
    <w:p>
      <w:pPr>
        <w:spacing w:after="0" w:line="86" w:lineRule="exact"/>
        <w:rPr>
          <w:sz w:val="20"/>
          <w:szCs w:val="20"/>
          <w:color w:val="auto"/>
        </w:rPr>
      </w:pPr>
    </w:p>
    <w:p>
      <w:pPr>
        <w:ind w:left="1126" w:hanging="211"/>
        <w:spacing w:after="0"/>
        <w:tabs>
          <w:tab w:leader="none" w:pos="1126" w:val="left"/>
        </w:tabs>
        <w:numPr>
          <w:ilvl w:val="1"/>
          <w:numId w:val="63"/>
        </w:numPr>
        <w:rPr>
          <w:rFonts w:ascii="Arial" w:cs="Arial" w:eastAsia="Arial" w:hAnsi="Arial"/>
          <w:sz w:val="15"/>
          <w:szCs w:val="15"/>
          <w:color w:val="auto"/>
        </w:rPr>
      </w:pPr>
      <w:r>
        <w:rPr>
          <w:rFonts w:ascii="Arial" w:cs="Arial" w:eastAsia="Arial" w:hAnsi="Arial"/>
          <w:sz w:val="15"/>
          <w:szCs w:val="15"/>
          <w:color w:val="auto"/>
        </w:rPr>
        <w:t>The Term of Employment may be terminated by the Company at any time:</w:t>
      </w:r>
    </w:p>
    <w:p>
      <w:pPr>
        <w:spacing w:after="0" w:line="85" w:lineRule="exact"/>
        <w:rPr>
          <w:rFonts w:ascii="Arial" w:cs="Arial" w:eastAsia="Arial" w:hAnsi="Arial"/>
          <w:sz w:val="15"/>
          <w:szCs w:val="15"/>
          <w:color w:val="auto"/>
        </w:rPr>
      </w:pPr>
    </w:p>
    <w:p>
      <w:pPr>
        <w:ind w:left="6" w:right="60" w:firstLine="1481"/>
        <w:spacing w:after="0" w:line="276" w:lineRule="auto"/>
        <w:tabs>
          <w:tab w:leader="none" w:pos="1675" w:val="left"/>
        </w:tabs>
        <w:numPr>
          <w:ilvl w:val="2"/>
          <w:numId w:val="63"/>
        </w:numPr>
        <w:rPr>
          <w:rFonts w:ascii="Arial" w:cs="Arial" w:eastAsia="Arial" w:hAnsi="Arial"/>
          <w:sz w:val="15"/>
          <w:szCs w:val="15"/>
          <w:color w:val="auto"/>
        </w:rPr>
      </w:pPr>
      <w:r>
        <w:rPr>
          <w:rFonts w:ascii="Arial" w:cs="Arial" w:eastAsia="Arial" w:hAnsi="Arial"/>
          <w:sz w:val="15"/>
          <w:szCs w:val="15"/>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09" w:lineRule="exact"/>
        <w:rPr>
          <w:rFonts w:ascii="Arial" w:cs="Arial" w:eastAsia="Arial" w:hAnsi="Arial"/>
          <w:sz w:val="15"/>
          <w:szCs w:val="15"/>
          <w:color w:val="auto"/>
        </w:rPr>
      </w:pPr>
    </w:p>
    <w:p>
      <w:pPr>
        <w:ind w:left="1706" w:hanging="219"/>
        <w:spacing w:after="0"/>
        <w:tabs>
          <w:tab w:leader="none" w:pos="1706" w:val="left"/>
        </w:tabs>
        <w:numPr>
          <w:ilvl w:val="2"/>
          <w:numId w:val="63"/>
        </w:numPr>
        <w:rPr>
          <w:rFonts w:ascii="Arial" w:cs="Arial" w:eastAsia="Arial" w:hAnsi="Arial"/>
          <w:sz w:val="15"/>
          <w:szCs w:val="15"/>
          <w:color w:val="auto"/>
        </w:rPr>
      </w:pPr>
      <w:r>
        <w:rPr>
          <w:rFonts w:ascii="Arial" w:cs="Arial" w:eastAsia="Arial" w:hAnsi="Arial"/>
          <w:sz w:val="15"/>
          <w:szCs w:val="15"/>
          <w:color w:val="auto"/>
        </w:rPr>
        <w:t>upon the determination of the Company that there is justifiable cause (as hereinafter defined) for such termination.</w:t>
      </w:r>
    </w:p>
    <w:p>
      <w:pPr>
        <w:spacing w:after="0" w:line="156" w:lineRule="exact"/>
        <w:rPr>
          <w:rFonts w:ascii="Arial" w:cs="Arial" w:eastAsia="Arial" w:hAnsi="Arial"/>
          <w:sz w:val="15"/>
          <w:szCs w:val="15"/>
          <w:color w:val="auto"/>
        </w:rPr>
      </w:pPr>
    </w:p>
    <w:p>
      <w:pPr>
        <w:ind w:left="1126" w:hanging="211"/>
        <w:spacing w:after="0"/>
        <w:tabs>
          <w:tab w:leader="none" w:pos="1126" w:val="left"/>
        </w:tabs>
        <w:numPr>
          <w:ilvl w:val="1"/>
          <w:numId w:val="63"/>
        </w:numPr>
        <w:rPr>
          <w:rFonts w:ascii="Arial" w:cs="Arial" w:eastAsia="Arial" w:hAnsi="Arial"/>
          <w:sz w:val="15"/>
          <w:szCs w:val="15"/>
          <w:color w:val="auto"/>
        </w:rPr>
      </w:pPr>
      <w:r>
        <w:rPr>
          <w:rFonts w:ascii="Arial" w:cs="Arial" w:eastAsia="Arial" w:hAnsi="Arial"/>
          <w:sz w:val="15"/>
          <w:szCs w:val="15"/>
          <w:color w:val="auto"/>
        </w:rPr>
        <w:t>The Term of Employment shall terminate upon:</w:t>
      </w:r>
    </w:p>
    <w:p>
      <w:pPr>
        <w:spacing w:after="0" w:line="85" w:lineRule="exact"/>
        <w:rPr>
          <w:rFonts w:ascii="Arial" w:cs="Arial" w:eastAsia="Arial" w:hAnsi="Arial"/>
          <w:sz w:val="15"/>
          <w:szCs w:val="15"/>
          <w:color w:val="auto"/>
        </w:rPr>
      </w:pPr>
    </w:p>
    <w:p>
      <w:pPr>
        <w:ind w:left="1666" w:hanging="179"/>
        <w:spacing w:after="0"/>
        <w:tabs>
          <w:tab w:leader="none" w:pos="1666" w:val="left"/>
        </w:tabs>
        <w:numPr>
          <w:ilvl w:val="2"/>
          <w:numId w:val="63"/>
        </w:numPr>
        <w:rPr>
          <w:rFonts w:ascii="Arial" w:cs="Arial" w:eastAsia="Arial" w:hAnsi="Arial"/>
          <w:sz w:val="15"/>
          <w:szCs w:val="15"/>
          <w:color w:val="auto"/>
        </w:rPr>
      </w:pPr>
      <w:r>
        <w:rPr>
          <w:rFonts w:ascii="Arial" w:cs="Arial" w:eastAsia="Arial" w:hAnsi="Arial"/>
          <w:sz w:val="15"/>
          <w:szCs w:val="15"/>
          <w:color w:val="auto"/>
        </w:rPr>
        <w:t>the death of Executive;</w:t>
      </w:r>
    </w:p>
    <w:p>
      <w:pPr>
        <w:spacing w:after="0" w:line="156" w:lineRule="exact"/>
        <w:rPr>
          <w:rFonts w:ascii="Arial" w:cs="Arial" w:eastAsia="Arial" w:hAnsi="Arial"/>
          <w:sz w:val="15"/>
          <w:szCs w:val="15"/>
          <w:color w:val="auto"/>
        </w:rPr>
      </w:pPr>
    </w:p>
    <w:p>
      <w:pPr>
        <w:ind w:left="1706" w:hanging="219"/>
        <w:spacing w:after="0"/>
        <w:tabs>
          <w:tab w:leader="none" w:pos="1706" w:val="left"/>
        </w:tabs>
        <w:numPr>
          <w:ilvl w:val="2"/>
          <w:numId w:val="63"/>
        </w:numPr>
        <w:rPr>
          <w:rFonts w:ascii="Arial" w:cs="Arial" w:eastAsia="Arial" w:hAnsi="Arial"/>
          <w:sz w:val="14"/>
          <w:szCs w:val="14"/>
          <w:color w:val="auto"/>
        </w:rPr>
      </w:pPr>
      <w:r>
        <w:rPr>
          <w:rFonts w:ascii="Arial" w:cs="Arial" w:eastAsia="Arial" w:hAnsi="Arial"/>
          <w:sz w:val="14"/>
          <w:szCs w:val="14"/>
          <w:color w:val="auto"/>
        </w:rPr>
        <w:t>the date on which the Company elects to terminate the Term of Employment by reason of the “disability” of Executive (as hereinafter defined in subsection</w:t>
      </w:r>
    </w:p>
    <w:p>
      <w:pPr>
        <w:spacing w:after="0" w:line="33" w:lineRule="exact"/>
        <w:rPr>
          <w:rFonts w:ascii="Arial" w:cs="Arial" w:eastAsia="Arial" w:hAnsi="Arial"/>
          <w:sz w:val="14"/>
          <w:szCs w:val="14"/>
          <w:color w:val="auto"/>
        </w:rPr>
      </w:pPr>
    </w:p>
    <w:p>
      <w:pPr>
        <w:ind w:left="206" w:hanging="206"/>
        <w:spacing w:after="0"/>
        <w:tabs>
          <w:tab w:leader="none" w:pos="206" w:val="left"/>
        </w:tabs>
        <w:numPr>
          <w:ilvl w:val="0"/>
          <w:numId w:val="64"/>
        </w:numPr>
        <w:rPr>
          <w:rFonts w:ascii="Arial" w:cs="Arial" w:eastAsia="Arial" w:hAnsi="Arial"/>
          <w:sz w:val="15"/>
          <w:szCs w:val="15"/>
          <w:color w:val="auto"/>
        </w:rPr>
      </w:pPr>
      <w:r>
        <w:rPr>
          <w:rFonts w:ascii="Arial" w:cs="Arial" w:eastAsia="Arial" w:hAnsi="Arial"/>
          <w:sz w:val="15"/>
          <w:szCs w:val="15"/>
          <w:color w:val="auto"/>
        </w:rPr>
        <w:t>herein) pursuant to subsection (g) hereof; or</w:t>
      </w:r>
    </w:p>
    <w:p>
      <w:pPr>
        <w:spacing w:after="0" w:line="150" w:lineRule="exact"/>
        <w:rPr>
          <w:rFonts w:ascii="Arial" w:cs="Arial" w:eastAsia="Arial" w:hAnsi="Arial"/>
          <w:sz w:val="15"/>
          <w:szCs w:val="15"/>
          <w:color w:val="auto"/>
        </w:rPr>
      </w:pPr>
    </w:p>
    <w:p>
      <w:pPr>
        <w:ind w:left="1746" w:hanging="259"/>
        <w:spacing w:after="0"/>
        <w:tabs>
          <w:tab w:leader="none" w:pos="1746" w:val="left"/>
        </w:tabs>
        <w:numPr>
          <w:ilvl w:val="2"/>
          <w:numId w:val="64"/>
        </w:numPr>
        <w:rPr>
          <w:rFonts w:ascii="Arial" w:cs="Arial" w:eastAsia="Arial" w:hAnsi="Arial"/>
          <w:sz w:val="15"/>
          <w:szCs w:val="15"/>
          <w:color w:val="auto"/>
        </w:rPr>
      </w:pPr>
      <w:r>
        <w:rPr>
          <w:rFonts w:ascii="Arial" w:cs="Arial" w:eastAsia="Arial" w:hAnsi="Arial"/>
          <w:sz w:val="15"/>
          <w:szCs w:val="15"/>
          <w:color w:val="auto"/>
        </w:rPr>
        <w:t>Executive’s resignation of employment.</w:t>
      </w:r>
    </w:p>
    <w:p>
      <w:pPr>
        <w:spacing w:after="0" w:line="145"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26"/>
          </w:cols>
          <w:pgMar w:left="234" w:top="262" w:right="239" w:bottom="1440" w:gutter="0" w:footer="0" w:header="0"/>
        </w:sectPr>
      </w:pPr>
    </w:p>
    <w:bookmarkStart w:id="24" w:name="page25"/>
    <w:bookmarkEnd w:id="24"/>
    <w:p>
      <w:pPr>
        <w:ind w:firstLine="909"/>
        <w:spacing w:after="0" w:line="329" w:lineRule="auto"/>
        <w:tabs>
          <w:tab w:leader="none" w:pos="1123" w:val="left"/>
        </w:tabs>
        <w:numPr>
          <w:ilvl w:val="0"/>
          <w:numId w:val="6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5040" cy="34925"/>
                    </a:xfrm>
                    <a:prstGeom prst="rect">
                      <a:avLst/>
                    </a:prstGeom>
                    <a:noFill/>
                  </pic:spPr>
                </pic:pic>
              </a:graphicData>
            </a:graphic>
          </wp:anchor>
        </w:drawing>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75" w:lineRule="exact"/>
        <w:rPr>
          <w:rFonts w:ascii="Arial" w:cs="Arial" w:eastAsia="Arial" w:hAnsi="Arial"/>
          <w:sz w:val="14"/>
          <w:szCs w:val="14"/>
          <w:color w:val="auto"/>
        </w:rPr>
      </w:pPr>
    </w:p>
    <w:p>
      <w:pPr>
        <w:ind w:right="20" w:firstLine="909"/>
        <w:spacing w:after="0" w:line="286" w:lineRule="auto"/>
        <w:tabs>
          <w:tab w:leader="none" w:pos="1131"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05" w:lineRule="exact"/>
        <w:rPr>
          <w:rFonts w:ascii="Arial" w:cs="Arial" w:eastAsia="Arial" w:hAnsi="Arial"/>
          <w:sz w:val="14"/>
          <w:szCs w:val="14"/>
          <w:color w:val="auto"/>
        </w:rPr>
      </w:pPr>
    </w:p>
    <w:p>
      <w:pPr>
        <w:ind w:right="160" w:firstLine="909"/>
        <w:spacing w:after="0" w:line="266" w:lineRule="auto"/>
        <w:tabs>
          <w:tab w:leader="none" w:pos="1123" w:val="left"/>
        </w:tabs>
        <w:numPr>
          <w:ilvl w:val="0"/>
          <w:numId w:val="65"/>
        </w:numPr>
        <w:rPr>
          <w:rFonts w:ascii="Arial" w:cs="Arial" w:eastAsia="Arial" w:hAnsi="Arial"/>
          <w:sz w:val="15"/>
          <w:szCs w:val="15"/>
          <w:color w:val="auto"/>
        </w:rPr>
      </w:pPr>
      <w:r>
        <w:rPr>
          <w:rFonts w:ascii="Arial" w:cs="Arial" w:eastAsia="Arial" w:hAnsi="Arial"/>
          <w:sz w:val="15"/>
          <w:szCs w:val="15"/>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5"/>
          <w:szCs w:val="15"/>
          <w:color w:val="auto"/>
        </w:rPr>
      </w:pPr>
    </w:p>
    <w:p>
      <w:pPr>
        <w:ind w:right="140" w:firstLine="909"/>
        <w:spacing w:after="0" w:line="373" w:lineRule="auto"/>
        <w:tabs>
          <w:tab w:leader="none" w:pos="1106" w:val="left"/>
        </w:tabs>
        <w:numPr>
          <w:ilvl w:val="0"/>
          <w:numId w:val="65"/>
        </w:numPr>
        <w:rPr>
          <w:rFonts w:ascii="Arial" w:cs="Arial" w:eastAsia="Arial" w:hAnsi="Arial"/>
          <w:sz w:val="13"/>
          <w:szCs w:val="13"/>
          <w:color w:val="auto"/>
        </w:rPr>
      </w:pPr>
      <w:r>
        <w:rPr>
          <w:rFonts w:ascii="Arial" w:cs="Arial" w:eastAsia="Arial" w:hAnsi="Arial"/>
          <w:sz w:val="13"/>
          <w:szCs w:val="13"/>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52" w:lineRule="exact"/>
        <w:rPr>
          <w:rFonts w:ascii="Arial" w:cs="Arial" w:eastAsia="Arial" w:hAnsi="Arial"/>
          <w:sz w:val="13"/>
          <w:szCs w:val="13"/>
          <w:color w:val="auto"/>
        </w:rPr>
      </w:pPr>
    </w:p>
    <w:p>
      <w:pPr>
        <w:ind w:firstLine="909"/>
        <w:spacing w:after="0" w:line="276" w:lineRule="auto"/>
        <w:tabs>
          <w:tab w:leader="none" w:pos="1131" w:val="left"/>
        </w:tabs>
        <w:numPr>
          <w:ilvl w:val="0"/>
          <w:numId w:val="65"/>
        </w:numPr>
        <w:rPr>
          <w:rFonts w:ascii="Arial" w:cs="Arial" w:eastAsia="Arial" w:hAnsi="Arial"/>
          <w:sz w:val="15"/>
          <w:szCs w:val="15"/>
          <w:color w:val="auto"/>
        </w:rPr>
      </w:pPr>
      <w:r>
        <w:rPr>
          <w:rFonts w:ascii="Arial" w:cs="Arial" w:eastAsia="Arial" w:hAnsi="Arial"/>
          <w:sz w:val="15"/>
          <w:szCs w:val="15"/>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20"/>
          </w:cols>
          <w:pgMar w:left="240" w:top="262" w:right="239" w:bottom="1440" w:gutter="0" w:footer="0" w:header="0"/>
        </w:sectPr>
      </w:pPr>
    </w:p>
    <w:bookmarkStart w:id="25" w:name="page26"/>
    <w:bookmarkEnd w:id="25"/>
    <w:p>
      <w:pPr>
        <w:ind w:right="40" w:firstLine="909"/>
        <w:spacing w:after="0" w:line="276" w:lineRule="auto"/>
        <w:tabs>
          <w:tab w:leader="none" w:pos="1131" w:val="left"/>
        </w:tabs>
        <w:numPr>
          <w:ilvl w:val="0"/>
          <w:numId w:val="6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5040" cy="34925"/>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109" w:lineRule="exact"/>
        <w:rPr>
          <w:rFonts w:ascii="Arial" w:cs="Arial" w:eastAsia="Arial" w:hAnsi="Arial"/>
          <w:sz w:val="15"/>
          <w:szCs w:val="15"/>
          <w:color w:val="auto"/>
        </w:rPr>
      </w:pPr>
    </w:p>
    <w:p>
      <w:pPr>
        <w:ind w:firstLine="909"/>
        <w:spacing w:after="0" w:line="283" w:lineRule="auto"/>
        <w:tabs>
          <w:tab w:leader="none" w:pos="1097" w:val="left"/>
        </w:tabs>
        <w:numPr>
          <w:ilvl w:val="0"/>
          <w:numId w:val="66"/>
        </w:numPr>
        <w:rPr>
          <w:rFonts w:ascii="Arial" w:cs="Arial" w:eastAsia="Arial" w:hAnsi="Arial"/>
          <w:sz w:val="14"/>
          <w:szCs w:val="14"/>
          <w:color w:val="auto"/>
        </w:rPr>
      </w:pPr>
      <w:r>
        <w:rPr>
          <w:rFonts w:ascii="Arial" w:cs="Arial" w:eastAsia="Arial" w:hAnsi="Arial"/>
          <w:sz w:val="14"/>
          <w:szCs w:val="14"/>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Good Reason”</w:t>
      </w:r>
      <w:r>
        <w:rPr>
          <w:rFonts w:ascii="Arial" w:cs="Arial" w:eastAsia="Arial" w:hAnsi="Arial"/>
          <w:sz w:val="14"/>
          <w:szCs w:val="14"/>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14" w:lineRule="exact"/>
        <w:rPr>
          <w:rFonts w:ascii="Arial" w:cs="Arial" w:eastAsia="Arial" w:hAnsi="Arial"/>
          <w:sz w:val="14"/>
          <w:szCs w:val="14"/>
          <w:color w:val="auto"/>
        </w:rPr>
      </w:pPr>
    </w:p>
    <w:p>
      <w:pPr>
        <w:ind w:left="1100" w:hanging="191"/>
        <w:spacing w:after="0"/>
        <w:tabs>
          <w:tab w:leader="none" w:pos="11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Clawback of Certain Compensation and Benefits. If, after the termination of the Term of Employment for any reason other than by the Company for “justifiable cause”:</w:t>
      </w:r>
    </w:p>
    <w:p>
      <w:pPr>
        <w:spacing w:after="0" w:line="97" w:lineRule="exact"/>
        <w:rPr>
          <w:rFonts w:ascii="Arial" w:cs="Arial" w:eastAsia="Arial" w:hAnsi="Arial"/>
          <w:sz w:val="14"/>
          <w:szCs w:val="14"/>
          <w:color w:val="auto"/>
        </w:rPr>
      </w:pPr>
    </w:p>
    <w:p>
      <w:pPr>
        <w:jc w:val="both"/>
        <w:ind w:right="200" w:firstLine="1481"/>
        <w:spacing w:after="0" w:line="304" w:lineRule="auto"/>
        <w:tabs>
          <w:tab w:leader="none" w:pos="1669" w:val="left"/>
        </w:tabs>
        <w:numPr>
          <w:ilvl w:val="1"/>
          <w:numId w:val="66"/>
        </w:numPr>
        <w:rPr>
          <w:rFonts w:ascii="Arial" w:cs="Arial" w:eastAsia="Arial" w:hAnsi="Arial"/>
          <w:sz w:val="14"/>
          <w:szCs w:val="14"/>
          <w:color w:val="auto"/>
        </w:rPr>
      </w:pPr>
      <w:r>
        <w:rPr>
          <w:rFonts w:ascii="Arial" w:cs="Arial" w:eastAsia="Arial" w:hAnsi="Arial"/>
          <w:sz w:val="14"/>
          <w:szCs w:val="14"/>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262" w:right="239" w:bottom="1440" w:gutter="0" w:footer="0" w:header="0"/>
        </w:sectPr>
      </w:pPr>
    </w:p>
    <w:bookmarkStart w:id="26" w:name="page27"/>
    <w:bookmarkEnd w:id="26"/>
    <w:p>
      <w:pPr>
        <w:ind w:firstLine="1481"/>
        <w:spacing w:after="0" w:line="276" w:lineRule="auto"/>
        <w:tabs>
          <w:tab w:leader="none" w:pos="1712" w:val="left"/>
        </w:tabs>
        <w:numPr>
          <w:ilvl w:val="1"/>
          <w:numId w:val="6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5040" cy="34925"/>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9" w:lineRule="exact"/>
        <w:rPr>
          <w:rFonts w:ascii="Arial" w:cs="Arial" w:eastAsia="Arial" w:hAnsi="Arial"/>
          <w:sz w:val="15"/>
          <w:szCs w:val="15"/>
          <w:color w:val="auto"/>
        </w:rPr>
      </w:pPr>
    </w:p>
    <w:p>
      <w:pPr>
        <w:ind w:right="80" w:firstLine="1939"/>
        <w:spacing w:after="0" w:line="268" w:lineRule="auto"/>
        <w:tabs>
          <w:tab w:leader="none" w:pos="2195" w:val="left"/>
        </w:tabs>
        <w:numPr>
          <w:ilvl w:val="2"/>
          <w:numId w:val="67"/>
        </w:numPr>
        <w:rPr>
          <w:rFonts w:ascii="Arial" w:cs="Arial" w:eastAsia="Arial" w:hAnsi="Arial"/>
          <w:sz w:val="15"/>
          <w:szCs w:val="15"/>
          <w:color w:val="auto"/>
        </w:rPr>
      </w:pPr>
      <w:r>
        <w:rPr>
          <w:rFonts w:ascii="Arial" w:cs="Arial" w:eastAsia="Arial" w:hAnsi="Arial"/>
          <w:sz w:val="15"/>
          <w:szCs w:val="15"/>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17" w:lineRule="exact"/>
        <w:rPr>
          <w:rFonts w:ascii="Arial" w:cs="Arial" w:eastAsia="Arial" w:hAnsi="Arial"/>
          <w:sz w:val="15"/>
          <w:szCs w:val="15"/>
          <w:color w:val="auto"/>
        </w:rPr>
      </w:pPr>
    </w:p>
    <w:p>
      <w:pPr>
        <w:ind w:left="2180" w:hanging="241"/>
        <w:spacing w:after="0"/>
        <w:tabs>
          <w:tab w:leader="none" w:pos="2180" w:val="left"/>
        </w:tabs>
        <w:numPr>
          <w:ilvl w:val="2"/>
          <w:numId w:val="67"/>
        </w:numPr>
        <w:rPr>
          <w:rFonts w:ascii="Arial" w:cs="Arial" w:eastAsia="Arial" w:hAnsi="Arial"/>
          <w:sz w:val="13"/>
          <w:szCs w:val="13"/>
          <w:color w:val="auto"/>
        </w:rPr>
      </w:pPr>
      <w:r>
        <w:rPr>
          <w:rFonts w:ascii="Arial" w:cs="Arial" w:eastAsia="Arial" w:hAnsi="Arial"/>
          <w:sz w:val="13"/>
          <w:szCs w:val="13"/>
          <w:color w:val="auto"/>
        </w:rPr>
        <w:t>all vested and unvested Awards (as that term is defined in the 2006 Incentive Compensation Plan) then held by the Executive shall immediately expire;</w:t>
      </w:r>
    </w:p>
    <w:p>
      <w:pPr>
        <w:spacing w:after="0" w:line="4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and</w:t>
      </w:r>
    </w:p>
    <w:p>
      <w:pPr>
        <w:spacing w:after="0" w:line="150" w:lineRule="exact"/>
        <w:rPr>
          <w:rFonts w:ascii="Arial" w:cs="Arial" w:eastAsia="Arial" w:hAnsi="Arial"/>
          <w:sz w:val="13"/>
          <w:szCs w:val="13"/>
          <w:color w:val="auto"/>
        </w:rPr>
      </w:pPr>
    </w:p>
    <w:p>
      <w:pPr>
        <w:ind w:firstLine="1939"/>
        <w:spacing w:after="0" w:line="266" w:lineRule="auto"/>
        <w:tabs>
          <w:tab w:leader="none" w:pos="2186" w:val="left"/>
        </w:tabs>
        <w:numPr>
          <w:ilvl w:val="2"/>
          <w:numId w:val="67"/>
        </w:numPr>
        <w:rPr>
          <w:rFonts w:ascii="Arial" w:cs="Arial" w:eastAsia="Arial" w:hAnsi="Arial"/>
          <w:sz w:val="15"/>
          <w:szCs w:val="15"/>
          <w:color w:val="auto"/>
        </w:rPr>
      </w:pPr>
      <w:r>
        <w:rPr>
          <w:rFonts w:ascii="Arial" w:cs="Arial" w:eastAsia="Arial" w:hAnsi="Arial"/>
          <w:sz w:val="15"/>
          <w:szCs w:val="15"/>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5"/>
          <w:szCs w:val="15"/>
          <w:color w:val="auto"/>
        </w:rPr>
      </w:pPr>
    </w:p>
    <w:p>
      <w:pPr>
        <w:ind w:right="120" w:firstLine="909"/>
        <w:spacing w:after="0" w:line="291" w:lineRule="auto"/>
        <w:tabs>
          <w:tab w:leader="none" w:pos="1131" w:val="left"/>
        </w:tabs>
        <w:numPr>
          <w:ilvl w:val="0"/>
          <w:numId w:val="68"/>
        </w:numPr>
        <w:rPr>
          <w:rFonts w:ascii="Arial" w:cs="Arial" w:eastAsia="Arial" w:hAnsi="Arial"/>
          <w:sz w:val="15"/>
          <w:szCs w:val="15"/>
          <w:color w:val="auto"/>
        </w:rPr>
      </w:pPr>
      <w:r>
        <w:rPr>
          <w:rFonts w:ascii="Arial" w:cs="Arial" w:eastAsia="Arial" w:hAnsi="Arial"/>
          <w:sz w:val="15"/>
          <w:szCs w:val="15"/>
          <w:color w:val="auto"/>
        </w:rPr>
        <w:t>Any payment pursuant to paragraph 7(e) or 7(j) shall be contingent upon Executive’s execution of the General Release within 21 days after termination of the Term of Employment, and the Executive’s not revoking that release.</w:t>
      </w:r>
    </w:p>
    <w:p>
      <w:pPr>
        <w:spacing w:after="0" w:line="169" w:lineRule="exact"/>
        <w:rPr>
          <w:sz w:val="20"/>
          <w:szCs w:val="20"/>
          <w:color w:val="auto"/>
        </w:rPr>
      </w:pPr>
    </w:p>
    <w:p>
      <w:pPr>
        <w:ind w:left="1060" w:hanging="151"/>
        <w:spacing w:after="0"/>
        <w:tabs>
          <w:tab w:leader="none" w:pos="1060"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COMPLIANCE WITH SECTION 409A</w:t>
      </w:r>
    </w:p>
    <w:p>
      <w:pPr>
        <w:spacing w:after="0" w:line="86" w:lineRule="exact"/>
        <w:rPr>
          <w:sz w:val="20"/>
          <w:szCs w:val="20"/>
          <w:color w:val="auto"/>
        </w:rPr>
      </w:pPr>
    </w:p>
    <w:p>
      <w:pPr>
        <w:ind w:right="360" w:firstLine="909"/>
        <w:spacing w:after="0" w:line="291" w:lineRule="auto"/>
        <w:tabs>
          <w:tab w:leader="none" w:pos="1123" w:val="left"/>
        </w:tabs>
        <w:numPr>
          <w:ilvl w:val="0"/>
          <w:numId w:val="70"/>
        </w:numPr>
        <w:rPr>
          <w:rFonts w:ascii="Arial" w:cs="Arial" w:eastAsia="Arial" w:hAnsi="Arial"/>
          <w:sz w:val="15"/>
          <w:szCs w:val="15"/>
          <w:color w:val="auto"/>
        </w:rPr>
      </w:pPr>
      <w:r>
        <w:rPr>
          <w:rFonts w:ascii="Arial" w:cs="Arial" w:eastAsia="Arial" w:hAnsi="Arial"/>
          <w:sz w:val="15"/>
          <w:szCs w:val="15"/>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00"/>
          </w:cols>
          <w:pgMar w:left="240" w:top="262" w:right="259" w:bottom="1440" w:gutter="0" w:footer="0" w:header="0"/>
        </w:sectPr>
      </w:pPr>
    </w:p>
    <w:bookmarkStart w:id="27" w:name="page28"/>
    <w:bookmarkEnd w:id="27"/>
    <w:p>
      <w:pPr>
        <w:ind w:right="80"/>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5040" cy="34925"/>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4" w:lineRule="exact"/>
        <w:rPr>
          <w:sz w:val="20"/>
          <w:szCs w:val="20"/>
          <w:color w:val="auto"/>
        </w:rPr>
      </w:pPr>
    </w:p>
    <w:p>
      <w:pPr>
        <w:ind w:right="20" w:firstLine="909"/>
        <w:spacing w:after="0" w:line="373" w:lineRule="auto"/>
        <w:tabs>
          <w:tab w:leader="none" w:pos="1131" w:val="left"/>
        </w:tabs>
        <w:numPr>
          <w:ilvl w:val="0"/>
          <w:numId w:val="71"/>
        </w:numPr>
        <w:rPr>
          <w:rFonts w:ascii="Arial" w:cs="Arial" w:eastAsia="Arial" w:hAnsi="Arial"/>
          <w:sz w:val="13"/>
          <w:szCs w:val="13"/>
          <w:color w:val="auto"/>
        </w:rPr>
      </w:pPr>
      <w:r>
        <w:rPr>
          <w:rFonts w:ascii="Arial" w:cs="Arial" w:eastAsia="Arial" w:hAnsi="Arial"/>
          <w:sz w:val="13"/>
          <w:szCs w:val="13"/>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22" w:lineRule="exact"/>
        <w:rPr>
          <w:rFonts w:ascii="Arial" w:cs="Arial" w:eastAsia="Arial" w:hAnsi="Arial"/>
          <w:sz w:val="13"/>
          <w:szCs w:val="13"/>
          <w:color w:val="auto"/>
        </w:rPr>
      </w:pPr>
    </w:p>
    <w:p>
      <w:pPr>
        <w:ind w:left="1120" w:hanging="211"/>
        <w:spacing w:after="0"/>
        <w:tabs>
          <w:tab w:leader="none" w:pos="11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6 Month Delay for “Specified Employees”.</w:t>
      </w:r>
    </w:p>
    <w:p>
      <w:pPr>
        <w:spacing w:after="0" w:line="85" w:lineRule="exact"/>
        <w:rPr>
          <w:rFonts w:ascii="Arial" w:cs="Arial" w:eastAsia="Arial" w:hAnsi="Arial"/>
          <w:sz w:val="15"/>
          <w:szCs w:val="15"/>
          <w:color w:val="auto"/>
        </w:rPr>
      </w:pPr>
    </w:p>
    <w:p>
      <w:pPr>
        <w:ind w:firstLine="1481"/>
        <w:spacing w:after="0" w:line="266" w:lineRule="auto"/>
        <w:tabs>
          <w:tab w:leader="none" w:pos="1669" w:val="left"/>
        </w:tabs>
        <w:numPr>
          <w:ilvl w:val="1"/>
          <w:numId w:val="71"/>
        </w:numPr>
        <w:rPr>
          <w:rFonts w:ascii="Arial" w:cs="Arial" w:eastAsia="Arial" w:hAnsi="Arial"/>
          <w:sz w:val="15"/>
          <w:szCs w:val="15"/>
          <w:color w:val="auto"/>
        </w:rPr>
      </w:pPr>
      <w:r>
        <w:rPr>
          <w:rFonts w:ascii="Arial" w:cs="Arial" w:eastAsia="Arial" w:hAnsi="Arial"/>
          <w:sz w:val="15"/>
          <w:szCs w:val="15"/>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5"/>
          <w:szCs w:val="15"/>
          <w:color w:val="auto"/>
        </w:rPr>
      </w:pPr>
    </w:p>
    <w:p>
      <w:pPr>
        <w:ind w:right="540" w:firstLine="1481"/>
        <w:spacing w:after="0" w:line="304" w:lineRule="auto"/>
        <w:tabs>
          <w:tab w:leader="none" w:pos="1712" w:val="left"/>
        </w:tabs>
        <w:numPr>
          <w:ilvl w:val="1"/>
          <w:numId w:val="71"/>
        </w:numPr>
        <w:rPr>
          <w:rFonts w:ascii="Arial" w:cs="Arial" w:eastAsia="Arial" w:hAnsi="Arial"/>
          <w:sz w:val="14"/>
          <w:szCs w:val="14"/>
          <w:color w:val="auto"/>
        </w:rPr>
      </w:pPr>
      <w:r>
        <w:rPr>
          <w:rFonts w:ascii="Arial" w:cs="Arial" w:eastAsia="Arial" w:hAnsi="Arial"/>
          <w:sz w:val="14"/>
          <w:szCs w:val="14"/>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92" w:lineRule="exact"/>
        <w:rPr>
          <w:rFonts w:ascii="Arial" w:cs="Arial" w:eastAsia="Arial" w:hAnsi="Arial"/>
          <w:sz w:val="14"/>
          <w:szCs w:val="14"/>
          <w:color w:val="auto"/>
        </w:rPr>
      </w:pPr>
    </w:p>
    <w:p>
      <w:pPr>
        <w:ind w:left="1120" w:hanging="211"/>
        <w:spacing w:after="0"/>
        <w:tabs>
          <w:tab w:leader="none" w:pos="11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No Acceleration of Payments. Neither the Company nor the Executive, individually or in combination, may accelerate any payment or benefit that is subject to</w:t>
      </w:r>
    </w:p>
    <w:p>
      <w:pPr>
        <w:spacing w:after="0" w:line="33"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Section 409A, except in compliance with Section 409A and the provisions of this Agreement, and no amount that is subject to Section 409A shall be paid prior to the earliest date on which it may be paid without violating Section 409A.</w:t>
      </w:r>
    </w:p>
    <w:p>
      <w:pPr>
        <w:spacing w:after="0" w:line="105" w:lineRule="exact"/>
        <w:rPr>
          <w:sz w:val="20"/>
          <w:szCs w:val="20"/>
          <w:color w:val="auto"/>
        </w:rPr>
      </w:pPr>
    </w:p>
    <w:p>
      <w:pPr>
        <w:jc w:val="both"/>
        <w:ind w:right="80" w:firstLine="909"/>
        <w:spacing w:after="0" w:line="276" w:lineRule="auto"/>
        <w:tabs>
          <w:tab w:leader="none" w:pos="1123" w:val="left"/>
        </w:tabs>
        <w:numPr>
          <w:ilvl w:val="0"/>
          <w:numId w:val="72"/>
        </w:numPr>
        <w:rPr>
          <w:rFonts w:ascii="Arial" w:cs="Arial" w:eastAsia="Arial" w:hAnsi="Arial"/>
          <w:sz w:val="15"/>
          <w:szCs w:val="15"/>
          <w:color w:val="auto"/>
        </w:rPr>
      </w:pPr>
      <w:r>
        <w:rPr>
          <w:rFonts w:ascii="Arial" w:cs="Arial" w:eastAsia="Arial" w:hAnsi="Arial"/>
          <w:sz w:val="15"/>
          <w:szCs w:val="15"/>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0"/>
          </w:cols>
          <w:pgMar w:left="240" w:top="262" w:right="239" w:bottom="1440" w:gutter="0" w:footer="0" w:header="0"/>
        </w:sectPr>
      </w:pPr>
    </w:p>
    <w:bookmarkStart w:id="28" w:name="page29"/>
    <w:bookmarkEnd w:id="28"/>
    <w:p>
      <w:pPr>
        <w:ind w:left="1106" w:hanging="191"/>
        <w:spacing w:after="0"/>
        <w:tabs>
          <w:tab w:leader="none" w:pos="1106" w:val="left"/>
        </w:tabs>
        <w:numPr>
          <w:ilvl w:val="0"/>
          <w:numId w:val="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5040" cy="34925"/>
                    </a:xfrm>
                    <a:prstGeom prst="rect">
                      <a:avLst/>
                    </a:prstGeom>
                    <a:noFill/>
                  </pic:spPr>
                </pic:pic>
              </a:graphicData>
            </a:graphic>
          </wp:anchor>
        </w:drawing>
        <w:t>Taxable Reimbursements.</w:t>
      </w:r>
    </w:p>
    <w:p>
      <w:pPr>
        <w:spacing w:after="0" w:line="85" w:lineRule="exact"/>
        <w:rPr>
          <w:rFonts w:ascii="Arial" w:cs="Arial" w:eastAsia="Arial" w:hAnsi="Arial"/>
          <w:sz w:val="15"/>
          <w:szCs w:val="15"/>
          <w:color w:val="auto"/>
        </w:rPr>
      </w:pPr>
    </w:p>
    <w:p>
      <w:pPr>
        <w:ind w:left="6" w:firstLine="1481"/>
        <w:spacing w:after="0" w:line="276" w:lineRule="auto"/>
        <w:tabs>
          <w:tab w:leader="none" w:pos="1675" w:val="left"/>
        </w:tabs>
        <w:numPr>
          <w:ilvl w:val="1"/>
          <w:numId w:val="73"/>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9" w:lineRule="exact"/>
        <w:rPr>
          <w:rFonts w:ascii="Arial" w:cs="Arial" w:eastAsia="Arial" w:hAnsi="Arial"/>
          <w:sz w:val="15"/>
          <w:szCs w:val="15"/>
          <w:color w:val="auto"/>
        </w:rPr>
      </w:pPr>
    </w:p>
    <w:p>
      <w:pPr>
        <w:ind w:left="6" w:firstLine="1481"/>
        <w:spacing w:after="0" w:line="291" w:lineRule="auto"/>
        <w:tabs>
          <w:tab w:leader="none" w:pos="1718" w:val="left"/>
        </w:tabs>
        <w:numPr>
          <w:ilvl w:val="1"/>
          <w:numId w:val="73"/>
        </w:numPr>
        <w:rPr>
          <w:rFonts w:ascii="Arial" w:cs="Arial" w:eastAsia="Arial" w:hAnsi="Arial"/>
          <w:sz w:val="15"/>
          <w:szCs w:val="15"/>
          <w:color w:val="auto"/>
        </w:rPr>
      </w:pPr>
      <w:r>
        <w:rPr>
          <w:rFonts w:ascii="Arial" w:cs="Arial" w:eastAsia="Arial" w:hAnsi="Arial"/>
          <w:sz w:val="15"/>
          <w:szCs w:val="15"/>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98" w:lineRule="exact"/>
        <w:rPr>
          <w:rFonts w:ascii="Arial" w:cs="Arial" w:eastAsia="Arial" w:hAnsi="Arial"/>
          <w:sz w:val="15"/>
          <w:szCs w:val="15"/>
          <w:color w:val="auto"/>
        </w:rPr>
      </w:pPr>
    </w:p>
    <w:p>
      <w:pPr>
        <w:ind w:left="1746" w:hanging="259"/>
        <w:spacing w:after="0"/>
        <w:tabs>
          <w:tab w:leader="none" w:pos="1746" w:val="left"/>
        </w:tabs>
        <w:numPr>
          <w:ilvl w:val="1"/>
          <w:numId w:val="73"/>
        </w:numPr>
        <w:rPr>
          <w:rFonts w:ascii="Arial" w:cs="Arial" w:eastAsia="Arial" w:hAnsi="Arial"/>
          <w:sz w:val="15"/>
          <w:szCs w:val="15"/>
          <w:color w:val="auto"/>
        </w:rPr>
      </w:pPr>
      <w:r>
        <w:rPr>
          <w:rFonts w:ascii="Arial" w:cs="Arial" w:eastAsia="Arial" w:hAnsi="Arial"/>
          <w:sz w:val="15"/>
          <w:szCs w:val="15"/>
          <w:color w:val="auto"/>
        </w:rPr>
        <w:t>The right to Taxable Reimbursements shall not be subject to liquidation or exchange for another benefit.</w:t>
      </w:r>
    </w:p>
    <w:p>
      <w:pPr>
        <w:spacing w:after="0" w:line="227" w:lineRule="exact"/>
        <w:rPr>
          <w:sz w:val="20"/>
          <w:szCs w:val="20"/>
          <w:color w:val="auto"/>
        </w:rPr>
      </w:pPr>
    </w:p>
    <w:p>
      <w:pPr>
        <w:ind w:left="1066" w:hanging="151"/>
        <w:spacing w:after="0"/>
        <w:tabs>
          <w:tab w:leader="none" w:pos="1066"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REPRESENTATION AND AGREEMENTS OF EXECUTIVE</w:t>
      </w:r>
    </w:p>
    <w:p>
      <w:pPr>
        <w:spacing w:after="0" w:line="86" w:lineRule="exact"/>
        <w:rPr>
          <w:sz w:val="20"/>
          <w:szCs w:val="20"/>
          <w:color w:val="auto"/>
        </w:rPr>
      </w:pPr>
    </w:p>
    <w:p>
      <w:pPr>
        <w:ind w:left="6" w:right="80" w:firstLine="909"/>
        <w:spacing w:after="0" w:line="291" w:lineRule="auto"/>
        <w:tabs>
          <w:tab w:leader="none" w:pos="1129" w:val="left"/>
        </w:tabs>
        <w:numPr>
          <w:ilvl w:val="1"/>
          <w:numId w:val="75"/>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98" w:lineRule="exact"/>
        <w:rPr>
          <w:rFonts w:ascii="Arial" w:cs="Arial" w:eastAsia="Arial" w:hAnsi="Arial"/>
          <w:sz w:val="15"/>
          <w:szCs w:val="15"/>
          <w:color w:val="auto"/>
        </w:rPr>
      </w:pPr>
    </w:p>
    <w:p>
      <w:pPr>
        <w:jc w:val="both"/>
        <w:ind w:left="6" w:right="20" w:firstLine="909"/>
        <w:spacing w:after="0" w:line="276" w:lineRule="auto"/>
        <w:tabs>
          <w:tab w:leader="none" w:pos="1137" w:val="left"/>
        </w:tabs>
        <w:numPr>
          <w:ilvl w:val="1"/>
          <w:numId w:val="75"/>
        </w:numPr>
        <w:rPr>
          <w:rFonts w:ascii="Arial" w:cs="Arial" w:eastAsia="Arial" w:hAnsi="Arial"/>
          <w:sz w:val="15"/>
          <w:szCs w:val="15"/>
          <w:color w:val="auto"/>
        </w:rPr>
      </w:pPr>
      <w:r>
        <w:rPr>
          <w:rFonts w:ascii="Arial" w:cs="Arial" w:eastAsia="Arial" w:hAnsi="Arial"/>
          <w:sz w:val="15"/>
          <w:szCs w:val="15"/>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09" w:lineRule="exact"/>
        <w:rPr>
          <w:rFonts w:ascii="Arial" w:cs="Arial" w:eastAsia="Arial" w:hAnsi="Arial"/>
          <w:sz w:val="15"/>
          <w:szCs w:val="15"/>
          <w:color w:val="auto"/>
        </w:rPr>
      </w:pPr>
    </w:p>
    <w:p>
      <w:pPr>
        <w:ind w:left="6" w:right="220" w:firstLine="909"/>
        <w:spacing w:after="0" w:line="291" w:lineRule="auto"/>
        <w:tabs>
          <w:tab w:leader="none" w:pos="1129" w:val="left"/>
        </w:tabs>
        <w:numPr>
          <w:ilvl w:val="1"/>
          <w:numId w:val="75"/>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98" w:lineRule="exact"/>
        <w:rPr>
          <w:rFonts w:ascii="Arial" w:cs="Arial" w:eastAsia="Arial" w:hAnsi="Arial"/>
          <w:sz w:val="15"/>
          <w:szCs w:val="15"/>
          <w:color w:val="auto"/>
        </w:rPr>
      </w:pPr>
    </w:p>
    <w:p>
      <w:pPr>
        <w:ind w:left="1126" w:hanging="211"/>
        <w:spacing w:after="0"/>
        <w:tabs>
          <w:tab w:leader="none" w:pos="1126" w:val="left"/>
        </w:tabs>
        <w:numPr>
          <w:ilvl w:val="1"/>
          <w:numId w:val="75"/>
        </w:numPr>
        <w:rPr>
          <w:rFonts w:ascii="Arial" w:cs="Arial" w:eastAsia="Arial" w:hAnsi="Arial"/>
          <w:sz w:val="14"/>
          <w:szCs w:val="14"/>
          <w:color w:val="auto"/>
        </w:rPr>
      </w:pPr>
      <w:r>
        <w:rPr>
          <w:rFonts w:ascii="Arial" w:cs="Arial" w:eastAsia="Arial" w:hAnsi="Arial"/>
          <w:sz w:val="14"/>
          <w:szCs w:val="14"/>
          <w:color w:val="auto"/>
        </w:rPr>
        <w:t>Executive represents and warrants that he has never been a party to any judicial or administrative proceeding that resulted in a judgement, decree, or final order</w:t>
      </w:r>
    </w:p>
    <w:p>
      <w:pPr>
        <w:spacing w:after="0" w:line="33" w:lineRule="exact"/>
        <w:rPr>
          <w:rFonts w:ascii="Arial" w:cs="Arial" w:eastAsia="Arial" w:hAnsi="Arial"/>
          <w:sz w:val="14"/>
          <w:szCs w:val="14"/>
          <w:color w:val="auto"/>
        </w:rPr>
      </w:pPr>
    </w:p>
    <w:p>
      <w:pPr>
        <w:ind w:left="186" w:hanging="186"/>
        <w:spacing w:after="0"/>
        <w:tabs>
          <w:tab w:leader="none" w:pos="186" w:val="left"/>
        </w:tabs>
        <w:numPr>
          <w:ilvl w:val="0"/>
          <w:numId w:val="76"/>
        </w:numPr>
        <w:rPr>
          <w:rFonts w:ascii="Arial" w:cs="Arial" w:eastAsia="Arial" w:hAnsi="Arial"/>
          <w:sz w:val="15"/>
          <w:szCs w:val="15"/>
          <w:color w:val="auto"/>
        </w:rPr>
      </w:pPr>
      <w:r>
        <w:rPr>
          <w:rFonts w:ascii="Arial" w:cs="Arial" w:eastAsia="Arial" w:hAnsi="Arial"/>
          <w:sz w:val="15"/>
          <w:szCs w:val="15"/>
          <w:color w:val="auto"/>
        </w:rPr>
        <w:t>enjoining him from future violations of, or prohibiting any violations of any federal or state securities law, or (ii) finding any violations of any federal or state securities law.</w:t>
      </w:r>
    </w:p>
    <w:p>
      <w:pPr>
        <w:spacing w:after="0" w:line="150" w:lineRule="exact"/>
        <w:rPr>
          <w:rFonts w:ascii="Arial" w:cs="Arial" w:eastAsia="Arial" w:hAnsi="Arial"/>
          <w:sz w:val="15"/>
          <w:szCs w:val="15"/>
          <w:color w:val="auto"/>
        </w:rPr>
      </w:pPr>
    </w:p>
    <w:p>
      <w:pPr>
        <w:ind w:left="1126" w:hanging="211"/>
        <w:spacing w:after="0"/>
        <w:tabs>
          <w:tab w:leader="none" w:pos="1126" w:val="left"/>
        </w:tabs>
        <w:numPr>
          <w:ilvl w:val="1"/>
          <w:numId w:val="76"/>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accused of any impropriety in connection with any employment;</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15"/>
          <w:szCs w:val="15"/>
          <w:color w:val="auto"/>
        </w:rPr>
        <w:t>Any breach of any of the above representations and warranties is “justifiable cause” for termination under paragraph 7(d) of this Agreement.</w:t>
      </w:r>
    </w:p>
    <w:p>
      <w:pPr>
        <w:spacing w:after="0" w:line="145" w:lineRule="exact"/>
        <w:rPr>
          <w:sz w:val="20"/>
          <w:szCs w:val="20"/>
          <w:color w:val="auto"/>
        </w:rPr>
      </w:pPr>
    </w:p>
    <w:p>
      <w:pPr>
        <w:ind w:left="5686"/>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386"/>
          </w:cols>
          <w:pgMar w:left="234" w:top="262" w:right="279" w:bottom="1440" w:gutter="0" w:footer="0" w:header="0"/>
        </w:sectPr>
      </w:pPr>
    </w:p>
    <w:bookmarkStart w:id="29" w:name="page30"/>
    <w:bookmarkEnd w:id="29"/>
    <w:p>
      <w:pPr>
        <w:ind w:left="1120" w:hanging="231"/>
        <w:spacing w:after="0"/>
        <w:tabs>
          <w:tab w:leader="none" w:pos="1120" w:val="left"/>
        </w:tabs>
        <w:numPr>
          <w:ilvl w:val="0"/>
          <w:numId w:val="7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5040" cy="34925"/>
                    </a:xfrm>
                    <a:prstGeom prst="rect">
                      <a:avLst/>
                    </a:prstGeom>
                    <a:noFill/>
                  </pic:spPr>
                </pic:pic>
              </a:graphicData>
            </a:graphic>
          </wp:anchor>
        </w:drawing>
        <w:t>NON-COMPETITION</w:t>
      </w:r>
    </w:p>
    <w:p>
      <w:pPr>
        <w:spacing w:after="0" w:line="86" w:lineRule="exact"/>
        <w:rPr>
          <w:sz w:val="20"/>
          <w:szCs w:val="20"/>
          <w:color w:val="auto"/>
        </w:rPr>
      </w:pPr>
    </w:p>
    <w:p>
      <w:pPr>
        <w:ind w:left="-20" w:right="20" w:firstLine="909"/>
        <w:spacing w:after="0" w:line="309" w:lineRule="auto"/>
        <w:tabs>
          <w:tab w:leader="none" w:pos="1103" w:val="left"/>
        </w:tabs>
        <w:numPr>
          <w:ilvl w:val="0"/>
          <w:numId w:val="78"/>
        </w:numPr>
        <w:rPr>
          <w:rFonts w:ascii="Arial" w:cs="Arial" w:eastAsia="Arial" w:hAnsi="Arial"/>
          <w:sz w:val="13"/>
          <w:szCs w:val="13"/>
          <w:color w:val="auto"/>
        </w:rPr>
      </w:pPr>
      <w:r>
        <w:rPr>
          <w:rFonts w:ascii="Arial" w:cs="Arial" w:eastAsia="Arial" w:hAnsi="Arial"/>
          <w:sz w:val="13"/>
          <w:szCs w:val="13"/>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95" w:lineRule="exact"/>
        <w:rPr>
          <w:rFonts w:ascii="Arial" w:cs="Arial" w:eastAsia="Arial" w:hAnsi="Arial"/>
          <w:sz w:val="13"/>
          <w:szCs w:val="13"/>
          <w:color w:val="auto"/>
        </w:rPr>
      </w:pPr>
    </w:p>
    <w:p>
      <w:pPr>
        <w:jc w:val="both"/>
        <w:ind w:left="-20" w:firstLine="909"/>
        <w:spacing w:after="0" w:line="271" w:lineRule="auto"/>
        <w:tabs>
          <w:tab w:leader="none" w:pos="1111" w:val="left"/>
        </w:tabs>
        <w:numPr>
          <w:ilvl w:val="0"/>
          <w:numId w:val="78"/>
        </w:numPr>
        <w:rPr>
          <w:rFonts w:ascii="Arial" w:cs="Arial" w:eastAsia="Arial" w:hAnsi="Arial"/>
          <w:sz w:val="15"/>
          <w:szCs w:val="15"/>
          <w:color w:val="auto"/>
        </w:rPr>
      </w:pPr>
      <w:r>
        <w:rPr>
          <w:rFonts w:ascii="Arial" w:cs="Arial" w:eastAsia="Arial" w:hAnsi="Arial"/>
          <w:sz w:val="15"/>
          <w:szCs w:val="15"/>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13" w:lineRule="exact"/>
        <w:rPr>
          <w:rFonts w:ascii="Arial" w:cs="Arial" w:eastAsia="Arial" w:hAnsi="Arial"/>
          <w:sz w:val="15"/>
          <w:szCs w:val="15"/>
          <w:color w:val="auto"/>
        </w:rPr>
      </w:pPr>
    </w:p>
    <w:p>
      <w:pPr>
        <w:ind w:left="-20" w:right="120" w:firstLine="909"/>
        <w:spacing w:after="0" w:line="268" w:lineRule="auto"/>
        <w:tabs>
          <w:tab w:leader="none" w:pos="1103" w:val="left"/>
        </w:tabs>
        <w:numPr>
          <w:ilvl w:val="0"/>
          <w:numId w:val="78"/>
        </w:numPr>
        <w:rPr>
          <w:rFonts w:ascii="Arial" w:cs="Arial" w:eastAsia="Arial" w:hAnsi="Arial"/>
          <w:sz w:val="15"/>
          <w:szCs w:val="15"/>
          <w:color w:val="auto"/>
        </w:rPr>
      </w:pPr>
      <w:r>
        <w:rPr>
          <w:rFonts w:ascii="Arial" w:cs="Arial" w:eastAsia="Arial" w:hAnsi="Arial"/>
          <w:sz w:val="15"/>
          <w:szCs w:val="15"/>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7" w:lineRule="exact"/>
        <w:rPr>
          <w:rFonts w:ascii="Arial" w:cs="Arial" w:eastAsia="Arial" w:hAnsi="Arial"/>
          <w:sz w:val="15"/>
          <w:szCs w:val="15"/>
          <w:color w:val="auto"/>
        </w:rPr>
      </w:pPr>
    </w:p>
    <w:p>
      <w:pPr>
        <w:ind w:left="-20" w:right="20" w:firstLine="909"/>
        <w:spacing w:after="0" w:line="304" w:lineRule="auto"/>
        <w:tabs>
          <w:tab w:leader="none" w:pos="1111"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380"/>
          </w:cols>
          <w:pgMar w:left="260" w:top="262" w:right="259" w:bottom="1440" w:gutter="0" w:footer="0" w:header="0"/>
        </w:sectPr>
      </w:pPr>
    </w:p>
    <w:bookmarkStart w:id="30" w:name="page31"/>
    <w:bookmarkEnd w:id="30"/>
    <w:p>
      <w:pPr>
        <w:ind w:left="1140" w:hanging="231"/>
        <w:spacing w:after="0"/>
        <w:tabs>
          <w:tab w:leader="none" w:pos="1140"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5040" cy="34925"/>
                    </a:xfrm>
                    <a:prstGeom prst="rect">
                      <a:avLst/>
                    </a:prstGeom>
                    <a:noFill/>
                  </pic:spPr>
                </pic:pic>
              </a:graphicData>
            </a:graphic>
          </wp:anchor>
        </w:drawing>
        <w:t>INVENTIONS AND DISCOVERIES</w:t>
      </w:r>
    </w:p>
    <w:p>
      <w:pPr>
        <w:spacing w:after="0" w:line="86" w:lineRule="exact"/>
        <w:rPr>
          <w:sz w:val="20"/>
          <w:szCs w:val="20"/>
          <w:color w:val="auto"/>
        </w:rPr>
      </w:pPr>
    </w:p>
    <w:p>
      <w:pPr>
        <w:ind w:right="120" w:firstLine="909"/>
        <w:spacing w:after="0" w:line="267" w:lineRule="auto"/>
        <w:tabs>
          <w:tab w:leader="none" w:pos="1123" w:val="left"/>
        </w:tabs>
        <w:numPr>
          <w:ilvl w:val="0"/>
          <w:numId w:val="80"/>
        </w:numPr>
        <w:rPr>
          <w:rFonts w:ascii="Arial" w:cs="Arial" w:eastAsia="Arial" w:hAnsi="Arial"/>
          <w:sz w:val="15"/>
          <w:szCs w:val="15"/>
          <w:color w:val="auto"/>
        </w:rPr>
      </w:pPr>
      <w:r>
        <w:rPr>
          <w:rFonts w:ascii="Arial" w:cs="Arial" w:eastAsia="Arial" w:hAnsi="Arial"/>
          <w:sz w:val="15"/>
          <w:szCs w:val="15"/>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17" w:lineRule="exact"/>
        <w:rPr>
          <w:rFonts w:ascii="Arial" w:cs="Arial" w:eastAsia="Arial" w:hAnsi="Arial"/>
          <w:sz w:val="15"/>
          <w:szCs w:val="15"/>
          <w:color w:val="auto"/>
        </w:rPr>
      </w:pPr>
    </w:p>
    <w:p>
      <w:pPr>
        <w:ind w:right="160" w:firstLine="909"/>
        <w:spacing w:after="0" w:line="266" w:lineRule="auto"/>
        <w:tabs>
          <w:tab w:leader="none" w:pos="1131" w:val="left"/>
        </w:tabs>
        <w:numPr>
          <w:ilvl w:val="0"/>
          <w:numId w:val="80"/>
        </w:numPr>
        <w:rPr>
          <w:rFonts w:ascii="Arial" w:cs="Arial" w:eastAsia="Arial" w:hAnsi="Arial"/>
          <w:sz w:val="15"/>
          <w:szCs w:val="15"/>
          <w:color w:val="auto"/>
        </w:rPr>
      </w:pPr>
      <w:r>
        <w:rPr>
          <w:rFonts w:ascii="Arial" w:cs="Arial" w:eastAsia="Arial" w:hAnsi="Arial"/>
          <w:sz w:val="15"/>
          <w:szCs w:val="15"/>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89" w:lineRule="exact"/>
        <w:rPr>
          <w:sz w:val="20"/>
          <w:szCs w:val="20"/>
          <w:color w:val="auto"/>
        </w:rPr>
      </w:pPr>
    </w:p>
    <w:p>
      <w:pPr>
        <w:ind w:left="1140" w:hanging="231"/>
        <w:spacing w:after="0"/>
        <w:tabs>
          <w:tab w:leader="none" w:pos="1140"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NON-DISCLOSURE OF CONFIDENTIAL INFORMATION</w:t>
      </w:r>
    </w:p>
    <w:p>
      <w:pPr>
        <w:spacing w:after="0" w:line="86" w:lineRule="exact"/>
        <w:rPr>
          <w:sz w:val="20"/>
          <w:szCs w:val="20"/>
          <w:color w:val="auto"/>
        </w:rPr>
      </w:pPr>
    </w:p>
    <w:p>
      <w:pPr>
        <w:ind w:firstLine="909"/>
        <w:spacing w:after="0" w:line="288" w:lineRule="auto"/>
        <w:tabs>
          <w:tab w:leader="none" w:pos="1123" w:val="left"/>
        </w:tabs>
        <w:numPr>
          <w:ilvl w:val="0"/>
          <w:numId w:val="82"/>
        </w:numPr>
        <w:rPr>
          <w:rFonts w:ascii="Arial" w:cs="Arial" w:eastAsia="Arial" w:hAnsi="Arial"/>
          <w:sz w:val="14"/>
          <w:szCs w:val="14"/>
          <w:color w:val="auto"/>
        </w:rPr>
      </w:pPr>
      <w:r>
        <w:rPr>
          <w:rFonts w:ascii="Arial" w:cs="Arial" w:eastAsia="Arial" w:hAnsi="Arial"/>
          <w:sz w:val="14"/>
          <w:szCs w:val="14"/>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20"/>
          </w:cols>
          <w:pgMar w:left="240" w:top="262" w:right="239" w:bottom="1440" w:gutter="0" w:footer="0" w:header="0"/>
        </w:sectPr>
      </w:pPr>
    </w:p>
    <w:bookmarkStart w:id="31" w:name="page32"/>
    <w:bookmarkEnd w:id="31"/>
    <w:p>
      <w:pPr>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5040" cy="34925"/>
                    </a:xfrm>
                    <a:prstGeom prst="rect">
                      <a:avLst/>
                    </a:prstGeom>
                    <a:noFill/>
                  </pic:spPr>
                </pic:pic>
              </a:graphicData>
            </a:graphic>
          </wp:anchor>
        </w:drawing>
        <w:t>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01" w:lineRule="exact"/>
        <w:rPr>
          <w:sz w:val="20"/>
          <w:szCs w:val="20"/>
          <w:color w:val="auto"/>
        </w:rPr>
      </w:pPr>
    </w:p>
    <w:p>
      <w:pPr>
        <w:ind w:right="140" w:firstLine="909"/>
        <w:spacing w:after="0" w:line="271" w:lineRule="auto"/>
        <w:tabs>
          <w:tab w:leader="none" w:pos="1123" w:val="left"/>
        </w:tabs>
        <w:numPr>
          <w:ilvl w:val="0"/>
          <w:numId w:val="83"/>
        </w:numPr>
        <w:rPr>
          <w:rFonts w:ascii="Arial" w:cs="Arial" w:eastAsia="Arial" w:hAnsi="Arial"/>
          <w:sz w:val="15"/>
          <w:szCs w:val="15"/>
          <w:color w:val="auto"/>
        </w:rPr>
      </w:pPr>
      <w:r>
        <w:rPr>
          <w:rFonts w:ascii="Arial" w:cs="Arial" w:eastAsia="Arial" w:hAnsi="Arial"/>
          <w:sz w:val="15"/>
          <w:szCs w:val="15"/>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84" w:lineRule="exact"/>
        <w:rPr>
          <w:sz w:val="20"/>
          <w:szCs w:val="20"/>
          <w:color w:val="auto"/>
        </w:rPr>
      </w:pPr>
    </w:p>
    <w:p>
      <w:pPr>
        <w:ind w:left="1140" w:hanging="231"/>
        <w:spacing w:after="0"/>
        <w:tabs>
          <w:tab w:leader="none" w:pos="1140"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SPECIFIC PERFORMANCE</w:t>
      </w:r>
    </w:p>
    <w:p>
      <w:pPr>
        <w:spacing w:after="0" w:line="86"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75" w:lineRule="exact"/>
        <w:rPr>
          <w:sz w:val="20"/>
          <w:szCs w:val="20"/>
          <w:color w:val="auto"/>
        </w:rPr>
      </w:pPr>
    </w:p>
    <w:p>
      <w:pPr>
        <w:ind w:left="1140" w:hanging="231"/>
        <w:spacing w:after="0"/>
        <w:tabs>
          <w:tab w:leader="none" w:pos="1140"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AMENDMENT OR ALTERATION</w:t>
      </w:r>
    </w:p>
    <w:p>
      <w:pPr>
        <w:spacing w:after="0" w:line="8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No amendment or alteration of the terms of this Agreement shall be valid unless made in writing and signed by both of the parties hereto.</w:t>
      </w:r>
    </w:p>
    <w:p>
      <w:pPr>
        <w:spacing w:after="0" w:line="227" w:lineRule="exact"/>
        <w:rPr>
          <w:sz w:val="20"/>
          <w:szCs w:val="20"/>
          <w:color w:val="auto"/>
        </w:rPr>
      </w:pPr>
    </w:p>
    <w:p>
      <w:pPr>
        <w:ind w:left="1140" w:hanging="231"/>
        <w:spacing w:after="0"/>
        <w:tabs>
          <w:tab w:leader="none" w:pos="1140"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GOVERNING LAW</w:t>
      </w:r>
    </w:p>
    <w:p>
      <w:pPr>
        <w:spacing w:after="0" w:line="86" w:lineRule="exact"/>
        <w:rPr>
          <w:sz w:val="20"/>
          <w:szCs w:val="20"/>
          <w:color w:val="auto"/>
        </w:rPr>
      </w:pPr>
    </w:p>
    <w:p>
      <w:pPr>
        <w:ind w:right="160" w:firstLine="915"/>
        <w:spacing w:after="0" w:line="291" w:lineRule="auto"/>
        <w:rPr>
          <w:sz w:val="20"/>
          <w:szCs w:val="20"/>
          <w:color w:val="auto"/>
        </w:rPr>
      </w:pPr>
      <w:r>
        <w:rPr>
          <w:rFonts w:ascii="Arial" w:cs="Arial" w:eastAsia="Arial" w:hAnsi="Arial"/>
          <w:sz w:val="15"/>
          <w:szCs w:val="15"/>
          <w:color w:val="auto"/>
        </w:rPr>
        <w:t>This Agreement shall be governed by, and construed and enforced in accordance with the substantive laws of the Commonwealth of Massachusetts, without regard to its principles of conflicts of laws.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380"/>
          </w:cols>
          <w:pgMar w:left="240" w:top="262" w:right="279" w:bottom="1440" w:gutter="0" w:footer="0" w:header="0"/>
        </w:sectPr>
      </w:pPr>
    </w:p>
    <w:bookmarkStart w:id="32" w:name="page33"/>
    <w:bookmarkEnd w:id="32"/>
    <w:p>
      <w:pPr>
        <w:ind w:left="1140" w:hanging="231"/>
        <w:spacing w:after="0"/>
        <w:tabs>
          <w:tab w:leader="none" w:pos="1140"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5040" cy="34925"/>
                    </a:xfrm>
                    <a:prstGeom prst="rect">
                      <a:avLst/>
                    </a:prstGeom>
                    <a:noFill/>
                  </pic:spPr>
                </pic:pic>
              </a:graphicData>
            </a:graphic>
          </wp:anchor>
        </w:drawing>
        <w:t>SEVERABILITY</w:t>
      </w:r>
    </w:p>
    <w:p>
      <w:pPr>
        <w:spacing w:after="0" w:line="86" w:lineRule="exact"/>
        <w:rPr>
          <w:sz w:val="20"/>
          <w:szCs w:val="20"/>
          <w:color w:val="auto"/>
        </w:rPr>
      </w:pPr>
    </w:p>
    <w:p>
      <w:pPr>
        <w:ind w:right="160" w:firstLine="915"/>
        <w:spacing w:after="0" w:line="291" w:lineRule="auto"/>
        <w:rPr>
          <w:sz w:val="20"/>
          <w:szCs w:val="20"/>
          <w:color w:val="auto"/>
        </w:rPr>
      </w:pPr>
      <w:r>
        <w:rPr>
          <w:rFonts w:ascii="Arial" w:cs="Arial" w:eastAsia="Arial" w:hAnsi="Arial"/>
          <w:sz w:val="15"/>
          <w:szCs w:val="15"/>
          <w:color w:val="auto"/>
        </w:rPr>
        <w:t>The holding of any provision of this Agreement to be invalid or unenforceable by a court of competent jurisdiction shall not affect any other provision of this Agreement, which shall remain in full force and effect.</w:t>
      </w:r>
    </w:p>
    <w:p>
      <w:pPr>
        <w:spacing w:after="0" w:line="169" w:lineRule="exact"/>
        <w:rPr>
          <w:sz w:val="20"/>
          <w:szCs w:val="20"/>
          <w:color w:val="auto"/>
        </w:rPr>
      </w:pPr>
    </w:p>
    <w:p>
      <w:pPr>
        <w:ind w:left="1140" w:hanging="231"/>
        <w:spacing w:after="0"/>
        <w:tabs>
          <w:tab w:leader="none" w:pos="1140"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NOTICES</w:t>
      </w:r>
    </w:p>
    <w:p>
      <w:pPr>
        <w:spacing w:after="0" w:line="86" w:lineRule="exact"/>
        <w:rPr>
          <w:sz w:val="20"/>
          <w:szCs w:val="20"/>
          <w:color w:val="auto"/>
        </w:rPr>
      </w:pPr>
    </w:p>
    <w:p>
      <w:pPr>
        <w:ind w:right="300" w:firstLine="915"/>
        <w:spacing w:after="0" w:line="276" w:lineRule="auto"/>
        <w:rPr>
          <w:sz w:val="20"/>
          <w:szCs w:val="20"/>
          <w:color w:val="auto"/>
        </w:rPr>
      </w:pPr>
      <w:r>
        <w:rPr>
          <w:rFonts w:ascii="Arial" w:cs="Arial" w:eastAsia="Arial" w:hAnsi="Arial"/>
          <w:sz w:val="15"/>
          <w:szCs w:val="15"/>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80" w:lineRule="exact"/>
        <w:rPr>
          <w:sz w:val="20"/>
          <w:szCs w:val="20"/>
          <w:color w:val="auto"/>
        </w:rPr>
      </w:pPr>
    </w:p>
    <w:p>
      <w:pPr>
        <w:ind w:left="1140" w:hanging="231"/>
        <w:spacing w:after="0"/>
        <w:tabs>
          <w:tab w:leader="none" w:pos="1140"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WAIVER OR BREACH</w:t>
      </w:r>
    </w:p>
    <w:p>
      <w:pPr>
        <w:spacing w:after="0" w:line="8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It is agreed that a waiver by either party of a breach of any provision of this Agreement shall not operate, or be construed as a waiver of any subsequent breach by that same</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party.</w:t>
      </w:r>
    </w:p>
    <w:p>
      <w:pPr>
        <w:spacing w:after="0" w:line="221" w:lineRule="exact"/>
        <w:rPr>
          <w:sz w:val="20"/>
          <w:szCs w:val="20"/>
          <w:color w:val="auto"/>
        </w:rPr>
      </w:pPr>
    </w:p>
    <w:p>
      <w:pPr>
        <w:ind w:left="1140" w:hanging="231"/>
        <w:spacing w:after="0"/>
        <w:tabs>
          <w:tab w:leader="none" w:pos="1140"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ENTIRE AGREEMENT AND BINDING EFFECT</w:t>
      </w:r>
    </w:p>
    <w:p>
      <w:pPr>
        <w:spacing w:after="0" w:line="86" w:lineRule="exact"/>
        <w:rPr>
          <w:sz w:val="20"/>
          <w:szCs w:val="20"/>
          <w:color w:val="auto"/>
        </w:rPr>
      </w:pPr>
    </w:p>
    <w:p>
      <w:pPr>
        <w:ind w:firstLine="915"/>
        <w:spacing w:after="0" w:line="266" w:lineRule="auto"/>
        <w:rPr>
          <w:sz w:val="20"/>
          <w:szCs w:val="20"/>
          <w:color w:val="auto"/>
        </w:rPr>
      </w:pPr>
      <w:r>
        <w:rPr>
          <w:rFonts w:ascii="Arial" w:cs="Arial" w:eastAsia="Arial" w:hAnsi="Arial"/>
          <w:sz w:val="15"/>
          <w:szCs w:val="15"/>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89" w:lineRule="exact"/>
        <w:rPr>
          <w:sz w:val="20"/>
          <w:szCs w:val="20"/>
          <w:color w:val="auto"/>
        </w:rPr>
      </w:pPr>
    </w:p>
    <w:p>
      <w:pPr>
        <w:ind w:left="1140" w:hanging="231"/>
        <w:spacing w:after="0"/>
        <w:tabs>
          <w:tab w:leader="none" w:pos="1140"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SURVIVAL</w:t>
      </w:r>
    </w:p>
    <w:p>
      <w:pPr>
        <w:spacing w:after="0" w:line="86" w:lineRule="exact"/>
        <w:rPr>
          <w:sz w:val="20"/>
          <w:szCs w:val="20"/>
          <w:color w:val="auto"/>
        </w:rPr>
      </w:pPr>
    </w:p>
    <w:p>
      <w:pPr>
        <w:ind w:right="60" w:firstLine="915"/>
        <w:spacing w:after="0" w:line="291" w:lineRule="auto"/>
        <w:rPr>
          <w:sz w:val="20"/>
          <w:szCs w:val="20"/>
          <w:color w:val="auto"/>
        </w:rPr>
      </w:pPr>
      <w:r>
        <w:rPr>
          <w:rFonts w:ascii="Arial" w:cs="Arial" w:eastAsia="Arial" w:hAnsi="Arial"/>
          <w:sz w:val="15"/>
          <w:szCs w:val="15"/>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20"/>
          </w:cols>
          <w:pgMar w:left="240" w:top="262" w:right="239" w:bottom="1440" w:gutter="0" w:footer="0" w:header="0"/>
        </w:sectPr>
      </w:pPr>
    </w:p>
    <w:bookmarkStart w:id="33" w:name="page34"/>
    <w:bookmarkEnd w:id="33"/>
    <w:p>
      <w:pPr>
        <w:ind w:left="1140" w:hanging="231"/>
        <w:spacing w:after="0"/>
        <w:tabs>
          <w:tab w:leader="none" w:pos="1140"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5040" cy="34925"/>
                    </a:xfrm>
                    <a:prstGeom prst="rect">
                      <a:avLst/>
                    </a:prstGeom>
                    <a:noFill/>
                  </pic:spPr>
                </pic:pic>
              </a:graphicData>
            </a:graphic>
          </wp:anchor>
        </w:drawing>
        <w:t>RESOLUTION OF DISPUTES</w:t>
      </w:r>
    </w:p>
    <w:p>
      <w:pPr>
        <w:spacing w:after="0" w:line="8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Any and all disputes arising under or in connection with this Agreement shall be resolved in accordance with this paragraph 21 and paragraph 15.</w:t>
      </w:r>
    </w:p>
    <w:p>
      <w:pPr>
        <w:spacing w:after="0" w:line="156" w:lineRule="exact"/>
        <w:rPr>
          <w:sz w:val="20"/>
          <w:szCs w:val="20"/>
          <w:color w:val="auto"/>
        </w:rPr>
      </w:pPr>
    </w:p>
    <w:p>
      <w:pPr>
        <w:ind w:firstLine="915"/>
        <w:spacing w:after="0" w:line="271" w:lineRule="auto"/>
        <w:rPr>
          <w:sz w:val="20"/>
          <w:szCs w:val="20"/>
          <w:color w:val="auto"/>
        </w:rPr>
      </w:pPr>
      <w:r>
        <w:rPr>
          <w:rFonts w:ascii="Arial" w:cs="Arial" w:eastAsia="Arial" w:hAnsi="Arial"/>
          <w:sz w:val="15"/>
          <w:szCs w:val="15"/>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84" w:lineRule="exact"/>
        <w:rPr>
          <w:sz w:val="20"/>
          <w:szCs w:val="20"/>
          <w:color w:val="auto"/>
        </w:rPr>
      </w:pPr>
    </w:p>
    <w:p>
      <w:pPr>
        <w:ind w:left="1140" w:hanging="231"/>
        <w:spacing w:after="0"/>
        <w:tabs>
          <w:tab w:leader="none" w:pos="1140"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NON-DISPARAGEMENT</w:t>
      </w:r>
    </w:p>
    <w:p>
      <w:pPr>
        <w:spacing w:after="0" w:line="86" w:lineRule="exact"/>
        <w:rPr>
          <w:sz w:val="20"/>
          <w:szCs w:val="20"/>
          <w:color w:val="auto"/>
        </w:rPr>
      </w:pPr>
    </w:p>
    <w:p>
      <w:pPr>
        <w:jc w:val="both"/>
        <w:ind w:right="80" w:firstLine="915"/>
        <w:spacing w:after="0" w:line="276" w:lineRule="auto"/>
        <w:rPr>
          <w:sz w:val="20"/>
          <w:szCs w:val="20"/>
          <w:color w:val="auto"/>
        </w:rPr>
      </w:pPr>
      <w:r>
        <w:rPr>
          <w:rFonts w:ascii="Arial" w:cs="Arial" w:eastAsia="Arial" w:hAnsi="Arial"/>
          <w:sz w:val="15"/>
          <w:szCs w:val="15"/>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80" w:lineRule="exact"/>
        <w:rPr>
          <w:sz w:val="20"/>
          <w:szCs w:val="20"/>
          <w:color w:val="auto"/>
        </w:rPr>
      </w:pPr>
    </w:p>
    <w:p>
      <w:pPr>
        <w:ind w:left="1140" w:hanging="231"/>
        <w:spacing w:after="0"/>
        <w:tabs>
          <w:tab w:leader="none" w:pos="1140" w:val="left"/>
        </w:tabs>
        <w:numPr>
          <w:ilvl w:val="0"/>
          <w:numId w:val="94"/>
        </w:numPr>
        <w:rPr>
          <w:rFonts w:ascii="Arial" w:cs="Arial" w:eastAsia="Arial" w:hAnsi="Arial"/>
          <w:sz w:val="15"/>
          <w:szCs w:val="15"/>
          <w:color w:val="auto"/>
        </w:rPr>
      </w:pPr>
      <w:r>
        <w:rPr>
          <w:rFonts w:ascii="Arial" w:cs="Arial" w:eastAsia="Arial" w:hAnsi="Arial"/>
          <w:sz w:val="15"/>
          <w:szCs w:val="15"/>
          <w:u w:val="single" w:color="auto"/>
          <w:color w:val="auto"/>
        </w:rPr>
        <w:t>FURTHER ASSURANCES</w:t>
      </w:r>
    </w:p>
    <w:p>
      <w:pPr>
        <w:spacing w:after="0" w:line="86" w:lineRule="exact"/>
        <w:rPr>
          <w:sz w:val="20"/>
          <w:szCs w:val="20"/>
          <w:color w:val="auto"/>
        </w:rPr>
      </w:pPr>
    </w:p>
    <w:p>
      <w:pPr>
        <w:ind w:right="60" w:firstLine="915"/>
        <w:spacing w:after="0" w:line="291" w:lineRule="auto"/>
        <w:rPr>
          <w:sz w:val="20"/>
          <w:szCs w:val="20"/>
          <w:color w:val="auto"/>
        </w:rPr>
      </w:pPr>
      <w:r>
        <w:rPr>
          <w:rFonts w:ascii="Arial" w:cs="Arial" w:eastAsia="Arial" w:hAnsi="Arial"/>
          <w:sz w:val="15"/>
          <w:szCs w:val="15"/>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69" w:lineRule="exact"/>
        <w:rPr>
          <w:sz w:val="20"/>
          <w:szCs w:val="20"/>
          <w:color w:val="auto"/>
        </w:rPr>
      </w:pPr>
    </w:p>
    <w:p>
      <w:pPr>
        <w:ind w:right="7960" w:firstLine="909"/>
        <w:spacing w:after="0" w:line="389" w:lineRule="auto"/>
        <w:tabs>
          <w:tab w:leader="none" w:pos="1144"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 xml:space="preserve">SUBSIDIARIES AND AFFILIATES </w:t>
      </w:r>
      <w:r>
        <w:rPr>
          <w:rFonts w:ascii="Arial" w:cs="Arial" w:eastAsia="Arial" w:hAnsi="Arial"/>
          <w:sz w:val="15"/>
          <w:szCs w:val="15"/>
          <w:color w:val="auto"/>
        </w:rPr>
        <w:t>For purposes of this Agreement:</w:t>
      </w:r>
    </w:p>
    <w:p>
      <w:pPr>
        <w:spacing w:after="0" w:line="28" w:lineRule="exact"/>
        <w:rPr>
          <w:rFonts w:ascii="Arial" w:cs="Arial" w:eastAsia="Arial" w:hAnsi="Arial"/>
          <w:sz w:val="15"/>
          <w:szCs w:val="15"/>
          <w:color w:val="auto"/>
        </w:rPr>
      </w:pPr>
    </w:p>
    <w:p>
      <w:pPr>
        <w:ind w:right="460" w:firstLine="1481"/>
        <w:spacing w:after="0" w:line="291" w:lineRule="auto"/>
        <w:tabs>
          <w:tab w:leader="none" w:pos="1695" w:val="left"/>
        </w:tabs>
        <w:numPr>
          <w:ilvl w:val="1"/>
          <w:numId w:val="95"/>
        </w:numPr>
        <w:rPr>
          <w:rFonts w:ascii="Arial" w:cs="Arial" w:eastAsia="Arial" w:hAnsi="Arial"/>
          <w:sz w:val="15"/>
          <w:szCs w:val="15"/>
          <w:color w:val="auto"/>
        </w:rPr>
      </w:pPr>
      <w:r>
        <w:rPr>
          <w:rFonts w:ascii="Arial" w:cs="Arial" w:eastAsia="Arial" w:hAnsi="Arial"/>
          <w:sz w:val="15"/>
          <w:szCs w:val="15"/>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98" w:lineRule="exact"/>
        <w:rPr>
          <w:rFonts w:ascii="Arial" w:cs="Arial" w:eastAsia="Arial" w:hAnsi="Arial"/>
          <w:sz w:val="15"/>
          <w:szCs w:val="15"/>
          <w:color w:val="auto"/>
        </w:rPr>
      </w:pPr>
    </w:p>
    <w:p>
      <w:pPr>
        <w:jc w:val="both"/>
        <w:ind w:right="200" w:firstLine="1481"/>
        <w:spacing w:after="0" w:line="304" w:lineRule="auto"/>
        <w:tabs>
          <w:tab w:leader="none" w:pos="1703" w:val="left"/>
        </w:tabs>
        <w:numPr>
          <w:ilvl w:val="1"/>
          <w:numId w:val="95"/>
        </w:numPr>
        <w:rPr>
          <w:rFonts w:ascii="Arial" w:cs="Arial" w:eastAsia="Arial" w:hAnsi="Arial"/>
          <w:sz w:val="14"/>
          <w:szCs w:val="14"/>
          <w:color w:val="auto"/>
        </w:rPr>
      </w:pPr>
      <w:r>
        <w:rPr>
          <w:rFonts w:ascii="Arial" w:cs="Arial" w:eastAsia="Arial" w:hAnsi="Arial"/>
          <w:sz w:val="14"/>
          <w:szCs w:val="14"/>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380"/>
          </w:cols>
          <w:pgMar w:left="240" w:top="262" w:right="279" w:bottom="1440" w:gutter="0" w:footer="0" w:header="0"/>
        </w:sectPr>
      </w:pPr>
    </w:p>
    <w:bookmarkStart w:id="34" w:name="page35"/>
    <w:bookmarkEnd w:id="34"/>
    <w:p>
      <w:pPr>
        <w:ind w:left="1140" w:hanging="231"/>
        <w:spacing w:after="0"/>
        <w:tabs>
          <w:tab w:leader="none" w:pos="1140"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5040" cy="34925"/>
                    </a:xfrm>
                    <a:prstGeom prst="rect">
                      <a:avLst/>
                    </a:prstGeom>
                    <a:noFill/>
                  </pic:spPr>
                </pic:pic>
              </a:graphicData>
            </a:graphic>
          </wp:anchor>
        </w:drawing>
        <w:t>HEADINGS</w:t>
      </w:r>
    </w:p>
    <w:p>
      <w:pPr>
        <w:spacing w:after="0" w:line="86" w:lineRule="exact"/>
        <w:rPr>
          <w:sz w:val="20"/>
          <w:szCs w:val="20"/>
          <w:color w:val="auto"/>
        </w:rPr>
      </w:pPr>
    </w:p>
    <w:p>
      <w:pPr>
        <w:ind w:firstLine="915"/>
        <w:spacing w:after="0" w:line="291" w:lineRule="auto"/>
        <w:rPr>
          <w:sz w:val="20"/>
          <w:szCs w:val="20"/>
          <w:color w:val="auto"/>
        </w:rPr>
      </w:pPr>
      <w:r>
        <w:rPr>
          <w:rFonts w:ascii="Arial" w:cs="Arial" w:eastAsia="Arial" w:hAnsi="Arial"/>
          <w:sz w:val="15"/>
          <w:szCs w:val="15"/>
          <w:color w:val="auto"/>
        </w:rPr>
        <w:t>The paragraph headings appearing in this Agreement are for the purposes of easy reference and shall not be considered a part of this Agreement or in any way modify, amend or affect its provisions.</w:t>
      </w:r>
    </w:p>
    <w:p>
      <w:pPr>
        <w:spacing w:after="0" w:line="169" w:lineRule="exact"/>
        <w:rPr>
          <w:sz w:val="20"/>
          <w:szCs w:val="20"/>
          <w:color w:val="auto"/>
        </w:rPr>
      </w:pPr>
    </w:p>
    <w:p>
      <w:pPr>
        <w:ind w:left="1140" w:hanging="231"/>
        <w:spacing w:after="0"/>
        <w:tabs>
          <w:tab w:leader="none" w:pos="1140"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t>COUNTERPARTS</w:t>
      </w:r>
    </w:p>
    <w:p>
      <w:pPr>
        <w:spacing w:after="0" w:line="8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This Agreement may be executed in one or more counterparts, each of which shall be deemed an original and all of which together shall constitute one and the same</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agreement.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executed this Agreement, under seal, as of the date and year first above written.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CASUAL MALE RETAIL GROUP, INC.</w:t>
      </w:r>
    </w:p>
    <w:p>
      <w:pPr>
        <w:sectPr>
          <w:pgSz w:w="11900" w:h="16838" w:orient="portrait"/>
          <w:cols w:equalWidth="0" w:num="1">
            <w:col w:w="11080"/>
          </w:cols>
          <w:pgMar w:left="240" w:top="262" w:right="579" w:bottom="1440" w:gutter="0" w:footer="0" w:header="0"/>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0" w:type="dxa"/>
            <w:vAlign w:val="bottom"/>
          </w:tcPr>
          <w:p>
            <w:pPr>
              <w:spacing w:after="0"/>
              <w:rPr>
                <w:sz w:val="20"/>
                <w:szCs w:val="20"/>
                <w:color w:val="auto"/>
              </w:rPr>
            </w:pPr>
            <w:r>
              <w:rPr>
                <w:rFonts w:ascii="Arial" w:cs="Arial" w:eastAsia="Arial" w:hAnsi="Arial"/>
                <w:sz w:val="15"/>
                <w:szCs w:val="15"/>
                <w:color w:val="auto"/>
              </w:rPr>
              <w:t>By:</w:t>
            </w:r>
          </w:p>
        </w:tc>
        <w:tc>
          <w:tcPr>
            <w:tcW w:w="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w:t>
            </w: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David A. Levin</w:t>
            </w:r>
          </w:p>
        </w:tc>
      </w:tr>
      <w:tr>
        <w:trPr>
          <w:trHeight w:val="185"/>
        </w:trPr>
        <w:tc>
          <w:tcPr>
            <w:tcW w:w="560" w:type="dxa"/>
            <w:vAlign w:val="bottom"/>
          </w:tcPr>
          <w:p>
            <w:pPr>
              <w:spacing w:after="0"/>
              <w:rPr>
                <w:sz w:val="20"/>
                <w:szCs w:val="20"/>
                <w:color w:val="auto"/>
              </w:rPr>
            </w:pPr>
            <w:r>
              <w:rPr>
                <w:rFonts w:ascii="Arial" w:cs="Arial" w:eastAsia="Arial" w:hAnsi="Arial"/>
                <w:sz w:val="15"/>
                <w:szCs w:val="15"/>
                <w:color w:val="auto"/>
              </w:rPr>
              <w:t>Name:</w:t>
            </w:r>
          </w:p>
        </w:tc>
        <w:tc>
          <w:tcPr>
            <w:tcW w:w="4240" w:type="dxa"/>
            <w:vAlign w:val="bottom"/>
            <w:gridSpan w:val="2"/>
          </w:tcPr>
          <w:p>
            <w:pPr>
              <w:spacing w:after="0"/>
              <w:rPr>
                <w:sz w:val="20"/>
                <w:szCs w:val="20"/>
                <w:color w:val="auto"/>
              </w:rPr>
            </w:pPr>
            <w:r>
              <w:rPr>
                <w:rFonts w:ascii="Arial" w:cs="Arial" w:eastAsia="Arial" w:hAnsi="Arial"/>
                <w:sz w:val="15"/>
                <w:szCs w:val="15"/>
                <w:color w:val="auto"/>
              </w:rPr>
              <w:t>David A. Levin</w:t>
            </w:r>
          </w:p>
        </w:tc>
      </w:tr>
      <w:tr>
        <w:trPr>
          <w:trHeight w:val="194"/>
        </w:trPr>
        <w:tc>
          <w:tcPr>
            <w:tcW w:w="560" w:type="dxa"/>
            <w:vAlign w:val="bottom"/>
          </w:tcPr>
          <w:p>
            <w:pPr>
              <w:spacing w:after="0"/>
              <w:rPr>
                <w:sz w:val="20"/>
                <w:szCs w:val="20"/>
                <w:color w:val="auto"/>
              </w:rPr>
            </w:pPr>
            <w:r>
              <w:rPr>
                <w:rFonts w:ascii="Arial" w:cs="Arial" w:eastAsia="Arial" w:hAnsi="Arial"/>
                <w:sz w:val="15"/>
                <w:szCs w:val="15"/>
                <w:color w:val="auto"/>
              </w:rPr>
              <w:t>Its:</w:t>
            </w:r>
          </w:p>
        </w:tc>
        <w:tc>
          <w:tcPr>
            <w:tcW w:w="4240" w:type="dxa"/>
            <w:vAlign w:val="bottom"/>
            <w:gridSpan w:val="2"/>
          </w:tcPr>
          <w:p>
            <w:pPr>
              <w:spacing w:after="0"/>
              <w:rPr>
                <w:sz w:val="20"/>
                <w:szCs w:val="20"/>
                <w:color w:val="auto"/>
              </w:rPr>
            </w:pPr>
            <w:r>
              <w:rPr>
                <w:rFonts w:ascii="Arial" w:cs="Arial" w:eastAsia="Arial" w:hAnsi="Arial"/>
                <w:sz w:val="15"/>
                <w:szCs w:val="15"/>
                <w:color w:val="auto"/>
              </w:rPr>
              <w:t>President, Chief Executive Officer</w:t>
            </w:r>
          </w:p>
        </w:tc>
      </w:tr>
      <w:tr>
        <w:trPr>
          <w:trHeight w:val="376"/>
        </w:trPr>
        <w:tc>
          <w:tcPr>
            <w:tcW w:w="560" w:type="dxa"/>
            <w:vAlign w:val="bottom"/>
          </w:tcPr>
          <w:p>
            <w:pPr>
              <w:spacing w:after="0"/>
              <w:rPr>
                <w:sz w:val="20"/>
                <w:szCs w:val="20"/>
                <w:color w:val="auto"/>
              </w:rPr>
            </w:pPr>
            <w:r>
              <w:rPr>
                <w:rFonts w:ascii="Arial" w:cs="Arial" w:eastAsia="Arial" w:hAnsi="Arial"/>
                <w:sz w:val="15"/>
                <w:szCs w:val="15"/>
                <w:color w:val="auto"/>
              </w:rPr>
              <w:t>By:</w:t>
            </w:r>
          </w:p>
        </w:tc>
        <w:tc>
          <w:tcPr>
            <w:tcW w:w="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w:t>
            </w: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Dennis R. Hernreich</w:t>
            </w:r>
          </w:p>
        </w:tc>
      </w:tr>
      <w:tr>
        <w:trPr>
          <w:trHeight w:val="185"/>
        </w:trPr>
        <w:tc>
          <w:tcPr>
            <w:tcW w:w="560" w:type="dxa"/>
            <w:vAlign w:val="bottom"/>
          </w:tcPr>
          <w:p>
            <w:pPr>
              <w:spacing w:after="0"/>
              <w:rPr>
                <w:sz w:val="20"/>
                <w:szCs w:val="20"/>
                <w:color w:val="auto"/>
              </w:rPr>
            </w:pPr>
            <w:r>
              <w:rPr>
                <w:rFonts w:ascii="Arial" w:cs="Arial" w:eastAsia="Arial" w:hAnsi="Arial"/>
                <w:sz w:val="15"/>
                <w:szCs w:val="15"/>
                <w:color w:val="auto"/>
              </w:rPr>
              <w:t>Name:</w:t>
            </w:r>
          </w:p>
        </w:tc>
        <w:tc>
          <w:tcPr>
            <w:tcW w:w="4240" w:type="dxa"/>
            <w:vAlign w:val="bottom"/>
            <w:gridSpan w:val="2"/>
          </w:tcPr>
          <w:p>
            <w:pPr>
              <w:spacing w:after="0"/>
              <w:rPr>
                <w:sz w:val="20"/>
                <w:szCs w:val="20"/>
                <w:color w:val="auto"/>
              </w:rPr>
            </w:pPr>
            <w:r>
              <w:rPr>
                <w:rFonts w:ascii="Arial" w:cs="Arial" w:eastAsia="Arial" w:hAnsi="Arial"/>
                <w:sz w:val="15"/>
                <w:szCs w:val="15"/>
                <w:color w:val="auto"/>
              </w:rPr>
              <w:t>Dennis R. Hernreich</w:t>
            </w:r>
          </w:p>
        </w:tc>
      </w:tr>
      <w:tr>
        <w:trPr>
          <w:trHeight w:val="194"/>
        </w:trPr>
        <w:tc>
          <w:tcPr>
            <w:tcW w:w="560" w:type="dxa"/>
            <w:vAlign w:val="bottom"/>
          </w:tcPr>
          <w:p>
            <w:pPr>
              <w:spacing w:after="0"/>
              <w:rPr>
                <w:sz w:val="20"/>
                <w:szCs w:val="20"/>
                <w:color w:val="auto"/>
              </w:rPr>
            </w:pPr>
            <w:r>
              <w:rPr>
                <w:rFonts w:ascii="Arial" w:cs="Arial" w:eastAsia="Arial" w:hAnsi="Arial"/>
                <w:sz w:val="15"/>
                <w:szCs w:val="15"/>
                <w:color w:val="auto"/>
              </w:rPr>
              <w:t>Its:</w:t>
            </w:r>
          </w:p>
        </w:tc>
        <w:tc>
          <w:tcPr>
            <w:tcW w:w="4240" w:type="dxa"/>
            <w:vAlign w:val="bottom"/>
            <w:gridSpan w:val="2"/>
          </w:tcPr>
          <w:p>
            <w:pPr>
              <w:spacing w:after="0"/>
              <w:rPr>
                <w:sz w:val="20"/>
                <w:szCs w:val="20"/>
                <w:color w:val="auto"/>
              </w:rPr>
            </w:pPr>
            <w:r>
              <w:rPr>
                <w:rFonts w:ascii="Arial" w:cs="Arial" w:eastAsia="Arial" w:hAnsi="Arial"/>
                <w:sz w:val="15"/>
                <w:szCs w:val="15"/>
                <w:color w:val="auto"/>
              </w:rPr>
              <w:t>Executive VP, COO, CFO</w:t>
            </w:r>
          </w:p>
        </w:tc>
      </w:tr>
    </w:tbl>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ind w:right="2420"/>
        <w:spacing w:after="0"/>
        <w:rPr>
          <w:sz w:val="20"/>
          <w:szCs w:val="20"/>
          <w:color w:val="auto"/>
        </w:rPr>
      </w:pPr>
      <w:r>
        <w:rPr>
          <w:rFonts w:ascii="Arial" w:cs="Arial" w:eastAsia="Arial" w:hAnsi="Arial"/>
          <w:sz w:val="13"/>
          <w:szCs w:val="13"/>
          <w:color w:val="auto"/>
        </w:rPr>
        <w:t>Date: January 7, 2010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420"/>
        <w:spacing w:after="0"/>
        <w:rPr>
          <w:sz w:val="20"/>
          <w:szCs w:val="20"/>
          <w:color w:val="auto"/>
        </w:rPr>
      </w:pPr>
      <w:r>
        <w:rPr>
          <w:rFonts w:ascii="Arial" w:cs="Arial" w:eastAsia="Arial" w:hAnsi="Arial"/>
          <w:sz w:val="13"/>
          <w:szCs w:val="13"/>
          <w:color w:val="auto"/>
        </w:rPr>
        <w:t>Date: January 7, 2010</w:t>
      </w:r>
    </w:p>
    <w:p>
      <w:pPr>
        <w:spacing w:after="0" w:line="602" w:lineRule="exact"/>
        <w:rPr>
          <w:sz w:val="20"/>
          <w:szCs w:val="20"/>
          <w:color w:val="auto"/>
        </w:rPr>
      </w:pPr>
    </w:p>
    <w:p>
      <w:pPr>
        <w:sectPr>
          <w:pgSz w:w="11900" w:h="16838" w:orient="portrait"/>
          <w:cols w:equalWidth="0" w:num="2">
            <w:col w:w="6600" w:space="720"/>
            <w:col w:w="3760"/>
          </w:cols>
          <w:pgMar w:left="240" w:top="262" w:right="57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Robert S. Molloy</w:t>
            </w:r>
          </w:p>
        </w:tc>
        <w:tc>
          <w:tcPr>
            <w:tcW w:w="3860" w:type="dxa"/>
            <w:vAlign w:val="bottom"/>
          </w:tcPr>
          <w:p>
            <w:pPr>
              <w:jc w:val="right"/>
              <w:spacing w:after="0"/>
              <w:rPr>
                <w:sz w:val="20"/>
                <w:szCs w:val="20"/>
                <w:color w:val="auto"/>
              </w:rPr>
            </w:pPr>
            <w:r>
              <w:rPr>
                <w:rFonts w:ascii="Arial" w:cs="Arial" w:eastAsia="Arial" w:hAnsi="Arial"/>
                <w:sz w:val="15"/>
                <w:szCs w:val="15"/>
                <w:color w:val="auto"/>
              </w:rPr>
              <w:t>Date: January 7, 2010</w:t>
            </w:r>
          </w:p>
        </w:tc>
      </w:tr>
      <w:tr>
        <w:trPr>
          <w:trHeight w:val="190"/>
        </w:trPr>
        <w:tc>
          <w:tcPr>
            <w:tcW w:w="4800" w:type="dxa"/>
            <w:vAlign w:val="bottom"/>
          </w:tcPr>
          <w:p>
            <w:pPr>
              <w:spacing w:after="0"/>
              <w:rPr>
                <w:sz w:val="20"/>
                <w:szCs w:val="20"/>
                <w:color w:val="auto"/>
              </w:rPr>
            </w:pPr>
            <w:r>
              <w:rPr>
                <w:rFonts w:ascii="Arial" w:cs="Arial" w:eastAsia="Arial" w:hAnsi="Arial"/>
                <w:sz w:val="15"/>
                <w:szCs w:val="15"/>
                <w:color w:val="auto"/>
              </w:rPr>
              <w:t>Robert S. Molloy</w:t>
            </w:r>
          </w:p>
        </w:tc>
        <w:tc>
          <w:tcPr>
            <w:tcW w:w="3860" w:type="dxa"/>
            <w:vAlign w:val="bottom"/>
          </w:tcPr>
          <w:p>
            <w:pPr>
              <w:spacing w:after="0"/>
              <w:rPr>
                <w:sz w:val="16"/>
                <w:szCs w:val="16"/>
                <w:color w:val="auto"/>
              </w:rPr>
            </w:pPr>
          </w:p>
        </w:tc>
      </w:tr>
      <w:tr>
        <w:trPr>
          <w:trHeight w:val="317"/>
        </w:trPr>
        <w:tc>
          <w:tcPr>
            <w:tcW w:w="4800" w:type="dxa"/>
            <w:vAlign w:val="bottom"/>
          </w:tcPr>
          <w:p>
            <w:pPr>
              <w:spacing w:after="0"/>
              <w:rPr>
                <w:sz w:val="24"/>
                <w:szCs w:val="24"/>
                <w:color w:val="auto"/>
              </w:rPr>
            </w:pPr>
          </w:p>
        </w:tc>
        <w:tc>
          <w:tcPr>
            <w:tcW w:w="3860" w:type="dxa"/>
            <w:vAlign w:val="bottom"/>
          </w:tcPr>
          <w:p>
            <w:pPr>
              <w:jc w:val="right"/>
              <w:ind w:right="2784"/>
              <w:spacing w:after="0"/>
              <w:rPr>
                <w:sz w:val="20"/>
                <w:szCs w:val="20"/>
                <w:color w:val="auto"/>
              </w:rPr>
            </w:pPr>
            <w:r>
              <w:rPr>
                <w:rFonts w:ascii="Arial" w:cs="Arial" w:eastAsia="Arial" w:hAnsi="Arial"/>
                <w:sz w:val="15"/>
                <w:szCs w:val="15"/>
                <w:color w:val="auto"/>
              </w:rPr>
              <w:t>14</w:t>
            </w:r>
          </w:p>
        </w:tc>
      </w:tr>
    </w:tbl>
    <w:p>
      <w:pPr>
        <w:sectPr>
          <w:pgSz w:w="11900" w:h="16838" w:orient="portrait"/>
          <w:cols w:equalWidth="0" w:num="1">
            <w:col w:w="11080"/>
          </w:cols>
          <w:pgMar w:left="240" w:top="262" w:right="579" w:bottom="1440" w:gutter="0" w:footer="0" w:header="0"/>
          <w:type w:val="continuous"/>
        </w:sectPr>
      </w:pPr>
    </w:p>
    <w:bookmarkStart w:id="35" w:name="page36"/>
    <w:bookmarkEnd w:id="35"/>
    <w:p>
      <w:pPr>
        <w:jc w:val="center"/>
        <w:ind w:right="-25"/>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5040" cy="34925"/>
                    </a:xfrm>
                    <a:prstGeom prst="rect">
                      <a:avLst/>
                    </a:prstGeom>
                    <a:noFill/>
                  </pic:spPr>
                </pic:pic>
              </a:graphicData>
            </a:graphic>
          </wp:anchor>
        </w:drawing>
        <w:t>EXHIBIT A</w:t>
      </w:r>
    </w:p>
    <w:p>
      <w:pPr>
        <w:spacing w:after="0" w:line="2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i w:val="1"/>
          <w:iCs w:val="1"/>
          <w:color w:val="auto"/>
        </w:rPr>
        <w:t>FORM OF RELEASE</w:t>
      </w:r>
    </w:p>
    <w:p>
      <w:pPr>
        <w:spacing w:after="0" w:line="150"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i w:val="1"/>
          <w:iCs w:val="1"/>
          <w:color w:val="auto"/>
        </w:rPr>
        <w:t>GENERAL RELEASE OF CLAIMS</w:t>
      </w:r>
    </w:p>
    <w:p>
      <w:pPr>
        <w:spacing w:after="0" w:line="156" w:lineRule="exact"/>
        <w:rPr>
          <w:sz w:val="20"/>
          <w:szCs w:val="20"/>
          <w:color w:val="auto"/>
        </w:rPr>
      </w:pPr>
    </w:p>
    <w:p>
      <w:pPr>
        <w:ind w:left="6" w:firstLine="451"/>
        <w:spacing w:after="0" w:line="280" w:lineRule="auto"/>
        <w:tabs>
          <w:tab w:leader="none" w:pos="616" w:val="left"/>
        </w:tabs>
        <w:numPr>
          <w:ilvl w:val="1"/>
          <w:numId w:val="98"/>
        </w:numPr>
        <w:rPr>
          <w:rFonts w:ascii="Arial" w:cs="Arial" w:eastAsia="Arial" w:hAnsi="Arial"/>
          <w:sz w:val="14"/>
          <w:szCs w:val="14"/>
          <w:color w:val="auto"/>
        </w:rPr>
      </w:pPr>
      <w:r>
        <w:rPr>
          <w:rFonts w:ascii="Arial" w:cs="Arial" w:eastAsia="Arial" w:hAnsi="Arial"/>
          <w:sz w:val="14"/>
          <w:szCs w:val="14"/>
          <w:color w:val="auto"/>
        </w:rPr>
        <w:t>Robert S. Molloy (“</w:t>
      </w:r>
      <w:r>
        <w:rPr>
          <w:rFonts w:ascii="Arial" w:cs="Arial" w:eastAsia="Arial" w:hAnsi="Arial"/>
          <w:sz w:val="14"/>
          <w:szCs w:val="14"/>
          <w:u w:val="single" w:color="auto"/>
          <w:color w:val="auto"/>
        </w:rPr>
        <w:t>Executive</w:t>
      </w:r>
      <w:r>
        <w:rPr>
          <w:rFonts w:ascii="Arial" w:cs="Arial" w:eastAsia="Arial" w:hAnsi="Arial"/>
          <w:sz w:val="14"/>
          <w:szCs w:val="14"/>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4"/>
          <w:szCs w:val="14"/>
          <w:u w:val="single" w:color="auto"/>
          <w:color w:val="auto"/>
        </w:rPr>
        <w:t>Employment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does hereby release and forever discharge Casual Male Retail Group, Inc. (the “</w:t>
      </w:r>
      <w:r>
        <w:rPr>
          <w:rFonts w:ascii="Arial" w:cs="Arial" w:eastAsia="Arial" w:hAnsi="Arial"/>
          <w:sz w:val="14"/>
          <w:szCs w:val="14"/>
          <w:u w:val="single" w:color="auto"/>
          <w:color w:val="auto"/>
        </w:rPr>
        <w:t>Company</w:t>
      </w:r>
      <w:r>
        <w:rPr>
          <w:rFonts w:ascii="Arial" w:cs="Arial" w:eastAsia="Arial" w:hAnsi="Arial"/>
          <w:sz w:val="14"/>
          <w:szCs w:val="14"/>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4"/>
          <w:szCs w:val="14"/>
          <w:u w:val="single" w:color="auto"/>
          <w:color w:val="auto"/>
        </w:rPr>
        <w:t>Released Parties</w:t>
      </w:r>
      <w:r>
        <w:rPr>
          <w:rFonts w:ascii="Arial" w:cs="Arial" w:eastAsia="Arial" w:hAnsi="Arial"/>
          <w:sz w:val="14"/>
          <w:szCs w:val="14"/>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4"/>
          <w:szCs w:val="14"/>
          <w:u w:val="single" w:color="auto"/>
          <w:color w:val="auto"/>
        </w:rPr>
        <w:t>ADEA</w:t>
      </w:r>
      <w:r>
        <w:rPr>
          <w:rFonts w:ascii="Arial" w:cs="Arial" w:eastAsia="Arial" w:hAnsi="Arial"/>
          <w:sz w:val="14"/>
          <w:szCs w:val="14"/>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w:t>
      </w:r>
    </w:p>
    <w:p>
      <w:pPr>
        <w:spacing w:after="0" w:line="7" w:lineRule="exact"/>
        <w:rPr>
          <w:rFonts w:ascii="Arial" w:cs="Arial" w:eastAsia="Arial" w:hAnsi="Arial"/>
          <w:sz w:val="14"/>
          <w:szCs w:val="14"/>
          <w:color w:val="auto"/>
        </w:rPr>
      </w:pPr>
    </w:p>
    <w:p>
      <w:pPr>
        <w:ind w:left="6" w:hanging="6"/>
        <w:spacing w:after="0" w:line="268" w:lineRule="auto"/>
        <w:tabs>
          <w:tab w:leader="none" w:pos="222" w:val="left"/>
        </w:tabs>
        <w:numPr>
          <w:ilvl w:val="0"/>
          <w:numId w:val="99"/>
        </w:numPr>
        <w:rPr>
          <w:rFonts w:ascii="Arial" w:cs="Arial" w:eastAsia="Arial" w:hAnsi="Arial"/>
          <w:sz w:val="15"/>
          <w:szCs w:val="15"/>
          <w:color w:val="auto"/>
        </w:rPr>
      </w:pPr>
      <w:r>
        <w:rPr>
          <w:rFonts w:ascii="Arial" w:cs="Arial" w:eastAsia="Arial" w:hAnsi="Arial"/>
          <w:sz w:val="15"/>
          <w:szCs w:val="15"/>
          <w:color w:val="auto"/>
        </w:rPr>
        <w:t>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04"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06"/>
          </w:cols>
          <w:pgMar w:left="234" w:top="262" w:right="259" w:bottom="1440" w:gutter="0" w:footer="0" w:header="0"/>
        </w:sectPr>
      </w:pPr>
    </w:p>
    <w:bookmarkStart w:id="36" w:name="page37"/>
    <w:bookmarkEnd w:id="36"/>
    <w:p>
      <w:pPr>
        <w:ind w:left="-40" w:firstLine="451"/>
        <w:spacing w:after="0" w:line="268" w:lineRule="auto"/>
        <w:tabs>
          <w:tab w:leader="none" w:pos="570" w:val="left"/>
        </w:tabs>
        <w:numPr>
          <w:ilvl w:val="0"/>
          <w:numId w:val="10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5040" cy="34925"/>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5"/>
          <w:szCs w:val="15"/>
          <w:u w:val="single" w:color="auto"/>
          <w:color w:val="auto"/>
        </w:rPr>
        <w:t>Proceeding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Executive shall not have relinquished his right to commence a Proceeding to challenge whether Executive knowingly and voluntarily waived his rights under ADEA.</w:t>
      </w:r>
    </w:p>
    <w:p>
      <w:pPr>
        <w:spacing w:after="0" w:line="117" w:lineRule="exact"/>
        <w:rPr>
          <w:rFonts w:ascii="Arial" w:cs="Arial" w:eastAsia="Arial" w:hAnsi="Arial"/>
          <w:sz w:val="15"/>
          <w:szCs w:val="15"/>
          <w:color w:val="auto"/>
        </w:rPr>
      </w:pPr>
    </w:p>
    <w:p>
      <w:pPr>
        <w:ind w:left="-40" w:right="120" w:firstLine="451"/>
        <w:spacing w:after="0" w:line="276" w:lineRule="auto"/>
        <w:tabs>
          <w:tab w:leader="none" w:pos="57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09" w:lineRule="exact"/>
        <w:rPr>
          <w:rFonts w:ascii="Arial" w:cs="Arial" w:eastAsia="Arial" w:hAnsi="Arial"/>
          <w:sz w:val="15"/>
          <w:szCs w:val="15"/>
          <w:color w:val="auto"/>
        </w:rPr>
      </w:pPr>
    </w:p>
    <w:p>
      <w:pPr>
        <w:ind w:left="-40" w:right="280" w:firstLine="451"/>
        <w:spacing w:after="0" w:line="291" w:lineRule="auto"/>
        <w:tabs>
          <w:tab w:leader="none" w:pos="57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98" w:lineRule="exact"/>
        <w:rPr>
          <w:rFonts w:ascii="Arial" w:cs="Arial" w:eastAsia="Arial" w:hAnsi="Arial"/>
          <w:sz w:val="15"/>
          <w:szCs w:val="15"/>
          <w:color w:val="auto"/>
        </w:rPr>
      </w:pPr>
    </w:p>
    <w:p>
      <w:pPr>
        <w:ind w:left="-40" w:firstLine="451"/>
        <w:spacing w:after="0" w:line="291" w:lineRule="auto"/>
        <w:tabs>
          <w:tab w:leader="none" w:pos="57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98" w:lineRule="exact"/>
        <w:rPr>
          <w:rFonts w:ascii="Arial" w:cs="Arial" w:eastAsia="Arial" w:hAnsi="Arial"/>
          <w:sz w:val="15"/>
          <w:szCs w:val="15"/>
          <w:color w:val="auto"/>
        </w:rPr>
      </w:pPr>
    </w:p>
    <w:p>
      <w:pPr>
        <w:ind w:left="-40" w:right="160" w:firstLine="451"/>
        <w:spacing w:after="0" w:line="291" w:lineRule="auto"/>
        <w:tabs>
          <w:tab w:leader="none" w:pos="57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320675</wp:posOffset>
            </wp:positionV>
            <wp:extent cx="290131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01315" cy="76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Robert S. Molloy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340"/>
          </w:cols>
          <w:pgMar w:left="280" w:top="262" w:right="279" w:bottom="1440" w:gutter="0" w:footer="0" w:header="0"/>
        </w:sectPr>
      </w:pPr>
    </w:p>
    <w:bookmarkStart w:id="37" w:name="page38"/>
    <w:bookmarkEnd w:id="37"/>
    <w:p>
      <w:pPr>
        <w:ind w:left="89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222885</wp:posOffset>
            </wp:positionH>
            <wp:positionV relativeFrom="page">
              <wp:posOffset>163195</wp:posOffset>
            </wp:positionV>
            <wp:extent cx="7167245" cy="5377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167245" cy="5377180"/>
                    </a:xfrm>
                    <a:prstGeom prst="rect">
                      <a:avLst/>
                    </a:prstGeom>
                    <a:noFill/>
                  </pic:spPr>
                </pic:pic>
              </a:graphicData>
            </a:graphic>
          </wp:anchor>
        </w:drawing>
        <w:t>Exhibit 99.1</w:t>
      </w:r>
    </w:p>
    <w:p>
      <w:pPr>
        <w:sectPr>
          <w:pgSz w:w="11900" w:h="16838" w:orient="portrait"/>
          <w:cols w:equalWidth="0" w:num="1">
            <w:col w:w="9960"/>
          </w:cols>
          <w:pgMar w:left="1440" w:top="380" w:right="499" w:bottom="1440" w:gutter="0" w:footer="0" w:header="0"/>
        </w:sectPr>
      </w:pPr>
    </w:p>
    <w:bookmarkStart w:id="38" w:name="page39"/>
    <w:bookmarkEnd w:id="38"/>
    <w:p>
      <w:pPr>
        <w:ind w:left="616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Big &amp; Tall Market</w:t>
      </w:r>
    </w:p>
    <w:p>
      <w:pPr>
        <w:spacing w:after="0" w:line="200" w:lineRule="exact"/>
        <w:rPr>
          <w:sz w:val="20"/>
          <w:szCs w:val="20"/>
          <w:color w:val="auto"/>
        </w:rPr>
      </w:pPr>
    </w:p>
    <w:p>
      <w:pPr>
        <w:spacing w:after="0" w:line="350" w:lineRule="exact"/>
        <w:rPr>
          <w:sz w:val="20"/>
          <w:szCs w:val="20"/>
          <w:color w:val="auto"/>
        </w:rPr>
      </w:pPr>
    </w:p>
    <w:p>
      <w:pPr>
        <w:ind w:left="420" w:hanging="419"/>
        <w:spacing w:after="0"/>
        <w:tabs>
          <w:tab w:leader="none" w:pos="420" w:val="left"/>
        </w:tabs>
        <w:numPr>
          <w:ilvl w:val="0"/>
          <w:numId w:val="101"/>
        </w:numPr>
        <w:rPr>
          <w:rFonts w:ascii="Arial" w:cs="Arial" w:eastAsia="Arial" w:hAnsi="Arial"/>
          <w:sz w:val="38"/>
          <w:szCs w:val="38"/>
          <w:color w:val="E75518"/>
        </w:rPr>
      </w:pPr>
      <w:r>
        <w:rPr>
          <w:rFonts w:ascii="Arial" w:cs="Arial" w:eastAsia="Arial" w:hAnsi="Arial"/>
          <w:sz w:val="38"/>
          <w:szCs w:val="38"/>
          <w:color w:val="FFFFFF"/>
        </w:rPr>
        <w:t>Market defined as:</w:t>
      </w:r>
    </w:p>
    <w:p>
      <w:pPr>
        <w:spacing w:after="0" w:line="103" w:lineRule="exact"/>
        <w:rPr>
          <w:sz w:val="20"/>
          <w:szCs w:val="20"/>
          <w:color w:val="auto"/>
        </w:rPr>
      </w:pPr>
    </w:p>
    <w:p>
      <w:pPr>
        <w:ind w:left="560"/>
        <w:spacing w:after="0"/>
        <w:tabs>
          <w:tab w:leader="none" w:pos="6520" w:val="left"/>
        </w:tabs>
        <w:rPr>
          <w:sz w:val="20"/>
          <w:szCs w:val="20"/>
          <w:color w:val="auto"/>
        </w:rPr>
      </w:pPr>
      <w:r>
        <w:rPr>
          <w:rFonts w:ascii="Arial" w:cs="Arial" w:eastAsia="Arial" w:hAnsi="Arial"/>
          <w:sz w:val="38"/>
          <w:szCs w:val="38"/>
          <w:color w:val="E75518"/>
        </w:rPr>
        <w:t xml:space="preserve">– </w:t>
      </w:r>
      <w:r>
        <w:rPr>
          <w:rFonts w:ascii="Arial" w:cs="Arial" w:eastAsia="Arial" w:hAnsi="Arial"/>
          <w:sz w:val="38"/>
          <w:szCs w:val="38"/>
          <w:color w:val="FFFFFF"/>
        </w:rPr>
        <w:t>big = waist size between 40”</w:t>
      </w:r>
      <w:r>
        <w:rPr>
          <w:sz w:val="20"/>
          <w:szCs w:val="20"/>
          <w:color w:val="auto"/>
        </w:rPr>
        <w:tab/>
      </w:r>
      <w:r>
        <w:rPr>
          <w:rFonts w:ascii="Arial" w:cs="Arial" w:eastAsia="Arial" w:hAnsi="Arial"/>
          <w:sz w:val="37"/>
          <w:szCs w:val="37"/>
          <w:color w:val="FFFFFF"/>
        </w:rPr>
        <w:t>and 70”</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38"/>
          <w:szCs w:val="38"/>
          <w:color w:val="E75518"/>
        </w:rPr>
        <w:t xml:space="preserve">– </w:t>
      </w:r>
      <w:r>
        <w:rPr>
          <w:rFonts w:ascii="Arial" w:cs="Arial" w:eastAsia="Arial" w:hAnsi="Arial"/>
          <w:sz w:val="38"/>
          <w:szCs w:val="38"/>
          <w:color w:val="FFFFFF"/>
        </w:rPr>
        <w:t>tall = height over 6’2”</w:t>
      </w:r>
    </w:p>
    <w:p>
      <w:pPr>
        <w:spacing w:after="0" w:line="103" w:lineRule="exact"/>
        <w:rPr>
          <w:sz w:val="20"/>
          <w:szCs w:val="20"/>
          <w:color w:val="auto"/>
        </w:rPr>
      </w:pPr>
    </w:p>
    <w:p>
      <w:pPr>
        <w:ind w:left="420" w:right="1540" w:hanging="419"/>
        <w:spacing w:after="0" w:line="259" w:lineRule="auto"/>
        <w:tabs>
          <w:tab w:leader="none" w:pos="420" w:val="left"/>
        </w:tabs>
        <w:numPr>
          <w:ilvl w:val="0"/>
          <w:numId w:val="102"/>
        </w:numPr>
        <w:rPr>
          <w:rFonts w:ascii="Arial" w:cs="Arial" w:eastAsia="Arial" w:hAnsi="Arial"/>
          <w:sz w:val="38"/>
          <w:szCs w:val="38"/>
          <w:color w:val="E75518"/>
        </w:rPr>
      </w:pPr>
      <w:r>
        <w:rPr>
          <w:rFonts w:ascii="Arial" w:cs="Arial" w:eastAsia="Arial" w:hAnsi="Arial"/>
          <w:sz w:val="38"/>
          <w:szCs w:val="38"/>
          <w:color w:val="FFFFFF"/>
        </w:rPr>
        <w:t>Big and tall men account for approximately 11% of the male population.</w:t>
      </w:r>
    </w:p>
    <w:p>
      <w:pPr>
        <w:spacing w:after="0" w:line="55" w:lineRule="exact"/>
        <w:rPr>
          <w:rFonts w:ascii="Arial" w:cs="Arial" w:eastAsia="Arial" w:hAnsi="Arial"/>
          <w:sz w:val="38"/>
          <w:szCs w:val="38"/>
          <w:color w:val="E75518"/>
        </w:rPr>
      </w:pPr>
    </w:p>
    <w:p>
      <w:pPr>
        <w:ind w:left="420" w:right="1520" w:hanging="419"/>
        <w:spacing w:after="0" w:line="249" w:lineRule="auto"/>
        <w:tabs>
          <w:tab w:leader="none" w:pos="420" w:val="left"/>
        </w:tabs>
        <w:numPr>
          <w:ilvl w:val="0"/>
          <w:numId w:val="102"/>
        </w:numPr>
        <w:rPr>
          <w:rFonts w:ascii="Arial" w:cs="Arial" w:eastAsia="Arial" w:hAnsi="Arial"/>
          <w:sz w:val="38"/>
          <w:szCs w:val="38"/>
          <w:color w:val="E75518"/>
        </w:rPr>
      </w:pPr>
      <w:r>
        <w:rPr>
          <w:rFonts w:ascii="Arial" w:cs="Arial" w:eastAsia="Arial" w:hAnsi="Arial"/>
          <w:sz w:val="38"/>
          <w:szCs w:val="38"/>
          <w:color w:val="FFFFFF"/>
        </w:rPr>
        <w:t>Big and tall market size is approximately $6 billion and growing at almost twice the rate of the regular size men’s apparel market.</w:t>
      </w:r>
    </w:p>
    <w:p>
      <w:pPr>
        <w:spacing w:after="0" w:line="72" w:lineRule="exact"/>
        <w:rPr>
          <w:rFonts w:ascii="Arial" w:cs="Arial" w:eastAsia="Arial" w:hAnsi="Arial"/>
          <w:sz w:val="38"/>
          <w:szCs w:val="38"/>
          <w:color w:val="E75518"/>
        </w:rPr>
      </w:pPr>
    </w:p>
    <w:p>
      <w:pPr>
        <w:jc w:val="right"/>
        <w:ind w:left="920" w:right="2380" w:hanging="352"/>
        <w:spacing w:after="0" w:line="273" w:lineRule="auto"/>
        <w:rPr>
          <w:rFonts w:ascii="Arial" w:cs="Arial" w:eastAsia="Arial" w:hAnsi="Arial"/>
          <w:sz w:val="38"/>
          <w:szCs w:val="38"/>
          <w:color w:val="E75518"/>
        </w:rPr>
      </w:pPr>
      <w:r>
        <w:rPr>
          <w:rFonts w:ascii="Arial" w:cs="Arial" w:eastAsia="Arial" w:hAnsi="Arial"/>
          <w:sz w:val="37"/>
          <w:szCs w:val="37"/>
          <w:color w:val="E75518"/>
        </w:rPr>
        <w:t xml:space="preserve">– </w:t>
      </w:r>
      <w:r>
        <w:rPr>
          <w:rFonts w:ascii="Arial" w:cs="Arial" w:eastAsia="Arial" w:hAnsi="Arial"/>
          <w:sz w:val="37"/>
          <w:szCs w:val="37"/>
          <w:color w:val="FFFFFF"/>
        </w:rPr>
        <w:t>Big &amp; tall apparel market is highly fragmented;</w:t>
      </w:r>
      <w:r>
        <w:rPr>
          <w:rFonts w:ascii="Arial" w:cs="Arial" w:eastAsia="Arial" w:hAnsi="Arial"/>
          <w:sz w:val="37"/>
          <w:szCs w:val="37"/>
          <w:color w:val="E75518"/>
        </w:rPr>
        <w:t xml:space="preserve"> </w:t>
      </w:r>
      <w:r>
        <w:rPr>
          <w:rFonts w:ascii="Arial" w:cs="Arial" w:eastAsia="Arial" w:hAnsi="Arial"/>
          <w:sz w:val="37"/>
          <w:szCs w:val="37"/>
          <w:color w:val="FFFFFF"/>
        </w:rPr>
        <w:t>characterized by many small, local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w:t>
      </w:r>
    </w:p>
    <w:p>
      <w:pPr>
        <w:sectPr>
          <w:pgSz w:w="11900" w:h="16838" w:orient="portrait"/>
          <w:cols w:equalWidth="0" w:num="1">
            <w:col w:w="10960"/>
          </w:cols>
          <w:pgMar w:left="480" w:top="849" w:right="459" w:bottom="1440" w:gutter="0" w:footer="0" w:header="0"/>
        </w:sectPr>
      </w:pPr>
    </w:p>
    <w:bookmarkStart w:id="39" w:name="page40"/>
    <w:bookmarkEnd w:id="39"/>
    <w:p>
      <w:pPr>
        <w:ind w:left="6420" w:right="720" w:hanging="5602"/>
        <w:spacing w:after="0" w:line="265" w:lineRule="auto"/>
        <w:rPr>
          <w:sz w:val="20"/>
          <w:szCs w:val="20"/>
          <w:color w:val="auto"/>
        </w:rPr>
      </w:pPr>
      <w:r>
        <w:rPr>
          <w:rFonts w:ascii="Arial" w:cs="Arial" w:eastAsia="Arial" w:hAnsi="Arial"/>
          <w:sz w:val="43"/>
          <w:szCs w:val="43"/>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Market is growing as a percent to total menswear sales</w:t>
      </w:r>
    </w:p>
    <w:p>
      <w:pPr>
        <w:spacing w:after="0" w:line="2" w:lineRule="exact"/>
        <w:rPr>
          <w:sz w:val="20"/>
          <w:szCs w:val="20"/>
          <w:color w:val="auto"/>
        </w:rPr>
      </w:pPr>
    </w:p>
    <w:p>
      <w:pPr>
        <w:ind w:left="4780"/>
        <w:spacing w:after="0"/>
        <w:rPr>
          <w:sz w:val="20"/>
          <w:szCs w:val="20"/>
          <w:color w:val="auto"/>
        </w:rPr>
      </w:pPr>
      <w:r>
        <w:rPr>
          <w:rFonts w:ascii="Arial" w:cs="Arial" w:eastAsia="Arial" w:hAnsi="Arial"/>
          <w:sz w:val="28"/>
          <w:szCs w:val="28"/>
          <w:b w:val="1"/>
          <w:bCs w:val="1"/>
          <w:color w:val="FFFFFF"/>
        </w:rPr>
        <w:t>Obesity Trends* Among U.S. Adults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540" w:type="dxa"/>
            <w:vAlign w:val="bottom"/>
          </w:tcPr>
          <w:p>
            <w:pPr>
              <w:jc w:val="right"/>
              <w:ind w:right="494"/>
              <w:spacing w:after="0"/>
              <w:rPr>
                <w:sz w:val="20"/>
                <w:szCs w:val="20"/>
                <w:color w:val="auto"/>
              </w:rPr>
            </w:pPr>
            <w:r>
              <w:rPr>
                <w:rFonts w:ascii="Arial" w:cs="Arial" w:eastAsia="Arial" w:hAnsi="Arial"/>
                <w:sz w:val="22"/>
                <w:szCs w:val="22"/>
                <w:color w:val="FFFFFF"/>
              </w:rPr>
              <w:t>(*BMI   30, or about 30 lbs overweight)</w:t>
            </w:r>
          </w:p>
        </w:tc>
        <w:tc>
          <w:tcPr>
            <w:tcW w:w="270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558"/>
        </w:trPr>
        <w:tc>
          <w:tcPr>
            <w:tcW w:w="4540" w:type="dxa"/>
            <w:vAlign w:val="bottom"/>
          </w:tcPr>
          <w:p>
            <w:pPr>
              <w:jc w:val="right"/>
              <w:ind w:right="2494"/>
              <w:spacing w:after="0"/>
              <w:rPr>
                <w:sz w:val="20"/>
                <w:szCs w:val="20"/>
                <w:color w:val="auto"/>
              </w:rPr>
            </w:pPr>
            <w:r>
              <w:rPr>
                <w:rFonts w:ascii="Arial" w:cs="Arial" w:eastAsia="Arial" w:hAnsi="Arial"/>
                <w:sz w:val="28"/>
                <w:szCs w:val="28"/>
                <w:color w:val="FFFFFF"/>
              </w:rPr>
              <w:t>1985</w:t>
            </w:r>
          </w:p>
        </w:tc>
        <w:tc>
          <w:tcPr>
            <w:tcW w:w="2700" w:type="dxa"/>
            <w:vAlign w:val="bottom"/>
          </w:tcPr>
          <w:p>
            <w:pPr>
              <w:jc w:val="right"/>
              <w:ind w:right="1379"/>
              <w:spacing w:after="0"/>
              <w:rPr>
                <w:sz w:val="20"/>
                <w:szCs w:val="20"/>
                <w:color w:val="auto"/>
              </w:rPr>
            </w:pPr>
            <w:r>
              <w:rPr>
                <w:rFonts w:ascii="Arial" w:cs="Arial" w:eastAsia="Arial" w:hAnsi="Arial"/>
                <w:sz w:val="28"/>
                <w:szCs w:val="28"/>
                <w:color w:val="FFFFFF"/>
              </w:rPr>
              <w:t>1990</w:t>
            </w:r>
          </w:p>
        </w:tc>
        <w:tc>
          <w:tcPr>
            <w:tcW w:w="2100" w:type="dxa"/>
            <w:vAlign w:val="bottom"/>
          </w:tcPr>
          <w:p>
            <w:pPr>
              <w:jc w:val="right"/>
              <w:spacing w:after="0"/>
              <w:rPr>
                <w:sz w:val="20"/>
                <w:szCs w:val="20"/>
                <w:color w:val="auto"/>
              </w:rPr>
            </w:pPr>
            <w:r>
              <w:rPr>
                <w:rFonts w:ascii="Arial" w:cs="Arial" w:eastAsia="Arial" w:hAnsi="Arial"/>
                <w:sz w:val="28"/>
                <w:szCs w:val="28"/>
                <w:color w:val="FFFFFF"/>
              </w:rPr>
              <w:t>1995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80"/>
        <w:spacing w:after="0"/>
        <w:tabs>
          <w:tab w:leader="none" w:pos="4980" w:val="left"/>
          <w:tab w:leader="none" w:pos="8620" w:val="left"/>
        </w:tabs>
        <w:rPr>
          <w:sz w:val="20"/>
          <w:szCs w:val="20"/>
          <w:color w:val="auto"/>
        </w:rPr>
      </w:pPr>
      <w:r>
        <w:rPr>
          <w:rFonts w:ascii="Arial" w:cs="Arial" w:eastAsia="Arial" w:hAnsi="Arial"/>
          <w:sz w:val="28"/>
          <w:szCs w:val="28"/>
          <w:color w:val="FFFFFF"/>
        </w:rPr>
        <w:t>2000</w:t>
      </w:r>
      <w:r>
        <w:rPr>
          <w:sz w:val="20"/>
          <w:szCs w:val="20"/>
          <w:color w:val="auto"/>
        </w:rPr>
        <w:tab/>
      </w:r>
      <w:r>
        <w:rPr>
          <w:rFonts w:ascii="Arial" w:cs="Arial" w:eastAsia="Arial" w:hAnsi="Arial"/>
          <w:sz w:val="28"/>
          <w:szCs w:val="28"/>
          <w:color w:val="FFFFFF"/>
        </w:rPr>
        <w:t>2005</w:t>
      </w:r>
      <w:r>
        <w:rPr>
          <w:sz w:val="20"/>
          <w:szCs w:val="20"/>
          <w:color w:val="auto"/>
        </w:rPr>
        <w:tab/>
      </w:r>
      <w:r>
        <w:rPr>
          <w:rFonts w:ascii="Arial" w:cs="Arial" w:eastAsia="Arial" w:hAnsi="Arial"/>
          <w:sz w:val="26"/>
          <w:szCs w:val="26"/>
          <w:color w:val="FFFFFF"/>
        </w:rPr>
        <w:t>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00"/>
        <w:spacing w:after="0"/>
        <w:tabs>
          <w:tab w:leader="none" w:pos="2740" w:val="left"/>
          <w:tab w:leader="none" w:pos="4000" w:val="left"/>
          <w:tab w:leader="none" w:pos="6500" w:val="left"/>
          <w:tab w:leader="none" w:pos="8140" w:val="left"/>
        </w:tabs>
        <w:rPr>
          <w:sz w:val="20"/>
          <w:szCs w:val="20"/>
          <w:color w:val="auto"/>
        </w:rPr>
      </w:pPr>
      <w:r>
        <w:rPr>
          <w:rFonts w:ascii="Arial" w:cs="Arial" w:eastAsia="Arial" w:hAnsi="Arial"/>
          <w:sz w:val="22"/>
          <w:szCs w:val="22"/>
          <w:b w:val="1"/>
          <w:bCs w:val="1"/>
          <w:color w:val="FFFFFF"/>
        </w:rPr>
        <w:t>No Data</w:t>
      </w:r>
      <w:r>
        <w:rPr>
          <w:sz w:val="20"/>
          <w:szCs w:val="20"/>
          <w:color w:val="auto"/>
        </w:rPr>
        <w:tab/>
      </w:r>
      <w:r>
        <w:rPr>
          <w:rFonts w:ascii="Arial" w:cs="Arial" w:eastAsia="Arial" w:hAnsi="Arial"/>
          <w:sz w:val="22"/>
          <w:szCs w:val="22"/>
          <w:b w:val="1"/>
          <w:bCs w:val="1"/>
          <w:color w:val="FFFFFF"/>
        </w:rPr>
        <w:t>&lt;10%</w:t>
      </w:r>
      <w:r>
        <w:rPr>
          <w:sz w:val="20"/>
          <w:szCs w:val="20"/>
          <w:color w:val="auto"/>
        </w:rPr>
        <w:tab/>
      </w:r>
      <w:r>
        <w:rPr>
          <w:rFonts w:ascii="Arial" w:cs="Arial" w:eastAsia="Arial" w:hAnsi="Arial"/>
          <w:sz w:val="22"/>
          <w:szCs w:val="22"/>
          <w:b w:val="1"/>
          <w:bCs w:val="1"/>
          <w:color w:val="FFFFFF"/>
        </w:rPr>
        <w:t>10%–14%15%–19%</w:t>
      </w:r>
      <w:r>
        <w:rPr>
          <w:sz w:val="20"/>
          <w:szCs w:val="20"/>
          <w:color w:val="auto"/>
        </w:rPr>
        <w:tab/>
      </w:r>
      <w:r>
        <w:rPr>
          <w:rFonts w:ascii="Arial" w:cs="Arial" w:eastAsia="Arial" w:hAnsi="Arial"/>
          <w:sz w:val="22"/>
          <w:szCs w:val="22"/>
          <w:b w:val="1"/>
          <w:bCs w:val="1"/>
          <w:color w:val="FFFFFF"/>
        </w:rPr>
        <w:t>20%–24%</w:t>
      </w:r>
      <w:r>
        <w:rPr>
          <w:sz w:val="20"/>
          <w:szCs w:val="20"/>
          <w:color w:val="auto"/>
        </w:rPr>
        <w:tab/>
      </w:r>
      <w:r>
        <w:rPr>
          <w:rFonts w:ascii="Arial" w:cs="Arial" w:eastAsia="Arial" w:hAnsi="Arial"/>
          <w:sz w:val="19"/>
          <w:szCs w:val="19"/>
          <w:b w:val="1"/>
          <w:bCs w:val="1"/>
          <w:color w:val="FFFFFF"/>
        </w:rPr>
        <w:t>25%–29%30%</w:t>
      </w:r>
    </w:p>
    <w:p>
      <w:pPr>
        <w:spacing w:after="0" w:line="224" w:lineRule="exact"/>
        <w:rPr>
          <w:sz w:val="20"/>
          <w:szCs w:val="20"/>
          <w:color w:val="auto"/>
        </w:rPr>
      </w:pPr>
    </w:p>
    <w:p>
      <w:pPr>
        <w:ind w:left="9380"/>
        <w:spacing w:after="0"/>
        <w:rPr>
          <w:sz w:val="20"/>
          <w:szCs w:val="20"/>
          <w:color w:val="auto"/>
        </w:rPr>
      </w:pPr>
      <w:r>
        <w:rPr>
          <w:rFonts w:ascii="Arial" w:cs="Arial" w:eastAsia="Arial" w:hAnsi="Arial"/>
          <w:sz w:val="13"/>
          <w:szCs w:val="13"/>
          <w:color w:val="FFFFFF"/>
        </w:rPr>
        <w:t>Source: CDC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w:t>
      </w:r>
    </w:p>
    <w:p>
      <w:pPr>
        <w:sectPr>
          <w:pgSz w:w="11900" w:h="16838" w:orient="portrait"/>
          <w:cols w:equalWidth="0" w:num="1">
            <w:col w:w="10480"/>
          </w:cols>
          <w:pgMar w:left="960" w:top="632" w:right="459" w:bottom="1440" w:gutter="0" w:footer="0" w:header="0"/>
        </w:sectPr>
      </w:pPr>
    </w:p>
    <w:bookmarkStart w:id="40" w:name="page41"/>
    <w:bookmarkEnd w:id="40"/>
    <w:p>
      <w:pPr>
        <w:ind w:left="42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Selected Income Statement Information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3000" w:type="dxa"/>
            <w:vAlign w:val="bottom"/>
          </w:tcPr>
          <w:p>
            <w:pPr>
              <w:spacing w:after="0"/>
              <w:rPr>
                <w:sz w:val="24"/>
                <w:szCs w:val="24"/>
                <w:color w:val="auto"/>
              </w:rPr>
            </w:pPr>
          </w:p>
        </w:tc>
        <w:tc>
          <w:tcPr>
            <w:tcW w:w="3300" w:type="dxa"/>
            <w:vAlign w:val="bottom"/>
            <w:gridSpan w:val="2"/>
          </w:tcPr>
          <w:p>
            <w:pPr>
              <w:jc w:val="center"/>
              <w:ind w:right="99"/>
              <w:spacing w:after="0"/>
              <w:rPr>
                <w:sz w:val="20"/>
                <w:szCs w:val="20"/>
                <w:color w:val="auto"/>
              </w:rPr>
            </w:pPr>
            <w:r>
              <w:rPr>
                <w:rFonts w:ascii="Arial" w:cs="Arial" w:eastAsia="Arial" w:hAnsi="Arial"/>
                <w:sz w:val="28"/>
                <w:szCs w:val="28"/>
                <w:b w:val="1"/>
                <w:bCs w:val="1"/>
                <w:i w:val="1"/>
                <w:iCs w:val="1"/>
                <w:color w:val="FFFFFF"/>
              </w:rPr>
              <w:t>2009 Projected</w:t>
            </w:r>
          </w:p>
        </w:tc>
        <w:tc>
          <w:tcPr>
            <w:tcW w:w="2120" w:type="dxa"/>
            <w:vAlign w:val="bottom"/>
          </w:tcPr>
          <w:p>
            <w:pPr>
              <w:jc w:val="center"/>
              <w:spacing w:after="0"/>
              <w:rPr>
                <w:sz w:val="20"/>
                <w:szCs w:val="20"/>
                <w:color w:val="auto"/>
              </w:rPr>
            </w:pPr>
            <w:r>
              <w:rPr>
                <w:rFonts w:ascii="Arial" w:cs="Arial" w:eastAsia="Arial" w:hAnsi="Arial"/>
                <w:sz w:val="28"/>
                <w:szCs w:val="28"/>
                <w:b w:val="1"/>
                <w:bCs w:val="1"/>
                <w:i w:val="1"/>
                <w:iCs w:val="1"/>
                <w:color w:val="FFFFFF"/>
                <w:w w:val="99"/>
              </w:rPr>
              <w:t>2008</w:t>
            </w:r>
          </w:p>
        </w:tc>
        <w:tc>
          <w:tcPr>
            <w:tcW w:w="1680" w:type="dxa"/>
            <w:vAlign w:val="bottom"/>
          </w:tcPr>
          <w:p>
            <w:pPr>
              <w:jc w:val="center"/>
              <w:ind w:left="439"/>
              <w:spacing w:after="0"/>
              <w:rPr>
                <w:sz w:val="20"/>
                <w:szCs w:val="20"/>
                <w:color w:val="auto"/>
              </w:rPr>
            </w:pPr>
            <w:r>
              <w:rPr>
                <w:rFonts w:ascii="Arial" w:cs="Arial" w:eastAsia="Arial" w:hAnsi="Arial"/>
                <w:sz w:val="28"/>
                <w:szCs w:val="28"/>
                <w:b w:val="1"/>
                <w:bCs w:val="1"/>
                <w:i w:val="1"/>
                <w:iCs w:val="1"/>
                <w:color w:val="FFFFFF"/>
                <w:w w:val="99"/>
              </w:rPr>
              <w:t>2007</w:t>
            </w:r>
          </w:p>
        </w:tc>
      </w:tr>
      <w:tr>
        <w:trPr>
          <w:trHeight w:val="599"/>
        </w:trPr>
        <w:tc>
          <w:tcPr>
            <w:tcW w:w="3000" w:type="dxa"/>
            <w:vAlign w:val="bottom"/>
          </w:tcPr>
          <w:p>
            <w:pPr>
              <w:ind w:left="1100"/>
              <w:spacing w:after="0"/>
              <w:rPr>
                <w:sz w:val="20"/>
                <w:szCs w:val="20"/>
                <w:color w:val="auto"/>
              </w:rPr>
            </w:pPr>
            <w:r>
              <w:rPr>
                <w:rFonts w:ascii="Arial" w:cs="Arial" w:eastAsia="Arial" w:hAnsi="Arial"/>
                <w:sz w:val="28"/>
                <w:szCs w:val="28"/>
                <w:b w:val="1"/>
                <w:bCs w:val="1"/>
                <w:i w:val="1"/>
                <w:iCs w:val="1"/>
                <w:color w:val="FFFFFF"/>
              </w:rPr>
              <w:t>Sales</w:t>
            </w:r>
          </w:p>
        </w:tc>
        <w:tc>
          <w:tcPr>
            <w:tcW w:w="3300" w:type="dxa"/>
            <w:vAlign w:val="bottom"/>
            <w:gridSpan w:val="2"/>
          </w:tcPr>
          <w:p>
            <w:pPr>
              <w:jc w:val="center"/>
              <w:ind w:right="99"/>
              <w:spacing w:after="0"/>
              <w:rPr>
                <w:sz w:val="20"/>
                <w:szCs w:val="20"/>
                <w:color w:val="auto"/>
              </w:rPr>
            </w:pPr>
            <w:r>
              <w:rPr>
                <w:rFonts w:ascii="Arial" w:cs="Arial" w:eastAsia="Arial" w:hAnsi="Arial"/>
                <w:sz w:val="28"/>
                <w:szCs w:val="28"/>
                <w:color w:val="FFFFFF"/>
              </w:rPr>
              <w:t>-11.0% to -12.0%</w:t>
            </w:r>
          </w:p>
        </w:tc>
        <w:tc>
          <w:tcPr>
            <w:tcW w:w="2120" w:type="dxa"/>
            <w:vAlign w:val="bottom"/>
          </w:tcPr>
          <w:p>
            <w:pPr>
              <w:jc w:val="center"/>
              <w:spacing w:after="0"/>
              <w:rPr>
                <w:sz w:val="20"/>
                <w:szCs w:val="20"/>
                <w:color w:val="auto"/>
              </w:rPr>
            </w:pPr>
            <w:r>
              <w:rPr>
                <w:rFonts w:ascii="Arial" w:cs="Arial" w:eastAsia="Arial" w:hAnsi="Arial"/>
                <w:sz w:val="28"/>
                <w:szCs w:val="28"/>
                <w:color w:val="FFFFFF"/>
              </w:rPr>
              <w:t>$444.2m</w:t>
            </w:r>
          </w:p>
        </w:tc>
        <w:tc>
          <w:tcPr>
            <w:tcW w:w="1680" w:type="dxa"/>
            <w:vAlign w:val="bottom"/>
          </w:tcPr>
          <w:p>
            <w:pPr>
              <w:jc w:val="center"/>
              <w:ind w:left="439"/>
              <w:spacing w:after="0"/>
              <w:rPr>
                <w:sz w:val="20"/>
                <w:szCs w:val="20"/>
                <w:color w:val="auto"/>
              </w:rPr>
            </w:pPr>
            <w:r>
              <w:rPr>
                <w:rFonts w:ascii="Arial" w:cs="Arial" w:eastAsia="Arial" w:hAnsi="Arial"/>
                <w:sz w:val="28"/>
                <w:szCs w:val="28"/>
                <w:color w:val="FFFFFF"/>
              </w:rPr>
              <w:t>$464.1m</w:t>
            </w:r>
          </w:p>
        </w:tc>
      </w:tr>
      <w:tr>
        <w:trPr>
          <w:trHeight w:val="599"/>
        </w:trPr>
        <w:tc>
          <w:tcPr>
            <w:tcW w:w="3000" w:type="dxa"/>
            <w:vAlign w:val="bottom"/>
          </w:tcPr>
          <w:p>
            <w:pPr>
              <w:ind w:left="1060"/>
              <w:spacing w:after="0"/>
              <w:rPr>
                <w:sz w:val="20"/>
                <w:szCs w:val="20"/>
                <w:color w:val="auto"/>
              </w:rPr>
            </w:pPr>
            <w:r>
              <w:rPr>
                <w:rFonts w:ascii="Arial" w:cs="Arial" w:eastAsia="Arial" w:hAnsi="Arial"/>
                <w:sz w:val="28"/>
                <w:szCs w:val="28"/>
                <w:b w:val="1"/>
                <w:bCs w:val="1"/>
                <w:i w:val="1"/>
                <w:iCs w:val="1"/>
                <w:color w:val="FFFFFF"/>
              </w:rPr>
              <w:t>SG&amp;A</w:t>
            </w:r>
          </w:p>
        </w:tc>
        <w:tc>
          <w:tcPr>
            <w:tcW w:w="3300" w:type="dxa"/>
            <w:vAlign w:val="bottom"/>
            <w:gridSpan w:val="2"/>
          </w:tcPr>
          <w:p>
            <w:pPr>
              <w:jc w:val="center"/>
              <w:spacing w:after="0"/>
              <w:rPr>
                <w:sz w:val="20"/>
                <w:szCs w:val="20"/>
                <w:color w:val="auto"/>
              </w:rPr>
            </w:pPr>
            <w:r>
              <w:rPr>
                <w:rFonts w:ascii="Arial" w:cs="Arial" w:eastAsia="Arial" w:hAnsi="Arial"/>
                <w:sz w:val="28"/>
                <w:szCs w:val="28"/>
                <w:color w:val="FFFFFF"/>
                <w:w w:val="99"/>
              </w:rPr>
              <w:t>$152.0m</w:t>
            </w:r>
          </w:p>
        </w:tc>
        <w:tc>
          <w:tcPr>
            <w:tcW w:w="2120" w:type="dxa"/>
            <w:vAlign w:val="bottom"/>
          </w:tcPr>
          <w:p>
            <w:pPr>
              <w:jc w:val="center"/>
              <w:spacing w:after="0"/>
              <w:rPr>
                <w:sz w:val="20"/>
                <w:szCs w:val="20"/>
                <w:color w:val="auto"/>
              </w:rPr>
            </w:pPr>
            <w:r>
              <w:rPr>
                <w:rFonts w:ascii="Arial" w:cs="Arial" w:eastAsia="Arial" w:hAnsi="Arial"/>
                <w:sz w:val="28"/>
                <w:szCs w:val="28"/>
                <w:color w:val="FFFFFF"/>
              </w:rPr>
              <w:t>$178.1m</w:t>
            </w:r>
          </w:p>
        </w:tc>
        <w:tc>
          <w:tcPr>
            <w:tcW w:w="1680" w:type="dxa"/>
            <w:vAlign w:val="bottom"/>
          </w:tcPr>
          <w:p>
            <w:pPr>
              <w:jc w:val="center"/>
              <w:ind w:left="439"/>
              <w:spacing w:after="0"/>
              <w:rPr>
                <w:sz w:val="20"/>
                <w:szCs w:val="20"/>
                <w:color w:val="auto"/>
              </w:rPr>
            </w:pPr>
            <w:r>
              <w:rPr>
                <w:rFonts w:ascii="Arial" w:cs="Arial" w:eastAsia="Arial" w:hAnsi="Arial"/>
                <w:sz w:val="28"/>
                <w:szCs w:val="28"/>
                <w:color w:val="FFFFFF"/>
              </w:rPr>
              <w:t>$178.1m</w:t>
            </w:r>
          </w:p>
        </w:tc>
      </w:tr>
      <w:tr>
        <w:trPr>
          <w:trHeight w:val="599"/>
        </w:trPr>
        <w:tc>
          <w:tcPr>
            <w:tcW w:w="3000" w:type="dxa"/>
            <w:vAlign w:val="bottom"/>
          </w:tcPr>
          <w:p>
            <w:pPr>
              <w:jc w:val="center"/>
              <w:ind w:right="119"/>
              <w:spacing w:after="0"/>
              <w:rPr>
                <w:sz w:val="20"/>
                <w:szCs w:val="20"/>
                <w:color w:val="auto"/>
              </w:rPr>
            </w:pPr>
            <w:r>
              <w:rPr>
                <w:rFonts w:ascii="Arial" w:cs="Arial" w:eastAsia="Arial" w:hAnsi="Arial"/>
                <w:sz w:val="28"/>
                <w:szCs w:val="28"/>
                <w:b w:val="1"/>
                <w:bCs w:val="1"/>
                <w:i w:val="1"/>
                <w:iCs w:val="1"/>
                <w:color w:val="FFFFFF"/>
              </w:rPr>
              <w:t>Gross Margin</w:t>
            </w:r>
          </w:p>
        </w:tc>
        <w:tc>
          <w:tcPr>
            <w:tcW w:w="1760" w:type="dxa"/>
            <w:vAlign w:val="bottom"/>
          </w:tcPr>
          <w:p>
            <w:pPr>
              <w:jc w:val="right"/>
              <w:spacing w:after="0"/>
              <w:rPr>
                <w:sz w:val="20"/>
                <w:szCs w:val="20"/>
                <w:color w:val="auto"/>
              </w:rPr>
            </w:pPr>
            <w:r>
              <w:rPr>
                <w:rFonts w:ascii="Arial" w:cs="Arial" w:eastAsia="Arial" w:hAnsi="Arial"/>
                <w:sz w:val="28"/>
                <w:szCs w:val="28"/>
                <w:color w:val="FFFFFF"/>
              </w:rPr>
              <w:t>43.7% -</w:t>
            </w:r>
          </w:p>
        </w:tc>
        <w:tc>
          <w:tcPr>
            <w:tcW w:w="1540" w:type="dxa"/>
            <w:vAlign w:val="bottom"/>
          </w:tcPr>
          <w:p>
            <w:pPr>
              <w:ind w:left="140"/>
              <w:spacing w:after="0"/>
              <w:rPr>
                <w:sz w:val="20"/>
                <w:szCs w:val="20"/>
                <w:color w:val="auto"/>
              </w:rPr>
            </w:pPr>
            <w:r>
              <w:rPr>
                <w:rFonts w:ascii="Arial" w:cs="Arial" w:eastAsia="Arial" w:hAnsi="Arial"/>
                <w:sz w:val="28"/>
                <w:szCs w:val="28"/>
                <w:color w:val="FFFFFF"/>
              </w:rPr>
              <w:t>44.2%</w:t>
            </w:r>
          </w:p>
        </w:tc>
        <w:tc>
          <w:tcPr>
            <w:tcW w:w="2120" w:type="dxa"/>
            <w:vAlign w:val="bottom"/>
          </w:tcPr>
          <w:p>
            <w:pPr>
              <w:jc w:val="right"/>
              <w:ind w:right="579"/>
              <w:spacing w:after="0"/>
              <w:rPr>
                <w:sz w:val="20"/>
                <w:szCs w:val="20"/>
                <w:color w:val="auto"/>
              </w:rPr>
            </w:pPr>
            <w:r>
              <w:rPr>
                <w:rFonts w:ascii="Arial" w:cs="Arial" w:eastAsia="Arial" w:hAnsi="Arial"/>
                <w:sz w:val="28"/>
                <w:szCs w:val="28"/>
                <w:color w:val="FFFFFF"/>
              </w:rPr>
              <w:t>42.7%</w:t>
            </w:r>
          </w:p>
        </w:tc>
        <w:tc>
          <w:tcPr>
            <w:tcW w:w="1680" w:type="dxa"/>
            <w:vAlign w:val="bottom"/>
          </w:tcPr>
          <w:p>
            <w:pPr>
              <w:ind w:left="700"/>
              <w:spacing w:after="0"/>
              <w:rPr>
                <w:sz w:val="20"/>
                <w:szCs w:val="20"/>
                <w:color w:val="auto"/>
              </w:rPr>
            </w:pPr>
            <w:r>
              <w:rPr>
                <w:rFonts w:ascii="Arial" w:cs="Arial" w:eastAsia="Arial" w:hAnsi="Arial"/>
                <w:sz w:val="28"/>
                <w:szCs w:val="28"/>
                <w:color w:val="FFFFFF"/>
              </w:rPr>
              <w:t>44.4%</w:t>
            </w:r>
          </w:p>
        </w:tc>
      </w:tr>
      <w:tr>
        <w:trPr>
          <w:trHeight w:val="587"/>
        </w:trPr>
        <w:tc>
          <w:tcPr>
            <w:tcW w:w="3000" w:type="dxa"/>
            <w:vAlign w:val="bottom"/>
          </w:tcPr>
          <w:p>
            <w:pPr>
              <w:jc w:val="center"/>
              <w:ind w:right="299"/>
              <w:spacing w:after="0"/>
              <w:rPr>
                <w:sz w:val="20"/>
                <w:szCs w:val="20"/>
                <w:color w:val="auto"/>
              </w:rPr>
            </w:pPr>
            <w:r>
              <w:rPr>
                <w:rFonts w:ascii="Arial" w:cs="Arial" w:eastAsia="Arial" w:hAnsi="Arial"/>
                <w:sz w:val="28"/>
                <w:szCs w:val="28"/>
                <w:b w:val="1"/>
                <w:bCs w:val="1"/>
                <w:i w:val="1"/>
                <w:iCs w:val="1"/>
                <w:color w:val="FFFFFF"/>
              </w:rPr>
              <w:t>Marketing Expense</w:t>
            </w:r>
          </w:p>
        </w:tc>
        <w:tc>
          <w:tcPr>
            <w:tcW w:w="3300" w:type="dxa"/>
            <w:vAlign w:val="bottom"/>
            <w:gridSpan w:val="2"/>
          </w:tcPr>
          <w:p>
            <w:pPr>
              <w:jc w:val="center"/>
              <w:spacing w:after="0"/>
              <w:rPr>
                <w:sz w:val="20"/>
                <w:szCs w:val="20"/>
                <w:color w:val="auto"/>
              </w:rPr>
            </w:pPr>
            <w:r>
              <w:rPr>
                <w:rFonts w:ascii="Arial" w:cs="Arial" w:eastAsia="Arial" w:hAnsi="Arial"/>
                <w:sz w:val="28"/>
                <w:szCs w:val="28"/>
                <w:color w:val="FFFFFF"/>
              </w:rPr>
              <w:t>$20.0m</w:t>
            </w:r>
          </w:p>
        </w:tc>
        <w:tc>
          <w:tcPr>
            <w:tcW w:w="2120" w:type="dxa"/>
            <w:vAlign w:val="bottom"/>
          </w:tcPr>
          <w:p>
            <w:pPr>
              <w:jc w:val="center"/>
              <w:spacing w:after="0"/>
              <w:rPr>
                <w:sz w:val="20"/>
                <w:szCs w:val="20"/>
                <w:color w:val="auto"/>
              </w:rPr>
            </w:pPr>
            <w:r>
              <w:rPr>
                <w:rFonts w:ascii="Arial" w:cs="Arial" w:eastAsia="Arial" w:hAnsi="Arial"/>
                <w:sz w:val="28"/>
                <w:szCs w:val="28"/>
                <w:color w:val="FFFFFF"/>
              </w:rPr>
              <w:t>$34.1m</w:t>
            </w:r>
          </w:p>
        </w:tc>
        <w:tc>
          <w:tcPr>
            <w:tcW w:w="1680" w:type="dxa"/>
            <w:vAlign w:val="bottom"/>
          </w:tcPr>
          <w:p>
            <w:pPr>
              <w:jc w:val="center"/>
              <w:ind w:left="479"/>
              <w:spacing w:after="0"/>
              <w:rPr>
                <w:sz w:val="20"/>
                <w:szCs w:val="20"/>
                <w:color w:val="auto"/>
              </w:rPr>
            </w:pPr>
            <w:r>
              <w:rPr>
                <w:rFonts w:ascii="Arial" w:cs="Arial" w:eastAsia="Arial" w:hAnsi="Arial"/>
                <w:sz w:val="28"/>
                <w:szCs w:val="28"/>
                <w:color w:val="FFFFFF"/>
              </w:rPr>
              <w:t>$33.9m</w:t>
            </w:r>
          </w:p>
        </w:tc>
      </w:tr>
      <w:tr>
        <w:trPr>
          <w:trHeight w:val="599"/>
        </w:trPr>
        <w:tc>
          <w:tcPr>
            <w:tcW w:w="3000" w:type="dxa"/>
            <w:vAlign w:val="bottom"/>
          </w:tcPr>
          <w:p>
            <w:pPr>
              <w:jc w:val="center"/>
              <w:ind w:right="299"/>
              <w:spacing w:after="0"/>
              <w:rPr>
                <w:sz w:val="20"/>
                <w:szCs w:val="20"/>
                <w:color w:val="auto"/>
              </w:rPr>
            </w:pPr>
            <w:r>
              <w:rPr>
                <w:rFonts w:ascii="Arial" w:cs="Arial" w:eastAsia="Arial" w:hAnsi="Arial"/>
                <w:sz w:val="28"/>
                <w:szCs w:val="28"/>
                <w:b w:val="1"/>
                <w:bCs w:val="1"/>
                <w:i w:val="1"/>
                <w:iCs w:val="1"/>
                <w:color w:val="FFFFFF"/>
                <w:w w:val="99"/>
              </w:rPr>
              <w:t>Interest Expense</w:t>
            </w:r>
          </w:p>
        </w:tc>
        <w:tc>
          <w:tcPr>
            <w:tcW w:w="3300" w:type="dxa"/>
            <w:vAlign w:val="bottom"/>
            <w:gridSpan w:val="2"/>
          </w:tcPr>
          <w:p>
            <w:pPr>
              <w:jc w:val="center"/>
              <w:spacing w:after="0"/>
              <w:rPr>
                <w:sz w:val="20"/>
                <w:szCs w:val="20"/>
                <w:color w:val="auto"/>
              </w:rPr>
            </w:pPr>
            <w:r>
              <w:rPr>
                <w:rFonts w:ascii="Arial" w:cs="Arial" w:eastAsia="Arial" w:hAnsi="Arial"/>
                <w:sz w:val="28"/>
                <w:szCs w:val="28"/>
                <w:color w:val="FFFFFF"/>
              </w:rPr>
              <w:t>$1.0m</w:t>
            </w:r>
          </w:p>
        </w:tc>
        <w:tc>
          <w:tcPr>
            <w:tcW w:w="2120" w:type="dxa"/>
            <w:vAlign w:val="bottom"/>
          </w:tcPr>
          <w:p>
            <w:pPr>
              <w:ind w:left="620"/>
              <w:spacing w:after="0"/>
              <w:rPr>
                <w:sz w:val="20"/>
                <w:szCs w:val="20"/>
                <w:color w:val="auto"/>
              </w:rPr>
            </w:pPr>
            <w:r>
              <w:rPr>
                <w:rFonts w:ascii="Arial" w:cs="Arial" w:eastAsia="Arial" w:hAnsi="Arial"/>
                <w:sz w:val="28"/>
                <w:szCs w:val="28"/>
                <w:color w:val="FFFFFF"/>
              </w:rPr>
              <w:t>$3.0m</w:t>
            </w:r>
          </w:p>
        </w:tc>
        <w:tc>
          <w:tcPr>
            <w:tcW w:w="1680" w:type="dxa"/>
            <w:vAlign w:val="bottom"/>
          </w:tcPr>
          <w:p>
            <w:pPr>
              <w:jc w:val="center"/>
              <w:ind w:left="479"/>
              <w:spacing w:after="0"/>
              <w:rPr>
                <w:sz w:val="20"/>
                <w:szCs w:val="20"/>
                <w:color w:val="auto"/>
              </w:rPr>
            </w:pPr>
            <w:r>
              <w:rPr>
                <w:rFonts w:ascii="Arial" w:cs="Arial" w:eastAsia="Arial" w:hAnsi="Arial"/>
                <w:sz w:val="28"/>
                <w:szCs w:val="28"/>
                <w:color w:val="FFFFFF"/>
              </w:rPr>
              <w:t>$4.3m</w:t>
            </w:r>
          </w:p>
        </w:tc>
      </w:tr>
      <w:tr>
        <w:trPr>
          <w:trHeight w:val="599"/>
        </w:trPr>
        <w:tc>
          <w:tcPr>
            <w:tcW w:w="3000" w:type="dxa"/>
            <w:vAlign w:val="bottom"/>
          </w:tcPr>
          <w:p>
            <w:pPr>
              <w:jc w:val="center"/>
              <w:ind w:right="179"/>
              <w:spacing w:after="0"/>
              <w:rPr>
                <w:sz w:val="20"/>
                <w:szCs w:val="20"/>
                <w:color w:val="auto"/>
              </w:rPr>
            </w:pPr>
            <w:r>
              <w:rPr>
                <w:rFonts w:ascii="Arial" w:cs="Arial" w:eastAsia="Arial" w:hAnsi="Arial"/>
                <w:sz w:val="28"/>
                <w:szCs w:val="28"/>
                <w:b w:val="1"/>
                <w:bCs w:val="1"/>
                <w:i w:val="1"/>
                <w:iCs w:val="1"/>
                <w:color w:val="FFFFFF"/>
              </w:rPr>
              <w:t>Free Cash Flow</w:t>
            </w:r>
          </w:p>
        </w:tc>
        <w:tc>
          <w:tcPr>
            <w:tcW w:w="1760" w:type="dxa"/>
            <w:vAlign w:val="bottom"/>
          </w:tcPr>
          <w:p>
            <w:pPr>
              <w:jc w:val="right"/>
              <w:spacing w:after="0"/>
              <w:rPr>
                <w:sz w:val="20"/>
                <w:szCs w:val="20"/>
                <w:color w:val="auto"/>
              </w:rPr>
            </w:pPr>
            <w:r>
              <w:rPr>
                <w:rFonts w:ascii="Arial" w:cs="Arial" w:eastAsia="Arial" w:hAnsi="Arial"/>
                <w:sz w:val="28"/>
                <w:szCs w:val="28"/>
                <w:color w:val="FFFFFF"/>
              </w:rPr>
              <w:t>$15.0m -</w:t>
            </w:r>
          </w:p>
        </w:tc>
        <w:tc>
          <w:tcPr>
            <w:tcW w:w="1540" w:type="dxa"/>
            <w:vAlign w:val="bottom"/>
          </w:tcPr>
          <w:p>
            <w:pPr>
              <w:ind w:left="140"/>
              <w:spacing w:after="0"/>
              <w:rPr>
                <w:sz w:val="20"/>
                <w:szCs w:val="20"/>
                <w:color w:val="auto"/>
              </w:rPr>
            </w:pPr>
            <w:r>
              <w:rPr>
                <w:rFonts w:ascii="Arial" w:cs="Arial" w:eastAsia="Arial" w:hAnsi="Arial"/>
                <w:sz w:val="28"/>
                <w:szCs w:val="28"/>
                <w:color w:val="FFFFFF"/>
              </w:rPr>
              <w:t>$20.0m</w:t>
            </w:r>
          </w:p>
        </w:tc>
        <w:tc>
          <w:tcPr>
            <w:tcW w:w="2120" w:type="dxa"/>
            <w:vAlign w:val="bottom"/>
          </w:tcPr>
          <w:p>
            <w:pPr>
              <w:ind w:left="620"/>
              <w:spacing w:after="0"/>
              <w:rPr>
                <w:sz w:val="20"/>
                <w:szCs w:val="20"/>
                <w:color w:val="auto"/>
              </w:rPr>
            </w:pPr>
            <w:r>
              <w:rPr>
                <w:rFonts w:ascii="Arial" w:cs="Arial" w:eastAsia="Arial" w:hAnsi="Arial"/>
                <w:sz w:val="28"/>
                <w:szCs w:val="28"/>
                <w:color w:val="FFFFFF"/>
              </w:rPr>
              <w:t>$7.6m</w:t>
            </w:r>
          </w:p>
        </w:tc>
        <w:tc>
          <w:tcPr>
            <w:tcW w:w="1680" w:type="dxa"/>
            <w:vAlign w:val="bottom"/>
          </w:tcPr>
          <w:p>
            <w:pPr>
              <w:ind w:left="700"/>
              <w:spacing w:after="0"/>
              <w:rPr>
                <w:sz w:val="20"/>
                <w:szCs w:val="20"/>
                <w:color w:val="auto"/>
              </w:rPr>
            </w:pPr>
            <w:r>
              <w:rPr>
                <w:rFonts w:ascii="Arial" w:cs="Arial" w:eastAsia="Arial" w:hAnsi="Arial"/>
                <w:sz w:val="28"/>
                <w:szCs w:val="28"/>
                <w:color w:val="FFFFFF"/>
              </w:rPr>
              <w:t>$-9.6m</w:t>
            </w:r>
          </w:p>
        </w:tc>
      </w:tr>
    </w:tbl>
    <w:p>
      <w:pPr>
        <w:spacing w:after="0" w:line="200" w:lineRule="exact"/>
        <w:rPr>
          <w:sz w:val="20"/>
          <w:szCs w:val="20"/>
          <w:color w:val="auto"/>
        </w:rPr>
      </w:pPr>
    </w:p>
    <w:p>
      <w:pPr>
        <w:spacing w:after="0" w:line="260" w:lineRule="exact"/>
        <w:rPr>
          <w:sz w:val="20"/>
          <w:szCs w:val="20"/>
          <w:color w:val="auto"/>
        </w:rPr>
      </w:pPr>
    </w:p>
    <w:p>
      <w:pPr>
        <w:ind w:left="80" w:right="1560" w:hanging="10"/>
        <w:spacing w:after="0" w:line="266" w:lineRule="auto"/>
        <w:tabs>
          <w:tab w:leader="none" w:pos="397" w:val="left"/>
        </w:tabs>
        <w:numPr>
          <w:ilvl w:val="0"/>
          <w:numId w:val="103"/>
        </w:numPr>
        <w:rPr>
          <w:rFonts w:ascii="Arial" w:cs="Arial" w:eastAsia="Arial" w:hAnsi="Arial"/>
          <w:sz w:val="28"/>
          <w:szCs w:val="28"/>
          <w:color w:val="FFFFFF"/>
        </w:rPr>
      </w:pPr>
      <w:r>
        <w:rPr>
          <w:rFonts w:ascii="Arial" w:cs="Arial" w:eastAsia="Arial" w:hAnsi="Arial"/>
          <w:sz w:val="28"/>
          <w:szCs w:val="28"/>
          <w:color w:val="FFFFFF"/>
        </w:rPr>
        <w:t>Free Cash Flow is defined as cash flow from operating activities, less capital expenditures and discretionary store asset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4</w:t>
      </w:r>
    </w:p>
    <w:p>
      <w:pPr>
        <w:sectPr>
          <w:pgSz w:w="11900" w:h="16838" w:orient="portrait"/>
          <w:cols w:equalWidth="0" w:num="1">
            <w:col w:w="10560"/>
          </w:cols>
          <w:pgMar w:left="880" w:top="890" w:right="459" w:bottom="1440" w:gutter="0" w:footer="0" w:header="0"/>
        </w:sectPr>
      </w:pPr>
    </w:p>
    <w:bookmarkStart w:id="41" w:name="page42"/>
    <w:bookmarkEnd w:id="41"/>
    <w:p>
      <w:pPr>
        <w:ind w:left="136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Selected Balance Sheet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40" w:type="dxa"/>
        <w:tblCellMar>
          <w:top w:w="0" w:type="dxa"/>
          <w:left w:w="0" w:type="dxa"/>
          <w:bottom w:w="0" w:type="dxa"/>
          <w:right w:w="0" w:type="dxa"/>
        </w:tblCellMar>
      </w:tblPr>
      <w:tr>
        <w:trPr>
          <w:trHeight w:val="329"/>
        </w:trPr>
        <w:tc>
          <w:tcPr>
            <w:tcW w:w="2980" w:type="dxa"/>
            <w:vAlign w:val="bottom"/>
          </w:tcPr>
          <w:p>
            <w:pPr>
              <w:spacing w:after="0"/>
              <w:rPr>
                <w:sz w:val="24"/>
                <w:szCs w:val="24"/>
                <w:color w:val="auto"/>
              </w:rPr>
            </w:pPr>
          </w:p>
        </w:tc>
        <w:tc>
          <w:tcPr>
            <w:tcW w:w="2960" w:type="dxa"/>
            <w:vAlign w:val="bottom"/>
          </w:tcPr>
          <w:p>
            <w:pPr>
              <w:jc w:val="right"/>
              <w:ind w:right="979"/>
              <w:spacing w:after="0"/>
              <w:rPr>
                <w:sz w:val="20"/>
                <w:szCs w:val="20"/>
                <w:color w:val="auto"/>
              </w:rPr>
            </w:pPr>
            <w:r>
              <w:rPr>
                <w:rFonts w:ascii="Arial" w:cs="Arial" w:eastAsia="Arial" w:hAnsi="Arial"/>
                <w:sz w:val="28"/>
                <w:szCs w:val="28"/>
                <w:b w:val="1"/>
                <w:bCs w:val="1"/>
                <w:i w:val="1"/>
                <w:iCs w:val="1"/>
                <w:color w:val="FFFFFF"/>
              </w:rPr>
              <w:t>2009</w:t>
            </w: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3"/>
        </w:trPr>
        <w:tc>
          <w:tcPr>
            <w:tcW w:w="298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28"/>
                <w:szCs w:val="28"/>
                <w:b w:val="1"/>
                <w:bCs w:val="1"/>
                <w:i w:val="1"/>
                <w:iCs w:val="1"/>
                <w:color w:val="FFFFFF"/>
              </w:rPr>
              <w:t>Projected</w:t>
            </w:r>
          </w:p>
        </w:tc>
        <w:tc>
          <w:tcPr>
            <w:tcW w:w="1860" w:type="dxa"/>
            <w:vAlign w:val="bottom"/>
          </w:tcPr>
          <w:p>
            <w:pPr>
              <w:jc w:val="right"/>
              <w:ind w:right="559"/>
              <w:spacing w:after="0"/>
              <w:rPr>
                <w:sz w:val="20"/>
                <w:szCs w:val="20"/>
                <w:color w:val="auto"/>
              </w:rPr>
            </w:pPr>
            <w:r>
              <w:rPr>
                <w:rFonts w:ascii="Arial" w:cs="Arial" w:eastAsia="Arial" w:hAnsi="Arial"/>
                <w:sz w:val="28"/>
                <w:szCs w:val="28"/>
                <w:b w:val="1"/>
                <w:bCs w:val="1"/>
                <w:i w:val="1"/>
                <w:iCs w:val="1"/>
                <w:color w:val="FFFFFF"/>
              </w:rPr>
              <w:t>2008</w:t>
            </w:r>
          </w:p>
        </w:tc>
        <w:tc>
          <w:tcPr>
            <w:tcW w:w="1560" w:type="dxa"/>
            <w:vAlign w:val="bottom"/>
          </w:tcPr>
          <w:p>
            <w:pPr>
              <w:jc w:val="center"/>
              <w:ind w:left="219"/>
              <w:spacing w:after="0"/>
              <w:rPr>
                <w:sz w:val="20"/>
                <w:szCs w:val="20"/>
                <w:color w:val="auto"/>
              </w:rPr>
            </w:pPr>
            <w:r>
              <w:rPr>
                <w:rFonts w:ascii="Arial" w:cs="Arial" w:eastAsia="Arial" w:hAnsi="Arial"/>
                <w:sz w:val="28"/>
                <w:szCs w:val="28"/>
                <w:b w:val="1"/>
                <w:bCs w:val="1"/>
                <w:i w:val="1"/>
                <w:iCs w:val="1"/>
                <w:color w:val="FFFFFF"/>
              </w:rPr>
              <w:t>2007</w:t>
            </w:r>
          </w:p>
        </w:tc>
      </w:tr>
      <w:tr>
        <w:trPr>
          <w:trHeight w:val="775"/>
        </w:trPr>
        <w:tc>
          <w:tcPr>
            <w:tcW w:w="2980" w:type="dxa"/>
            <w:vAlign w:val="bottom"/>
          </w:tcPr>
          <w:p>
            <w:pPr>
              <w:jc w:val="center"/>
              <w:ind w:right="439"/>
              <w:spacing w:after="0"/>
              <w:rPr>
                <w:sz w:val="20"/>
                <w:szCs w:val="20"/>
                <w:color w:val="auto"/>
              </w:rPr>
            </w:pPr>
            <w:r>
              <w:rPr>
                <w:rFonts w:ascii="Arial" w:cs="Arial" w:eastAsia="Arial" w:hAnsi="Arial"/>
                <w:sz w:val="28"/>
                <w:szCs w:val="28"/>
                <w:b w:val="1"/>
                <w:bCs w:val="1"/>
                <w:i w:val="1"/>
                <w:iCs w:val="1"/>
                <w:color w:val="FFFFFF"/>
              </w:rPr>
              <w:t>Inventory</w:t>
            </w:r>
          </w:p>
        </w:tc>
        <w:tc>
          <w:tcPr>
            <w:tcW w:w="2960" w:type="dxa"/>
            <w:vAlign w:val="bottom"/>
          </w:tcPr>
          <w:p>
            <w:pPr>
              <w:jc w:val="center"/>
              <w:ind w:left="119"/>
              <w:spacing w:after="0"/>
              <w:rPr>
                <w:sz w:val="20"/>
                <w:szCs w:val="20"/>
                <w:color w:val="auto"/>
              </w:rPr>
            </w:pPr>
            <w:r>
              <w:rPr>
                <w:rFonts w:ascii="Arial" w:cs="Arial" w:eastAsia="Arial" w:hAnsi="Arial"/>
                <w:sz w:val="28"/>
                <w:szCs w:val="28"/>
                <w:color w:val="FFFFFF"/>
              </w:rPr>
              <w:t>$88.6m</w:t>
            </w:r>
          </w:p>
        </w:tc>
        <w:tc>
          <w:tcPr>
            <w:tcW w:w="1860" w:type="dxa"/>
            <w:vAlign w:val="bottom"/>
          </w:tcPr>
          <w:p>
            <w:pPr>
              <w:ind w:left="480"/>
              <w:spacing w:after="0"/>
              <w:rPr>
                <w:sz w:val="20"/>
                <w:szCs w:val="20"/>
                <w:color w:val="auto"/>
              </w:rPr>
            </w:pPr>
            <w:r>
              <w:rPr>
                <w:rFonts w:ascii="Arial" w:cs="Arial" w:eastAsia="Arial" w:hAnsi="Arial"/>
                <w:sz w:val="28"/>
                <w:szCs w:val="28"/>
                <w:color w:val="FFFFFF"/>
              </w:rPr>
              <w:t>$98.6m</w:t>
            </w:r>
          </w:p>
        </w:tc>
        <w:tc>
          <w:tcPr>
            <w:tcW w:w="1560" w:type="dxa"/>
            <w:vAlign w:val="bottom"/>
          </w:tcPr>
          <w:p>
            <w:pPr>
              <w:ind w:left="460"/>
              <w:spacing w:after="0"/>
              <w:rPr>
                <w:sz w:val="20"/>
                <w:szCs w:val="20"/>
                <w:color w:val="auto"/>
              </w:rPr>
            </w:pPr>
            <w:r>
              <w:rPr>
                <w:rFonts w:ascii="Arial" w:cs="Arial" w:eastAsia="Arial" w:hAnsi="Arial"/>
                <w:sz w:val="28"/>
                <w:szCs w:val="28"/>
                <w:color w:val="FFFFFF"/>
                <w:w w:val="99"/>
              </w:rPr>
              <w:t>$117.8m</w:t>
            </w:r>
          </w:p>
        </w:tc>
      </w:tr>
      <w:tr>
        <w:trPr>
          <w:trHeight w:val="379"/>
        </w:trPr>
        <w:tc>
          <w:tcPr>
            <w:tcW w:w="2980" w:type="dxa"/>
            <w:vAlign w:val="bottom"/>
          </w:tcPr>
          <w:p>
            <w:pPr>
              <w:spacing w:after="0"/>
              <w:rPr>
                <w:sz w:val="20"/>
                <w:szCs w:val="20"/>
                <w:color w:val="auto"/>
              </w:rPr>
            </w:pPr>
            <w:r>
              <w:rPr>
                <w:rFonts w:ascii="Arial" w:cs="Arial" w:eastAsia="Arial" w:hAnsi="Arial"/>
                <w:sz w:val="28"/>
                <w:szCs w:val="28"/>
                <w:b w:val="1"/>
                <w:bCs w:val="1"/>
                <w:i w:val="1"/>
                <w:iCs w:val="1"/>
                <w:color w:val="FFFFFF"/>
              </w:rPr>
              <w:t>Borrowing Under</w:t>
            </w:r>
          </w:p>
        </w:tc>
        <w:tc>
          <w:tcPr>
            <w:tcW w:w="2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08"/>
        </w:trPr>
        <w:tc>
          <w:tcPr>
            <w:tcW w:w="2980" w:type="dxa"/>
            <w:vAlign w:val="bottom"/>
          </w:tcPr>
          <w:p>
            <w:pPr>
              <w:ind w:left="660"/>
              <w:spacing w:after="0"/>
              <w:rPr>
                <w:sz w:val="20"/>
                <w:szCs w:val="20"/>
                <w:color w:val="auto"/>
              </w:rPr>
            </w:pPr>
            <w:r>
              <w:rPr>
                <w:rFonts w:ascii="Arial" w:cs="Arial" w:eastAsia="Arial" w:hAnsi="Arial"/>
                <w:sz w:val="28"/>
                <w:szCs w:val="28"/>
                <w:b w:val="1"/>
                <w:bCs w:val="1"/>
                <w:i w:val="1"/>
                <w:iCs w:val="1"/>
                <w:color w:val="FFFFFF"/>
              </w:rPr>
              <w:t>Revolver</w:t>
            </w:r>
          </w:p>
        </w:tc>
        <w:tc>
          <w:tcPr>
            <w:tcW w:w="2960" w:type="dxa"/>
            <w:vAlign w:val="bottom"/>
          </w:tcPr>
          <w:p>
            <w:pPr>
              <w:jc w:val="center"/>
              <w:ind w:left="139"/>
              <w:spacing w:after="0"/>
              <w:rPr>
                <w:sz w:val="20"/>
                <w:szCs w:val="20"/>
                <w:color w:val="auto"/>
              </w:rPr>
            </w:pPr>
            <w:r>
              <w:rPr>
                <w:rFonts w:ascii="Arial" w:cs="Arial" w:eastAsia="Arial" w:hAnsi="Arial"/>
                <w:sz w:val="28"/>
                <w:szCs w:val="28"/>
                <w:color w:val="FFFFFF"/>
                <w:w w:val="99"/>
              </w:rPr>
              <w:t>$7.5m -$10.0m</w:t>
            </w:r>
          </w:p>
        </w:tc>
        <w:tc>
          <w:tcPr>
            <w:tcW w:w="1860" w:type="dxa"/>
            <w:vAlign w:val="bottom"/>
          </w:tcPr>
          <w:p>
            <w:pPr>
              <w:ind w:left="480"/>
              <w:spacing w:after="0"/>
              <w:rPr>
                <w:sz w:val="20"/>
                <w:szCs w:val="20"/>
                <w:color w:val="auto"/>
              </w:rPr>
            </w:pPr>
            <w:r>
              <w:rPr>
                <w:rFonts w:ascii="Arial" w:cs="Arial" w:eastAsia="Arial" w:hAnsi="Arial"/>
                <w:sz w:val="28"/>
                <w:szCs w:val="28"/>
                <w:color w:val="FFFFFF"/>
              </w:rPr>
              <w:t>$38.7m</w:t>
            </w:r>
          </w:p>
        </w:tc>
        <w:tc>
          <w:tcPr>
            <w:tcW w:w="1560" w:type="dxa"/>
            <w:vAlign w:val="bottom"/>
          </w:tcPr>
          <w:p>
            <w:pPr>
              <w:jc w:val="center"/>
              <w:ind w:left="239"/>
              <w:spacing w:after="0"/>
              <w:rPr>
                <w:sz w:val="20"/>
                <w:szCs w:val="20"/>
                <w:color w:val="auto"/>
              </w:rPr>
            </w:pPr>
            <w:r>
              <w:rPr>
                <w:rFonts w:ascii="Arial" w:cs="Arial" w:eastAsia="Arial" w:hAnsi="Arial"/>
                <w:sz w:val="28"/>
                <w:szCs w:val="28"/>
                <w:color w:val="FFFFFF"/>
              </w:rPr>
              <w:t>$41.0m</w:t>
            </w:r>
          </w:p>
        </w:tc>
      </w:tr>
      <w:tr>
        <w:trPr>
          <w:trHeight w:val="576"/>
        </w:trPr>
        <w:tc>
          <w:tcPr>
            <w:tcW w:w="2980" w:type="dxa"/>
            <w:vAlign w:val="bottom"/>
          </w:tcPr>
          <w:p>
            <w:pPr>
              <w:jc w:val="center"/>
              <w:ind w:right="499"/>
              <w:spacing w:after="0"/>
              <w:rPr>
                <w:sz w:val="20"/>
                <w:szCs w:val="20"/>
                <w:color w:val="auto"/>
              </w:rPr>
            </w:pPr>
            <w:r>
              <w:rPr>
                <w:rFonts w:ascii="Arial" w:cs="Arial" w:eastAsia="Arial" w:hAnsi="Arial"/>
                <w:sz w:val="28"/>
                <w:szCs w:val="28"/>
                <w:b w:val="1"/>
                <w:bCs w:val="1"/>
                <w:i w:val="1"/>
                <w:iCs w:val="1"/>
                <w:color w:val="FFFFFF"/>
              </w:rPr>
              <w:t>Fixed Term Loan</w:t>
            </w:r>
          </w:p>
        </w:tc>
        <w:tc>
          <w:tcPr>
            <w:tcW w:w="2960" w:type="dxa"/>
            <w:vAlign w:val="bottom"/>
          </w:tcPr>
          <w:p>
            <w:pPr>
              <w:jc w:val="center"/>
              <w:ind w:left="119"/>
              <w:spacing w:after="0"/>
              <w:rPr>
                <w:sz w:val="20"/>
                <w:szCs w:val="20"/>
                <w:color w:val="auto"/>
              </w:rPr>
            </w:pPr>
            <w:r>
              <w:rPr>
                <w:rFonts w:ascii="Arial" w:cs="Arial" w:eastAsia="Arial" w:hAnsi="Arial"/>
                <w:sz w:val="28"/>
                <w:szCs w:val="28"/>
                <w:color w:val="FFFFFF"/>
              </w:rPr>
              <w:t>$7.0 - $8.0m</w:t>
            </w:r>
          </w:p>
        </w:tc>
        <w:tc>
          <w:tcPr>
            <w:tcW w:w="1860" w:type="dxa"/>
            <w:vAlign w:val="bottom"/>
          </w:tcPr>
          <w:p>
            <w:pPr>
              <w:jc w:val="center"/>
              <w:ind w:right="19"/>
              <w:spacing w:after="0"/>
              <w:rPr>
                <w:sz w:val="20"/>
                <w:szCs w:val="20"/>
                <w:color w:val="auto"/>
              </w:rPr>
            </w:pPr>
            <w:r>
              <w:rPr>
                <w:rFonts w:ascii="Arial" w:cs="Arial" w:eastAsia="Arial" w:hAnsi="Arial"/>
                <w:sz w:val="28"/>
                <w:szCs w:val="28"/>
                <w:color w:val="FFFFFF"/>
              </w:rPr>
              <w:t>$12.5m</w:t>
            </w:r>
          </w:p>
        </w:tc>
        <w:tc>
          <w:tcPr>
            <w:tcW w:w="1560" w:type="dxa"/>
            <w:vAlign w:val="bottom"/>
          </w:tcPr>
          <w:p>
            <w:pPr>
              <w:jc w:val="center"/>
              <w:ind w:left="239"/>
              <w:spacing w:after="0"/>
              <w:rPr>
                <w:sz w:val="20"/>
                <w:szCs w:val="20"/>
                <w:color w:val="auto"/>
              </w:rPr>
            </w:pPr>
            <w:r>
              <w:rPr>
                <w:rFonts w:ascii="Arial" w:cs="Arial" w:eastAsia="Arial" w:hAnsi="Arial"/>
                <w:sz w:val="28"/>
                <w:szCs w:val="28"/>
                <w:color w:val="FFFFFF"/>
              </w:rPr>
              <w:t>$17.3m</w:t>
            </w:r>
          </w:p>
        </w:tc>
      </w:tr>
    </w:tbl>
    <w:p>
      <w:pPr>
        <w:spacing w:after="0" w:line="200" w:lineRule="exact"/>
        <w:rPr>
          <w:sz w:val="20"/>
          <w:szCs w:val="20"/>
          <w:color w:val="auto"/>
        </w:rPr>
      </w:pPr>
    </w:p>
    <w:p>
      <w:pPr>
        <w:spacing w:after="0" w:line="377" w:lineRule="exact"/>
        <w:rPr>
          <w:sz w:val="20"/>
          <w:szCs w:val="20"/>
          <w:color w:val="auto"/>
        </w:rPr>
      </w:pPr>
    </w:p>
    <w:p>
      <w:pPr>
        <w:ind w:right="2380" w:firstLine="4"/>
        <w:spacing w:after="0" w:line="266" w:lineRule="auto"/>
        <w:tabs>
          <w:tab w:leader="none" w:pos="317" w:val="left"/>
        </w:tabs>
        <w:numPr>
          <w:ilvl w:val="0"/>
          <w:numId w:val="104"/>
        </w:numPr>
        <w:rPr>
          <w:rFonts w:ascii="Arial" w:cs="Arial" w:eastAsia="Arial" w:hAnsi="Arial"/>
          <w:sz w:val="28"/>
          <w:szCs w:val="28"/>
          <w:color w:val="FFFFFF"/>
        </w:rPr>
      </w:pPr>
      <w:r>
        <w:rPr>
          <w:rFonts w:ascii="Arial" w:cs="Arial" w:eastAsia="Arial" w:hAnsi="Arial"/>
          <w:sz w:val="28"/>
          <w:szCs w:val="28"/>
          <w:color w:val="FFFFFF"/>
        </w:rPr>
        <w:t>Projected Borrowing Under Revolver includes the impact from the September 2009 sale of stock from a shelf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5</w:t>
      </w:r>
    </w:p>
    <w:p>
      <w:pPr>
        <w:sectPr>
          <w:pgSz w:w="11900" w:h="16838" w:orient="portrait"/>
          <w:cols w:equalWidth="0" w:num="1">
            <w:col w:w="10400"/>
          </w:cols>
          <w:pgMar w:left="1040" w:top="890" w:right="459" w:bottom="1440" w:gutter="0" w:footer="0" w:header="0"/>
        </w:sectPr>
      </w:pPr>
    </w:p>
    <w:bookmarkStart w:id="42" w:name="page43"/>
    <w:bookmarkEnd w:id="42"/>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56"/>
          <w:szCs w:val="56"/>
          <w:i w:val="1"/>
          <w:iCs w:val="1"/>
          <w:color w:val="FFFFFF"/>
        </w:rPr>
        <w:t>Our Store Concepts</w:t>
      </w:r>
    </w:p>
    <w:p>
      <w:pPr>
        <w:sectPr>
          <w:pgSz w:w="11900" w:h="16838" w:orient="portrait"/>
          <w:cols w:equalWidth="0" w:num="1">
            <w:col w:w="9019"/>
          </w:cols>
          <w:pgMar w:left="1440" w:top="1440" w:right="1440" w:bottom="1440" w:gutter="0" w:footer="0" w:header="0"/>
        </w:sectPr>
      </w:pPr>
    </w:p>
    <w:bookmarkStart w:id="43" w:name="page44"/>
    <w:bookmarkEnd w:id="43"/>
    <w:p>
      <w:pPr>
        <w:ind w:left="560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Casual Male Stores</w:t>
      </w:r>
    </w:p>
    <w:p>
      <w:pPr>
        <w:spacing w:after="0" w:line="21" w:lineRule="exact"/>
        <w:rPr>
          <w:sz w:val="20"/>
          <w:szCs w:val="20"/>
          <w:color w:val="auto"/>
        </w:rPr>
      </w:pPr>
    </w:p>
    <w:p>
      <w:pPr>
        <w:ind w:left="420" w:right="3480" w:hanging="419"/>
        <w:spacing w:after="0" w:line="236" w:lineRule="auto"/>
        <w:tabs>
          <w:tab w:leader="none" w:pos="420" w:val="left"/>
        </w:tabs>
        <w:numPr>
          <w:ilvl w:val="0"/>
          <w:numId w:val="105"/>
        </w:numPr>
        <w:rPr>
          <w:rFonts w:ascii="Arial" w:cs="Arial" w:eastAsia="Arial" w:hAnsi="Arial"/>
          <w:sz w:val="38"/>
          <w:szCs w:val="38"/>
          <w:color w:val="E75518"/>
        </w:rPr>
      </w:pPr>
      <w:r>
        <w:rPr>
          <w:rFonts w:ascii="Arial" w:cs="Arial" w:eastAsia="Arial" w:hAnsi="Arial"/>
          <w:sz w:val="38"/>
          <w:szCs w:val="38"/>
          <w:color w:val="FFFFFF"/>
        </w:rPr>
        <w:t>Casual Male XL is the nation’s largest specialty retailer of big &amp; tall clothing with 396 full price stores and 65 outlet stores in 47 states</w:t>
      </w:r>
    </w:p>
    <w:tbl>
      <w:tblPr>
        <w:tblLayout w:type="fixed"/>
        <w:tblInd w:w="1920" w:type="dxa"/>
        <w:tblCellMar>
          <w:top w:w="0" w:type="dxa"/>
          <w:left w:w="0" w:type="dxa"/>
          <w:bottom w:w="0" w:type="dxa"/>
          <w:right w:w="0" w:type="dxa"/>
        </w:tblCellMar>
      </w:tblPr>
      <w:tr>
        <w:trPr>
          <w:trHeight w:val="201"/>
        </w:trPr>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ind w:left="340"/>
              <w:spacing w:after="0" w:line="201" w:lineRule="exact"/>
              <w:rPr>
                <w:sz w:val="20"/>
                <w:szCs w:val="20"/>
                <w:color w:val="auto"/>
              </w:rPr>
            </w:pPr>
            <w:r>
              <w:rPr>
                <w:rFonts w:ascii="Arial" w:cs="Arial" w:eastAsia="Arial" w:hAnsi="Arial"/>
                <w:sz w:val="19"/>
                <w:szCs w:val="19"/>
                <w:b w:val="1"/>
                <w:bCs w:val="1"/>
                <w:color w:val="FFFFFF"/>
              </w:rPr>
              <w:t>CT-10</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9"/>
                <w:szCs w:val="19"/>
                <w:b w:val="1"/>
                <w:bCs w:val="1"/>
                <w:color w:val="FFFFFF"/>
              </w:rPr>
              <w:t>DE-3</w:t>
            </w:r>
          </w:p>
        </w:tc>
        <w:tc>
          <w:tcPr>
            <w:tcW w:w="0" w:type="dxa"/>
            <w:vAlign w:val="bottom"/>
          </w:tcPr>
          <w:p>
            <w:pPr>
              <w:spacing w:after="0"/>
              <w:rPr>
                <w:sz w:val="1"/>
                <w:szCs w:val="1"/>
                <w:color w:val="auto"/>
              </w:rPr>
            </w:pPr>
          </w:p>
        </w:tc>
      </w:tr>
      <w:tr>
        <w:trPr>
          <w:trHeight w:val="223"/>
        </w:trPr>
        <w:tc>
          <w:tcPr>
            <w:tcW w:w="840" w:type="dxa"/>
            <w:vAlign w:val="bottom"/>
          </w:tcPr>
          <w:p>
            <w:pPr>
              <w:ind w:left="540"/>
              <w:spacing w:after="0"/>
              <w:rPr>
                <w:sz w:val="20"/>
                <w:szCs w:val="20"/>
                <w:color w:val="auto"/>
              </w:rPr>
            </w:pPr>
            <w:r>
              <w:rPr>
                <w:rFonts w:ascii="Arial" w:cs="Arial" w:eastAsia="Arial" w:hAnsi="Arial"/>
                <w:sz w:val="15"/>
                <w:szCs w:val="15"/>
                <w:b w:val="1"/>
                <w:bCs w:val="1"/>
                <w:color w:val="FFFFFF"/>
              </w:rPr>
              <w:t>7</w:t>
            </w:r>
          </w:p>
        </w:tc>
        <w:tc>
          <w:tcPr>
            <w:tcW w:w="760" w:type="dxa"/>
            <w:vAlign w:val="bottom"/>
          </w:tcPr>
          <w:p>
            <w:pPr>
              <w:spacing w:after="0"/>
              <w:rPr>
                <w:sz w:val="19"/>
                <w:szCs w:val="19"/>
                <w:color w:val="auto"/>
              </w:rPr>
            </w:pPr>
          </w:p>
        </w:tc>
        <w:tc>
          <w:tcPr>
            <w:tcW w:w="1600" w:type="dxa"/>
            <w:vAlign w:val="bottom"/>
            <w:vMerge w:val="restart"/>
          </w:tcPr>
          <w:p>
            <w:pPr>
              <w:jc w:val="right"/>
              <w:ind w:right="1204"/>
              <w:spacing w:after="0"/>
              <w:rPr>
                <w:sz w:val="20"/>
                <w:szCs w:val="20"/>
                <w:color w:val="auto"/>
              </w:rPr>
            </w:pPr>
            <w:r>
              <w:rPr>
                <w:rFonts w:ascii="Arial" w:cs="Arial" w:eastAsia="Arial" w:hAnsi="Arial"/>
                <w:sz w:val="15"/>
                <w:szCs w:val="15"/>
                <w:b w:val="1"/>
                <w:bCs w:val="1"/>
                <w:color w:val="FFFFFF"/>
              </w:rPr>
              <w:t>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vMerge w:val="restart"/>
          </w:tcPr>
          <w:p>
            <w:pPr>
              <w:jc w:val="right"/>
              <w:ind w:right="264"/>
              <w:spacing w:after="0"/>
              <w:rPr>
                <w:sz w:val="20"/>
                <w:szCs w:val="20"/>
                <w:color w:val="auto"/>
              </w:rPr>
            </w:pPr>
            <w:r>
              <w:rPr>
                <w:rFonts w:ascii="Arial" w:cs="Arial" w:eastAsia="Arial" w:hAnsi="Arial"/>
                <w:sz w:val="15"/>
                <w:szCs w:val="15"/>
                <w:b w:val="1"/>
                <w:bCs w:val="1"/>
                <w:color w:val="FFFFFF"/>
              </w:rPr>
              <w:t>2</w:t>
            </w:r>
          </w:p>
        </w:tc>
        <w:tc>
          <w:tcPr>
            <w:tcW w:w="900" w:type="dxa"/>
            <w:vAlign w:val="bottom"/>
          </w:tcPr>
          <w:p>
            <w:pPr>
              <w:ind w:left="340"/>
              <w:spacing w:after="0"/>
              <w:rPr>
                <w:sz w:val="20"/>
                <w:szCs w:val="20"/>
                <w:color w:val="auto"/>
              </w:rPr>
            </w:pPr>
            <w:r>
              <w:rPr>
                <w:rFonts w:ascii="Arial" w:cs="Arial" w:eastAsia="Arial" w:hAnsi="Arial"/>
                <w:sz w:val="19"/>
                <w:szCs w:val="19"/>
                <w:b w:val="1"/>
                <w:bCs w:val="1"/>
                <w:color w:val="FFFFFF"/>
              </w:rPr>
              <w:t>RI-1</w:t>
            </w:r>
          </w:p>
        </w:tc>
        <w:tc>
          <w:tcPr>
            <w:tcW w:w="0" w:type="dxa"/>
            <w:vAlign w:val="bottom"/>
          </w:tcPr>
          <w:p>
            <w:pPr>
              <w:spacing w:after="0"/>
              <w:rPr>
                <w:sz w:val="1"/>
                <w:szCs w:val="1"/>
                <w:color w:val="auto"/>
              </w:rPr>
            </w:pPr>
          </w:p>
        </w:tc>
      </w:tr>
      <w:tr>
        <w:trPr>
          <w:trHeight w:val="100"/>
        </w:trPr>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vMerge w:val="restart"/>
          </w:tcPr>
          <w:p>
            <w:pPr>
              <w:ind w:left="340"/>
              <w:spacing w:after="0"/>
              <w:rPr>
                <w:sz w:val="20"/>
                <w:szCs w:val="20"/>
                <w:color w:val="auto"/>
              </w:rPr>
            </w:pPr>
            <w:r>
              <w:rPr>
                <w:rFonts w:ascii="Arial" w:cs="Arial" w:eastAsia="Arial" w:hAnsi="Arial"/>
                <w:sz w:val="19"/>
                <w:szCs w:val="19"/>
                <w:b w:val="1"/>
                <w:bCs w:val="1"/>
                <w:color w:val="FFFFFF"/>
                <w:w w:val="94"/>
              </w:rPr>
              <w:t>MA-13</w:t>
            </w:r>
          </w:p>
        </w:tc>
        <w:tc>
          <w:tcPr>
            <w:tcW w:w="0" w:type="dxa"/>
            <w:vAlign w:val="bottom"/>
          </w:tcPr>
          <w:p>
            <w:pPr>
              <w:spacing w:after="0"/>
              <w:rPr>
                <w:sz w:val="1"/>
                <w:szCs w:val="1"/>
                <w:color w:val="auto"/>
              </w:rPr>
            </w:pPr>
          </w:p>
        </w:tc>
      </w:tr>
      <w:tr>
        <w:trPr>
          <w:trHeight w:val="141"/>
        </w:trPr>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jc w:val="right"/>
              <w:ind w:right="164"/>
              <w:spacing w:after="0" w:line="141" w:lineRule="exact"/>
              <w:rPr>
                <w:sz w:val="20"/>
                <w:szCs w:val="20"/>
                <w:color w:val="auto"/>
              </w:rPr>
            </w:pPr>
            <w:r>
              <w:rPr>
                <w:rFonts w:ascii="Arial" w:cs="Arial" w:eastAsia="Arial" w:hAnsi="Arial"/>
                <w:sz w:val="15"/>
                <w:szCs w:val="15"/>
                <w:b w:val="1"/>
                <w:bCs w:val="1"/>
                <w:color w:val="FFFFFF"/>
              </w:rPr>
              <w:t>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864"/>
              <w:spacing w:after="0"/>
              <w:rPr>
                <w:sz w:val="20"/>
                <w:szCs w:val="20"/>
                <w:color w:val="auto"/>
              </w:rPr>
            </w:pPr>
            <w:r>
              <w:rPr>
                <w:rFonts w:ascii="Arial" w:cs="Arial" w:eastAsia="Arial" w:hAnsi="Arial"/>
                <w:sz w:val="15"/>
                <w:szCs w:val="15"/>
                <w:b w:val="1"/>
                <w:bCs w:val="1"/>
                <w:color w:val="FFFFFF"/>
              </w:rPr>
              <w:t>8</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84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FFFFFF"/>
              </w:rPr>
              <w:t>5</w:t>
            </w:r>
          </w:p>
        </w:tc>
        <w:tc>
          <w:tcPr>
            <w:tcW w:w="7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vMerge w:val="restart"/>
          </w:tcPr>
          <w:p>
            <w:pPr>
              <w:ind w:left="340"/>
              <w:spacing w:after="0" w:line="217" w:lineRule="exact"/>
              <w:rPr>
                <w:sz w:val="20"/>
                <w:szCs w:val="20"/>
                <w:color w:val="auto"/>
              </w:rPr>
            </w:pPr>
            <w:r>
              <w:rPr>
                <w:rFonts w:ascii="Arial" w:cs="Arial" w:eastAsia="Arial" w:hAnsi="Arial"/>
                <w:sz w:val="19"/>
                <w:szCs w:val="19"/>
                <w:b w:val="1"/>
                <w:bCs w:val="1"/>
                <w:color w:val="FFFFFF"/>
                <w:w w:val="94"/>
              </w:rPr>
              <w:t>MD-13</w:t>
            </w:r>
          </w:p>
        </w:tc>
        <w:tc>
          <w:tcPr>
            <w:tcW w:w="0" w:type="dxa"/>
            <w:vAlign w:val="bottom"/>
          </w:tcPr>
          <w:p>
            <w:pPr>
              <w:spacing w:after="0"/>
              <w:rPr>
                <w:sz w:val="1"/>
                <w:szCs w:val="1"/>
                <w:color w:val="auto"/>
              </w:rPr>
            </w:pPr>
          </w:p>
        </w:tc>
      </w:tr>
      <w:tr>
        <w:trPr>
          <w:trHeight w:val="101"/>
        </w:trPr>
        <w:tc>
          <w:tcPr>
            <w:tcW w:w="840" w:type="dxa"/>
            <w:vAlign w:val="bottom"/>
            <w:vMerge w:val="continue"/>
          </w:tcPr>
          <w:p>
            <w:pPr>
              <w:spacing w:after="0"/>
              <w:rPr>
                <w:sz w:val="8"/>
                <w:szCs w:val="8"/>
                <w:color w:val="auto"/>
              </w:rPr>
            </w:pPr>
          </w:p>
        </w:tc>
        <w:tc>
          <w:tcPr>
            <w:tcW w:w="76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FFFFFF"/>
              </w:rPr>
              <w:t>1</w:t>
            </w: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8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0" w:type="dxa"/>
            <w:vAlign w:val="bottom"/>
            <w:vMerge w:val="restart"/>
          </w:tcPr>
          <w:p>
            <w:pPr>
              <w:ind w:left="1380"/>
              <w:spacing w:after="0"/>
              <w:rPr>
                <w:sz w:val="20"/>
                <w:szCs w:val="20"/>
                <w:color w:val="auto"/>
              </w:rPr>
            </w:pPr>
            <w:r>
              <w:rPr>
                <w:rFonts w:ascii="Arial" w:cs="Arial" w:eastAsia="Arial" w:hAnsi="Arial"/>
                <w:sz w:val="15"/>
                <w:szCs w:val="15"/>
                <w:b w:val="1"/>
                <w:bCs w:val="1"/>
                <w:color w:val="FFFFFF"/>
              </w:rPr>
              <w:t>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FFFFFF"/>
              </w:rPr>
              <w:t>8</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FFFFFF"/>
              </w:rPr>
              <w:t>32</w:t>
            </w:r>
          </w:p>
        </w:tc>
        <w:tc>
          <w:tcPr>
            <w:tcW w:w="720" w:type="dxa"/>
            <w:vAlign w:val="bottom"/>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9"/>
                <w:szCs w:val="19"/>
                <w:b w:val="1"/>
                <w:bCs w:val="1"/>
                <w:color w:val="FFFFFF"/>
              </w:rPr>
              <w:t>NH-3</w:t>
            </w:r>
          </w:p>
        </w:tc>
        <w:tc>
          <w:tcPr>
            <w:tcW w:w="0" w:type="dxa"/>
            <w:vAlign w:val="bottom"/>
          </w:tcPr>
          <w:p>
            <w:pPr>
              <w:spacing w:after="0"/>
              <w:rPr>
                <w:sz w:val="1"/>
                <w:szCs w:val="1"/>
                <w:color w:val="auto"/>
              </w:rPr>
            </w:pPr>
          </w:p>
        </w:tc>
      </w:tr>
      <w:tr>
        <w:trPr>
          <w:trHeight w:val="77"/>
        </w:trPr>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FFFFFF"/>
                <w:w w:val="95"/>
              </w:rPr>
              <w:t>18</w:t>
            </w:r>
          </w:p>
        </w:tc>
        <w:tc>
          <w:tcPr>
            <w:tcW w:w="12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60" w:type="dxa"/>
            <w:vAlign w:val="bottom"/>
            <w:vMerge w:val="restart"/>
          </w:tcPr>
          <w:p>
            <w:pPr>
              <w:jc w:val="right"/>
              <w:ind w:right="524"/>
              <w:spacing w:after="0"/>
              <w:rPr>
                <w:sz w:val="20"/>
                <w:szCs w:val="20"/>
                <w:color w:val="auto"/>
              </w:rPr>
            </w:pPr>
            <w:r>
              <w:rPr>
                <w:rFonts w:ascii="Arial" w:cs="Arial" w:eastAsia="Arial" w:hAnsi="Arial"/>
                <w:sz w:val="15"/>
                <w:szCs w:val="15"/>
                <w:b w:val="1"/>
                <w:bCs w:val="1"/>
                <w:color w:val="FFFFFF"/>
              </w:rPr>
              <w:t>26</w:t>
            </w:r>
          </w:p>
        </w:tc>
        <w:tc>
          <w:tcPr>
            <w:tcW w:w="72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9"/>
                <w:szCs w:val="19"/>
                <w:b w:val="1"/>
                <w:bCs w:val="1"/>
                <w:color w:val="FFFFFF"/>
              </w:rPr>
              <w:t>NJ-20</w:t>
            </w:r>
          </w:p>
        </w:tc>
        <w:tc>
          <w:tcPr>
            <w:tcW w:w="0" w:type="dxa"/>
            <w:vAlign w:val="bottom"/>
          </w:tcPr>
          <w:p>
            <w:pPr>
              <w:spacing w:after="0"/>
              <w:rPr>
                <w:sz w:val="1"/>
                <w:szCs w:val="1"/>
                <w:color w:val="auto"/>
              </w:rPr>
            </w:pPr>
          </w:p>
        </w:tc>
      </w:tr>
      <w:tr>
        <w:trPr>
          <w:trHeight w:val="146"/>
        </w:trPr>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vMerge w:val="restart"/>
          </w:tcPr>
          <w:p>
            <w:pPr>
              <w:ind w:left="1380"/>
              <w:spacing w:after="0"/>
              <w:rPr>
                <w:sz w:val="20"/>
                <w:szCs w:val="20"/>
                <w:color w:val="auto"/>
              </w:rPr>
            </w:pPr>
            <w:r>
              <w:rPr>
                <w:rFonts w:ascii="Arial" w:cs="Arial" w:eastAsia="Arial" w:hAnsi="Arial"/>
                <w:sz w:val="15"/>
                <w:szCs w:val="15"/>
                <w:b w:val="1"/>
                <w:bCs w:val="1"/>
                <w:color w:val="FFFFFF"/>
              </w:rPr>
              <w:t>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764"/>
              <w:spacing w:after="0"/>
              <w:rPr>
                <w:sz w:val="20"/>
                <w:szCs w:val="20"/>
                <w:color w:val="auto"/>
              </w:rPr>
            </w:pPr>
            <w:r>
              <w:rPr>
                <w:rFonts w:ascii="Arial" w:cs="Arial" w:eastAsia="Arial" w:hAnsi="Arial"/>
                <w:sz w:val="15"/>
                <w:szCs w:val="15"/>
                <w:b w:val="1"/>
                <w:bCs w:val="1"/>
                <w:color w:val="FFFFFF"/>
              </w:rPr>
              <w:t>4</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9"/>
                <w:szCs w:val="19"/>
                <w:b w:val="1"/>
                <w:bCs w:val="1"/>
                <w:color w:val="FFFFFF"/>
              </w:rPr>
              <w:t>VT-1</w:t>
            </w:r>
          </w:p>
        </w:tc>
        <w:tc>
          <w:tcPr>
            <w:tcW w:w="0" w:type="dxa"/>
            <w:vAlign w:val="bottom"/>
          </w:tcPr>
          <w:p>
            <w:pPr>
              <w:spacing w:after="0"/>
              <w:rPr>
                <w:sz w:val="1"/>
                <w:szCs w:val="1"/>
                <w:color w:val="auto"/>
              </w:rPr>
            </w:pPr>
          </w:p>
        </w:tc>
      </w:tr>
      <w:tr>
        <w:trPr>
          <w:trHeight w:val="107"/>
        </w:trPr>
        <w:tc>
          <w:tcPr>
            <w:tcW w:w="840" w:type="dxa"/>
            <w:vAlign w:val="bottom"/>
            <w:vMerge w:val="restart"/>
          </w:tcPr>
          <w:p>
            <w:pPr>
              <w:ind w:left="560"/>
              <w:spacing w:after="0"/>
              <w:rPr>
                <w:sz w:val="20"/>
                <w:szCs w:val="20"/>
                <w:color w:val="auto"/>
              </w:rPr>
            </w:pPr>
            <w:r>
              <w:rPr>
                <w:rFonts w:ascii="Arial" w:cs="Arial" w:eastAsia="Arial" w:hAnsi="Arial"/>
                <w:sz w:val="15"/>
                <w:szCs w:val="15"/>
                <w:b w:val="1"/>
                <w:bCs w:val="1"/>
                <w:color w:val="FFFFFF"/>
              </w:rPr>
              <w:t>6</w:t>
            </w:r>
          </w:p>
        </w:tc>
        <w:tc>
          <w:tcPr>
            <w:tcW w:w="76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17</w:t>
            </w: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7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FFFFFF"/>
              </w:rPr>
              <w:t>3</w:t>
            </w: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FFFFFF"/>
              </w:rPr>
              <w:t>23</w:t>
            </w: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12</w:t>
            </w:r>
          </w:p>
        </w:tc>
        <w:tc>
          <w:tcPr>
            <w:tcW w:w="36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600" w:type="dxa"/>
            <w:vAlign w:val="bottom"/>
            <w:vMerge w:val="restart"/>
          </w:tcPr>
          <w:p>
            <w:pPr>
              <w:jc w:val="right"/>
              <w:ind w:right="844"/>
              <w:spacing w:after="0"/>
              <w:rPr>
                <w:sz w:val="20"/>
                <w:szCs w:val="20"/>
                <w:color w:val="auto"/>
              </w:rPr>
            </w:pPr>
            <w:r>
              <w:rPr>
                <w:rFonts w:ascii="Arial" w:cs="Arial" w:eastAsia="Arial" w:hAnsi="Arial"/>
                <w:sz w:val="15"/>
                <w:szCs w:val="15"/>
                <w:b w:val="1"/>
                <w:bCs w:val="1"/>
                <w:color w:val="FFFFFF"/>
              </w:rPr>
              <w:t>5</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vMerge w:val="restart"/>
          </w:tcPr>
          <w:p>
            <w:pPr>
              <w:jc w:val="right"/>
              <w:ind w:right="864"/>
              <w:spacing w:after="0"/>
              <w:rPr>
                <w:sz w:val="20"/>
                <w:szCs w:val="20"/>
                <w:color w:val="auto"/>
              </w:rPr>
            </w:pPr>
            <w:r>
              <w:rPr>
                <w:rFonts w:ascii="Arial" w:cs="Arial" w:eastAsia="Arial" w:hAnsi="Arial"/>
                <w:sz w:val="15"/>
                <w:szCs w:val="15"/>
                <w:b w:val="1"/>
                <w:bCs w:val="1"/>
                <w:color w:val="FFFFFF"/>
              </w:rPr>
              <w:t>1</w:t>
            </w: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840" w:type="dxa"/>
            <w:vAlign w:val="bottom"/>
            <w:vMerge w:val="restart"/>
          </w:tcPr>
          <w:p>
            <w:pPr>
              <w:jc w:val="right"/>
              <w:ind w:right="584"/>
              <w:spacing w:after="0"/>
              <w:rPr>
                <w:sz w:val="20"/>
                <w:szCs w:val="20"/>
                <w:color w:val="auto"/>
              </w:rPr>
            </w:pPr>
            <w:r>
              <w:rPr>
                <w:rFonts w:ascii="Arial" w:cs="Arial" w:eastAsia="Arial" w:hAnsi="Arial"/>
                <w:sz w:val="15"/>
                <w:szCs w:val="15"/>
                <w:b w:val="1"/>
                <w:bCs w:val="1"/>
                <w:color w:val="FFFFFF"/>
                <w:w w:val="95"/>
              </w:rPr>
              <w:t>55</w:t>
            </w:r>
          </w:p>
        </w:tc>
        <w:tc>
          <w:tcPr>
            <w:tcW w:w="76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3</w:t>
            </w: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84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restart"/>
          </w:tcPr>
          <w:p>
            <w:pPr>
              <w:jc w:val="right"/>
              <w:ind w:right="604"/>
              <w:spacing w:after="0"/>
              <w:rPr>
                <w:sz w:val="20"/>
                <w:szCs w:val="20"/>
                <w:color w:val="auto"/>
              </w:rPr>
            </w:pPr>
            <w:r>
              <w:rPr>
                <w:rFonts w:ascii="Arial" w:cs="Arial" w:eastAsia="Arial" w:hAnsi="Arial"/>
                <w:sz w:val="15"/>
                <w:szCs w:val="15"/>
                <w:b w:val="1"/>
                <w:bCs w:val="1"/>
                <w:color w:val="FFFFFF"/>
              </w:rPr>
              <w:t>10</w:t>
            </w:r>
          </w:p>
        </w:tc>
        <w:tc>
          <w:tcPr>
            <w:tcW w:w="340" w:type="dxa"/>
            <w:vAlign w:val="bottom"/>
          </w:tcPr>
          <w:p>
            <w:pPr>
              <w:spacing w:after="0"/>
              <w:rPr>
                <w:sz w:val="17"/>
                <w:szCs w:val="17"/>
                <w:color w:val="auto"/>
              </w:rPr>
            </w:pPr>
          </w:p>
        </w:tc>
        <w:tc>
          <w:tcPr>
            <w:tcW w:w="3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FFFFFF"/>
              </w:rPr>
              <w:t>5</w:t>
            </w:r>
          </w:p>
        </w:tc>
        <w:tc>
          <w:tcPr>
            <w:tcW w:w="1260" w:type="dxa"/>
            <w:vAlign w:val="bottom"/>
          </w:tcPr>
          <w:p>
            <w:pPr>
              <w:jc w:val="right"/>
              <w:ind w:right="524"/>
              <w:spacing w:after="0"/>
              <w:rPr>
                <w:sz w:val="20"/>
                <w:szCs w:val="20"/>
                <w:color w:val="auto"/>
              </w:rPr>
            </w:pPr>
            <w:r>
              <w:rPr>
                <w:rFonts w:ascii="Arial" w:cs="Arial" w:eastAsia="Arial" w:hAnsi="Arial"/>
                <w:sz w:val="15"/>
                <w:szCs w:val="15"/>
                <w:b w:val="1"/>
                <w:bCs w:val="1"/>
                <w:color w:val="FFFFFF"/>
              </w:rPr>
              <w:t>13</w:t>
            </w: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76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FFFFFF"/>
              </w:rPr>
              <w:t>10</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8</w:t>
            </w:r>
          </w:p>
        </w:tc>
        <w:tc>
          <w:tcPr>
            <w:tcW w:w="360" w:type="dxa"/>
            <w:vAlign w:val="bottom"/>
          </w:tcPr>
          <w:p>
            <w:pPr>
              <w:spacing w:after="0"/>
              <w:rPr>
                <w:sz w:val="19"/>
                <w:szCs w:val="19"/>
                <w:color w:val="auto"/>
              </w:rPr>
            </w:pPr>
          </w:p>
        </w:tc>
        <w:tc>
          <w:tcPr>
            <w:tcW w:w="1260" w:type="dxa"/>
            <w:vAlign w:val="bottom"/>
          </w:tcPr>
          <w:p>
            <w:pPr>
              <w:jc w:val="right"/>
              <w:ind w:right="424"/>
              <w:spacing w:after="0"/>
              <w:rPr>
                <w:sz w:val="20"/>
                <w:szCs w:val="20"/>
                <w:color w:val="auto"/>
              </w:rPr>
            </w:pPr>
            <w:r>
              <w:rPr>
                <w:rFonts w:ascii="Arial" w:cs="Arial" w:eastAsia="Arial" w:hAnsi="Arial"/>
                <w:sz w:val="15"/>
                <w:szCs w:val="15"/>
                <w:b w:val="1"/>
                <w:bCs w:val="1"/>
                <w:color w:val="FFFFFF"/>
              </w:rPr>
              <w:t>11</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8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00" w:type="dxa"/>
            <w:vAlign w:val="bottom"/>
            <w:vMerge w:val="restart"/>
          </w:tcPr>
          <w:p>
            <w:pPr>
              <w:jc w:val="right"/>
              <w:ind w:right="1124"/>
              <w:spacing w:after="0"/>
              <w:rPr>
                <w:sz w:val="20"/>
                <w:szCs w:val="20"/>
                <w:color w:val="auto"/>
              </w:rPr>
            </w:pPr>
            <w:r>
              <w:rPr>
                <w:rFonts w:ascii="Arial" w:cs="Arial" w:eastAsia="Arial" w:hAnsi="Arial"/>
                <w:sz w:val="15"/>
                <w:szCs w:val="15"/>
                <w:b w:val="1"/>
                <w:bCs w:val="1"/>
                <w:color w:val="FFFFFF"/>
              </w:rPr>
              <w:t>2</w:t>
            </w:r>
          </w:p>
        </w:tc>
        <w:tc>
          <w:tcPr>
            <w:tcW w:w="140" w:type="dxa"/>
            <w:vAlign w:val="bottom"/>
          </w:tcPr>
          <w:p>
            <w:pPr>
              <w:spacing w:after="0"/>
              <w:rPr>
                <w:sz w:val="7"/>
                <w:szCs w:val="7"/>
                <w:color w:val="auto"/>
              </w:rPr>
            </w:pPr>
          </w:p>
        </w:tc>
        <w:tc>
          <w:tcPr>
            <w:tcW w:w="2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FFFFFF"/>
                <w:w w:val="95"/>
              </w:rPr>
              <w:t>3</w:t>
            </w:r>
          </w:p>
        </w:tc>
        <w:tc>
          <w:tcPr>
            <w:tcW w:w="11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8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160" w:type="dxa"/>
            <w:vAlign w:val="bottom"/>
            <w:vMerge w:val="restart"/>
          </w:tcPr>
          <w:p>
            <w:pPr>
              <w:jc w:val="right"/>
              <w:ind w:right="564"/>
              <w:spacing w:after="0"/>
              <w:rPr>
                <w:sz w:val="20"/>
                <w:szCs w:val="20"/>
                <w:color w:val="auto"/>
              </w:rPr>
            </w:pPr>
            <w:r>
              <w:rPr>
                <w:rFonts w:ascii="Arial" w:cs="Arial" w:eastAsia="Arial" w:hAnsi="Arial"/>
                <w:sz w:val="15"/>
                <w:szCs w:val="15"/>
                <w:b w:val="1"/>
                <w:bCs w:val="1"/>
                <w:color w:val="FFFFFF"/>
              </w:rPr>
              <w:t>2</w:t>
            </w: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vMerge w:val="restart"/>
          </w:tcPr>
          <w:p>
            <w:pPr>
              <w:jc w:val="right"/>
              <w:ind w:right="664"/>
              <w:spacing w:after="0"/>
              <w:rPr>
                <w:sz w:val="20"/>
                <w:szCs w:val="20"/>
                <w:color w:val="auto"/>
              </w:rPr>
            </w:pPr>
            <w:r>
              <w:rPr>
                <w:rFonts w:ascii="Arial" w:cs="Arial" w:eastAsia="Arial" w:hAnsi="Arial"/>
                <w:sz w:val="15"/>
                <w:szCs w:val="15"/>
                <w:b w:val="1"/>
                <w:bCs w:val="1"/>
                <w:color w:val="FFFFFF"/>
              </w:rPr>
              <w:t>5</w:t>
            </w: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vMerge w:val="restart"/>
          </w:tcPr>
          <w:p>
            <w:pPr>
              <w:ind w:left="1380"/>
              <w:spacing w:after="0"/>
              <w:rPr>
                <w:sz w:val="20"/>
                <w:szCs w:val="20"/>
                <w:color w:val="auto"/>
              </w:rPr>
            </w:pPr>
            <w:r>
              <w:rPr>
                <w:rFonts w:ascii="Arial" w:cs="Arial" w:eastAsia="Arial" w:hAnsi="Arial"/>
                <w:sz w:val="15"/>
                <w:szCs w:val="15"/>
                <w:b w:val="1"/>
                <w:bCs w:val="1"/>
                <w:color w:val="FFFFFF"/>
              </w:rPr>
              <w:t>38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FFFFFF"/>
              </w:rPr>
              <w:t>2</w:t>
            </w: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4</w:t>
            </w:r>
          </w:p>
        </w:tc>
        <w:tc>
          <w:tcPr>
            <w:tcW w:w="360" w:type="dxa"/>
            <w:vAlign w:val="bottom"/>
          </w:tcPr>
          <w:p>
            <w:pPr>
              <w:spacing w:after="0"/>
              <w:rPr>
                <w:sz w:val="19"/>
                <w:szCs w:val="19"/>
                <w:color w:val="auto"/>
              </w:rPr>
            </w:pPr>
          </w:p>
        </w:tc>
        <w:tc>
          <w:tcPr>
            <w:tcW w:w="1260" w:type="dxa"/>
            <w:vAlign w:val="bottom"/>
          </w:tcPr>
          <w:p>
            <w:pPr>
              <w:jc w:val="right"/>
              <w:ind w:right="984"/>
              <w:spacing w:after="0"/>
              <w:rPr>
                <w:sz w:val="20"/>
                <w:szCs w:val="20"/>
                <w:color w:val="auto"/>
              </w:rPr>
            </w:pPr>
            <w:r>
              <w:rPr>
                <w:rFonts w:ascii="Arial" w:cs="Arial" w:eastAsia="Arial" w:hAnsi="Arial"/>
                <w:sz w:val="15"/>
                <w:szCs w:val="15"/>
                <w:b w:val="1"/>
                <w:bCs w:val="1"/>
                <w:color w:val="FFFFFF"/>
              </w:rPr>
              <w:t>10</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464"/>
              <w:spacing w:after="0"/>
              <w:rPr>
                <w:sz w:val="20"/>
                <w:szCs w:val="20"/>
                <w:color w:val="auto"/>
              </w:rPr>
            </w:pPr>
            <w:r>
              <w:rPr>
                <w:rFonts w:ascii="Arial" w:cs="Arial" w:eastAsia="Arial" w:hAnsi="Arial"/>
                <w:sz w:val="15"/>
                <w:szCs w:val="15"/>
                <w:b w:val="1"/>
                <w:bCs w:val="1"/>
                <w:color w:val="FFFFFF"/>
              </w:rPr>
              <w:t>5</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8"/>
        </w:trPr>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44"/>
              <w:spacing w:after="0"/>
              <w:rPr>
                <w:sz w:val="20"/>
                <w:szCs w:val="20"/>
                <w:color w:val="auto"/>
              </w:rPr>
            </w:pPr>
            <w:r>
              <w:rPr>
                <w:rFonts w:ascii="Arial" w:cs="Arial" w:eastAsia="Arial" w:hAnsi="Arial"/>
                <w:sz w:val="15"/>
                <w:szCs w:val="15"/>
                <w:b w:val="1"/>
                <w:bCs w:val="1"/>
                <w:color w:val="FFFFFF"/>
              </w:rPr>
              <w:t>26</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7</w:t>
      </w:r>
    </w:p>
    <w:p>
      <w:pPr>
        <w:sectPr>
          <w:pgSz w:w="11900" w:h="16838" w:orient="portrait"/>
          <w:cols w:equalWidth="0" w:num="1">
            <w:col w:w="10960"/>
          </w:cols>
          <w:pgMar w:left="480" w:top="849" w:right="45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37" w:right="200" w:hanging="337"/>
        <w:spacing w:after="0" w:line="266" w:lineRule="auto"/>
        <w:tabs>
          <w:tab w:leader="none" w:pos="337" w:val="left"/>
        </w:tabs>
        <w:numPr>
          <w:ilvl w:val="0"/>
          <w:numId w:val="106"/>
        </w:numPr>
        <w:rPr>
          <w:rFonts w:ascii="Arial" w:cs="Arial" w:eastAsia="Arial" w:hAnsi="Arial"/>
          <w:sz w:val="28"/>
          <w:szCs w:val="28"/>
          <w:color w:val="E75518"/>
        </w:rPr>
      </w:pPr>
      <w:r>
        <w:rPr>
          <w:rFonts w:ascii="Arial" w:cs="Arial" w:eastAsia="Arial" w:hAnsi="Arial"/>
          <w:sz w:val="28"/>
          <w:szCs w:val="28"/>
          <w:color w:val="FFFFFF"/>
        </w:rPr>
        <w:t>Targets the higher income consumer within the big and tall market</w:t>
      </w:r>
    </w:p>
    <w:p>
      <w:pPr>
        <w:spacing w:after="0" w:line="26" w:lineRule="exact"/>
        <w:rPr>
          <w:rFonts w:ascii="Arial" w:cs="Arial" w:eastAsia="Arial" w:hAnsi="Arial"/>
          <w:sz w:val="28"/>
          <w:szCs w:val="28"/>
          <w:color w:val="E75518"/>
        </w:rPr>
      </w:pPr>
    </w:p>
    <w:p>
      <w:pPr>
        <w:ind w:left="337"/>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$100,000 per year average salary</w:t>
      </w:r>
    </w:p>
    <w:p>
      <w:pPr>
        <w:spacing w:after="0" w:line="89" w:lineRule="exact"/>
        <w:rPr>
          <w:rFonts w:ascii="Arial" w:cs="Arial" w:eastAsia="Arial" w:hAnsi="Arial"/>
          <w:sz w:val="28"/>
          <w:szCs w:val="28"/>
          <w:color w:val="E75518"/>
        </w:rPr>
      </w:pPr>
    </w:p>
    <w:p>
      <w:pPr>
        <w:ind w:left="337" w:right="920" w:hanging="337"/>
        <w:spacing w:after="0" w:line="260" w:lineRule="auto"/>
        <w:tabs>
          <w:tab w:leader="none" w:pos="337" w:val="left"/>
        </w:tabs>
        <w:numPr>
          <w:ilvl w:val="0"/>
          <w:numId w:val="106"/>
        </w:numPr>
        <w:rPr>
          <w:rFonts w:ascii="Arial" w:cs="Arial" w:eastAsia="Arial" w:hAnsi="Arial"/>
          <w:sz w:val="28"/>
          <w:szCs w:val="28"/>
          <w:color w:val="E75518"/>
        </w:rPr>
      </w:pPr>
      <w:r>
        <w:rPr>
          <w:rFonts w:ascii="Arial" w:cs="Arial" w:eastAsia="Arial" w:hAnsi="Arial"/>
          <w:sz w:val="28"/>
          <w:szCs w:val="28"/>
          <w:color w:val="FFFFFF"/>
        </w:rPr>
        <w:t>20 store locations in downtown major metropolitan areas and upscale suburbs</w:t>
      </w:r>
    </w:p>
    <w:p>
      <w:pPr>
        <w:spacing w:after="0" w:line="34" w:lineRule="exact"/>
        <w:rPr>
          <w:rFonts w:ascii="Arial" w:cs="Arial" w:eastAsia="Arial" w:hAnsi="Arial"/>
          <w:sz w:val="28"/>
          <w:szCs w:val="28"/>
          <w:color w:val="E75518"/>
        </w:rPr>
      </w:pPr>
    </w:p>
    <w:p>
      <w:pPr>
        <w:ind w:left="337" w:hanging="337"/>
        <w:spacing w:after="0"/>
        <w:tabs>
          <w:tab w:leader="none" w:pos="337" w:val="left"/>
        </w:tabs>
        <w:numPr>
          <w:ilvl w:val="0"/>
          <w:numId w:val="106"/>
        </w:numPr>
        <w:rPr>
          <w:rFonts w:ascii="Arial" w:cs="Arial" w:eastAsia="Arial" w:hAnsi="Arial"/>
          <w:sz w:val="28"/>
          <w:szCs w:val="28"/>
          <w:color w:val="E75518"/>
        </w:rPr>
      </w:pPr>
      <w:r>
        <w:rPr>
          <w:rFonts w:ascii="Arial" w:cs="Arial" w:eastAsia="Arial" w:hAnsi="Arial"/>
          <w:sz w:val="28"/>
          <w:szCs w:val="28"/>
          <w:color w:val="FFFFFF"/>
        </w:rPr>
        <w:t>Average store size: 8,156 square ft</w:t>
      </w:r>
    </w:p>
    <w:p>
      <w:pPr>
        <w:spacing w:after="0" w:line="89" w:lineRule="exact"/>
        <w:rPr>
          <w:rFonts w:ascii="Arial" w:cs="Arial" w:eastAsia="Arial" w:hAnsi="Arial"/>
          <w:sz w:val="28"/>
          <w:szCs w:val="28"/>
          <w:color w:val="E75518"/>
        </w:rPr>
      </w:pPr>
    </w:p>
    <w:p>
      <w:pPr>
        <w:ind w:left="337" w:hanging="337"/>
        <w:spacing w:after="0"/>
        <w:tabs>
          <w:tab w:leader="none" w:pos="337" w:val="left"/>
        </w:tabs>
        <w:numPr>
          <w:ilvl w:val="0"/>
          <w:numId w:val="106"/>
        </w:numPr>
        <w:rPr>
          <w:rFonts w:ascii="Arial" w:cs="Arial" w:eastAsia="Arial" w:hAnsi="Arial"/>
          <w:sz w:val="28"/>
          <w:szCs w:val="28"/>
          <w:color w:val="E75518"/>
        </w:rPr>
      </w:pPr>
      <w:r>
        <w:rPr>
          <w:rFonts w:ascii="Arial" w:cs="Arial" w:eastAsia="Arial" w:hAnsi="Arial"/>
          <w:sz w:val="28"/>
          <w:szCs w:val="28"/>
          <w:color w:val="FFFFFF"/>
        </w:rPr>
        <w:t>Average sales / square foot: $256</w:t>
      </w:r>
    </w:p>
    <w:p>
      <w:pPr>
        <w:spacing w:after="0" w:line="89" w:lineRule="exact"/>
        <w:rPr>
          <w:rFonts w:ascii="Arial" w:cs="Arial" w:eastAsia="Arial" w:hAnsi="Arial"/>
          <w:sz w:val="28"/>
          <w:szCs w:val="28"/>
          <w:color w:val="E75518"/>
        </w:rPr>
      </w:pPr>
    </w:p>
    <w:p>
      <w:pPr>
        <w:ind w:left="677" w:right="320" w:hanging="341"/>
        <w:spacing w:after="0" w:line="257" w:lineRule="auto"/>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Stores carry higher-end designer</w:t>
      </w:r>
      <w:r>
        <w:rPr>
          <w:rFonts w:ascii="Arial" w:cs="Arial" w:eastAsia="Arial" w:hAnsi="Arial"/>
          <w:sz w:val="28"/>
          <w:szCs w:val="28"/>
          <w:color w:val="E75518"/>
        </w:rPr>
        <w:t xml:space="preserve"> </w:t>
      </w:r>
      <w:r>
        <w:rPr>
          <w:rFonts w:ascii="Arial" w:cs="Arial" w:eastAsia="Arial" w:hAnsi="Arial"/>
          <w:sz w:val="28"/>
          <w:szCs w:val="28"/>
          <w:color w:val="FFFFFF"/>
        </w:rPr>
        <w:t>product</w:t>
      </w:r>
    </w:p>
    <w:p>
      <w:pPr>
        <w:spacing w:after="0" w:line="50" w:lineRule="exact"/>
        <w:rPr>
          <w:rFonts w:ascii="Arial" w:cs="Arial" w:eastAsia="Arial" w:hAnsi="Arial"/>
          <w:sz w:val="28"/>
          <w:szCs w:val="28"/>
          <w:color w:val="E75518"/>
        </w:rPr>
      </w:pPr>
    </w:p>
    <w:p>
      <w:pPr>
        <w:ind w:left="337"/>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Average transaction size: $300</w:t>
      </w:r>
    </w:p>
    <w:p>
      <w:pPr>
        <w:spacing w:after="0" w:line="20" w:lineRule="exact"/>
        <w:rPr>
          <w:sz w:val="20"/>
          <w:szCs w:val="20"/>
          <w:color w:val="auto"/>
        </w:rPr>
      </w:pPr>
      <w:r>
        <w:rPr>
          <w:sz w:val="20"/>
          <w:szCs w:val="20"/>
          <w:color w:val="auto"/>
        </w:rPr>
        <w:br w:type="column"/>
      </w:r>
    </w:p>
    <w:p>
      <w:pPr>
        <w:ind w:left="2080"/>
        <w:spacing w:after="0"/>
        <w:rPr>
          <w:sz w:val="20"/>
          <w:szCs w:val="20"/>
          <w:color w:val="auto"/>
        </w:rPr>
      </w:pPr>
      <w:r>
        <w:rPr>
          <w:rFonts w:ascii="Arial" w:cs="Arial" w:eastAsia="Arial" w:hAnsi="Arial"/>
          <w:sz w:val="56"/>
          <w:szCs w:val="56"/>
          <w:color w:val="FFFFFF"/>
        </w:rPr>
        <w:t>Rochester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327"/>
        </w:trPr>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20" w:type="dxa"/>
            <w:vAlign w:val="bottom"/>
          </w:tcPr>
          <w:p>
            <w:pPr>
              <w:ind w:left="1140"/>
              <w:spacing w:after="0"/>
              <w:rPr>
                <w:sz w:val="20"/>
                <w:szCs w:val="20"/>
                <w:color w:val="auto"/>
              </w:rPr>
            </w:pPr>
            <w:r>
              <w:rPr>
                <w:rFonts w:ascii="Arial" w:cs="Arial" w:eastAsia="Arial" w:hAnsi="Arial"/>
                <w:sz w:val="25"/>
                <w:szCs w:val="25"/>
                <w:b w:val="1"/>
                <w:bCs w:val="1"/>
                <w:color w:val="FF6600"/>
                <w:w w:val="98"/>
              </w:rPr>
              <w:t>Locations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300" w:type="dxa"/>
            <w:vAlign w:val="bottom"/>
          </w:tcPr>
          <w:p>
            <w:pPr>
              <w:jc w:val="right"/>
              <w:ind w:right="1044"/>
              <w:spacing w:after="0"/>
              <w:rPr>
                <w:sz w:val="20"/>
                <w:szCs w:val="20"/>
                <w:color w:val="auto"/>
              </w:rPr>
            </w:pPr>
            <w:r>
              <w:rPr>
                <w:rFonts w:ascii="Arial" w:cs="Arial" w:eastAsia="Arial" w:hAnsi="Arial"/>
                <w:sz w:val="15"/>
                <w:szCs w:val="15"/>
                <w:color w:val="auto"/>
              </w:rPr>
              <w:t>1</w:t>
            </w:r>
          </w:p>
        </w:tc>
        <w:tc>
          <w:tcPr>
            <w:tcW w:w="2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3"/>
        </w:trPr>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20" w:type="dxa"/>
            <w:vAlign w:val="bottom"/>
          </w:tcPr>
          <w:p>
            <w:pPr>
              <w:jc w:val="right"/>
              <w:ind w:right="646"/>
              <w:spacing w:after="0"/>
              <w:rPr>
                <w:sz w:val="20"/>
                <w:szCs w:val="20"/>
                <w:color w:val="auto"/>
              </w:rPr>
            </w:pPr>
            <w:r>
              <w:rPr>
                <w:rFonts w:ascii="Arial" w:cs="Arial" w:eastAsia="Arial" w:hAnsi="Arial"/>
                <w:sz w:val="15"/>
                <w:szCs w:val="15"/>
                <w:color w:val="auto"/>
                <w:w w:val="71"/>
              </w:rPr>
              <w:t>3</w:t>
            </w: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320" w:type="dxa"/>
            <w:vAlign w:val="bottom"/>
          </w:tcPr>
          <w:p>
            <w:pPr>
              <w:jc w:val="right"/>
              <w:ind w:right="72"/>
              <w:spacing w:after="0"/>
              <w:rPr>
                <w:sz w:val="20"/>
                <w:szCs w:val="20"/>
                <w:color w:val="auto"/>
              </w:rPr>
            </w:pPr>
            <w:r>
              <w:rPr>
                <w:rFonts w:ascii="Arial" w:cs="Arial" w:eastAsia="Arial" w:hAnsi="Arial"/>
                <w:sz w:val="13"/>
                <w:szCs w:val="13"/>
                <w:color w:val="auto"/>
              </w:rPr>
              <w:t>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300" w:type="dxa"/>
            <w:vAlign w:val="bottom"/>
          </w:tcPr>
          <w:p>
            <w:pPr>
              <w:jc w:val="right"/>
              <w:ind w:right="1064"/>
              <w:spacing w:after="0"/>
              <w:rPr>
                <w:sz w:val="20"/>
                <w:szCs w:val="20"/>
                <w:color w:val="auto"/>
              </w:rPr>
            </w:pPr>
            <w:r>
              <w:rPr>
                <w:rFonts w:ascii="Arial" w:cs="Arial" w:eastAsia="Arial" w:hAnsi="Arial"/>
                <w:sz w:val="15"/>
                <w:szCs w:val="15"/>
                <w:color w:val="auto"/>
              </w:rPr>
              <w:t>1</w:t>
            </w:r>
          </w:p>
        </w:tc>
        <w:tc>
          <w:tcPr>
            <w:tcW w:w="2320" w:type="dxa"/>
            <w:vAlign w:val="bottom"/>
            <w:vMerge w:val="restart"/>
          </w:tcPr>
          <w:p>
            <w:pPr>
              <w:ind w:left="1160"/>
              <w:spacing w:after="0"/>
              <w:rPr>
                <w:sz w:val="20"/>
                <w:szCs w:val="20"/>
                <w:color w:val="auto"/>
              </w:rPr>
            </w:pPr>
            <w:r>
              <w:rPr>
                <w:rFonts w:ascii="Arial" w:cs="Arial" w:eastAsia="Arial" w:hAnsi="Arial"/>
                <w:sz w:val="15"/>
                <w:szCs w:val="15"/>
                <w:color w:val="auto"/>
              </w:rPr>
              <w:t>1</w:t>
            </w:r>
          </w:p>
        </w:tc>
        <w:tc>
          <w:tcPr>
            <w:tcW w:w="820" w:type="dxa"/>
            <w:vAlign w:val="bottom"/>
            <w:vMerge w:val="restart"/>
          </w:tcPr>
          <w:p>
            <w:pPr>
              <w:jc w:val="right"/>
              <w:spacing w:after="0"/>
              <w:rPr>
                <w:sz w:val="20"/>
                <w:szCs w:val="20"/>
                <w:color w:val="auto"/>
              </w:rPr>
            </w:pPr>
            <w:r>
              <w:rPr>
                <w:rFonts w:ascii="Arial" w:cs="Arial" w:eastAsia="Arial" w:hAnsi="Arial"/>
                <w:sz w:val="22"/>
                <w:szCs w:val="22"/>
                <w:color w:val="FFFFFF"/>
              </w:rPr>
              <w:t>Ma-1</w:t>
            </w:r>
          </w:p>
        </w:tc>
        <w:tc>
          <w:tcPr>
            <w:tcW w:w="0" w:type="dxa"/>
            <w:vAlign w:val="bottom"/>
          </w:tcPr>
          <w:p>
            <w:pPr>
              <w:spacing w:after="0"/>
              <w:rPr>
                <w:sz w:val="1"/>
                <w:szCs w:val="1"/>
                <w:color w:val="auto"/>
              </w:rPr>
            </w:pPr>
          </w:p>
        </w:tc>
      </w:tr>
      <w:tr>
        <w:trPr>
          <w:trHeight w:val="70"/>
        </w:trPr>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5</w:t>
            </w:r>
          </w:p>
        </w:tc>
        <w:tc>
          <w:tcPr>
            <w:tcW w:w="130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right"/>
        <w:spacing w:after="0"/>
        <w:rPr>
          <w:sz w:val="20"/>
          <w:szCs w:val="20"/>
          <w:color w:val="auto"/>
        </w:rPr>
      </w:pPr>
      <w:r>
        <w:rPr>
          <w:rFonts w:ascii="Arial" w:cs="Arial" w:eastAsia="Arial" w:hAnsi="Arial"/>
          <w:sz w:val="22"/>
          <w:szCs w:val="22"/>
          <w:color w:val="FFFFFF"/>
        </w:rPr>
        <w:t>DC-1</w:t>
      </w:r>
    </w:p>
    <w:p>
      <w:pPr>
        <w:spacing w:after="0" w:line="100"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1</w:t>
      </w:r>
    </w:p>
    <w:p>
      <w:pPr>
        <w:spacing w:after="0" w:line="39"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00" w:type="dxa"/>
            <w:vAlign w:val="bottom"/>
            <w:vMerge w:val="restart"/>
          </w:tcPr>
          <w:p>
            <w:pPr>
              <w:spacing w:after="0"/>
              <w:rPr>
                <w:sz w:val="20"/>
                <w:szCs w:val="20"/>
                <w:color w:val="auto"/>
              </w:rPr>
            </w:pPr>
            <w:r>
              <w:rPr>
                <w:rFonts w:ascii="Arial" w:cs="Arial" w:eastAsia="Arial" w:hAnsi="Arial"/>
                <w:sz w:val="13"/>
                <w:szCs w:val="13"/>
                <w:color w:val="FFFFFF"/>
              </w:rPr>
              <w:t>Rochester</w:t>
            </w:r>
          </w:p>
        </w:tc>
        <w:tc>
          <w:tcPr>
            <w:tcW w:w="11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9"/>
        </w:trPr>
        <w:tc>
          <w:tcPr>
            <w:tcW w:w="27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3"/>
                <w:szCs w:val="13"/>
                <w:color w:val="FFFFFF"/>
              </w:rPr>
              <w:t>* 1 London, United Kingdom</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760"/>
        <w:spacing w:after="0"/>
        <w:rPr>
          <w:sz w:val="20"/>
          <w:szCs w:val="20"/>
          <w:color w:val="auto"/>
        </w:rPr>
      </w:pPr>
      <w:r>
        <w:rPr>
          <w:rFonts w:ascii="Arial" w:cs="Arial" w:eastAsia="Arial" w:hAnsi="Arial"/>
          <w:sz w:val="19"/>
          <w:szCs w:val="19"/>
          <w:color w:val="003366"/>
        </w:rPr>
        <w:t>8</w:t>
      </w:r>
    </w:p>
    <w:p>
      <w:pPr>
        <w:sectPr>
          <w:pgSz w:w="11900" w:h="16838" w:orient="portrait"/>
          <w:cols w:equalWidth="0" w:num="2">
            <w:col w:w="5097" w:space="720"/>
            <w:col w:w="4880"/>
          </w:cols>
          <w:pgMar w:left="763" w:top="849" w:right="4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780"/>
        <w:spacing w:after="0"/>
        <w:rPr>
          <w:sz w:val="20"/>
          <w:szCs w:val="20"/>
          <w:color w:val="auto"/>
        </w:rPr>
      </w:pPr>
      <w:r>
        <w:rPr>
          <w:rFonts w:ascii="Arial" w:cs="Arial" w:eastAsia="Arial" w:hAnsi="Arial"/>
          <w:sz w:val="75"/>
          <w:szCs w:val="75"/>
          <w:b w:val="1"/>
          <w:bCs w:val="1"/>
          <w:i w:val="1"/>
          <w:iCs w:val="1"/>
          <w:color w:val="FFFFFF"/>
        </w:rPr>
        <w:t>Hybrid Stores</w:t>
      </w:r>
    </w:p>
    <w:p>
      <w:pPr>
        <w:sectPr>
          <w:pgSz w:w="11900" w:h="16838" w:orient="portrait"/>
          <w:cols w:equalWidth="0" w:num="1">
            <w:col w:w="9019"/>
          </w:cols>
          <w:pgMar w:left="1440" w:top="1440" w:right="1440" w:bottom="1440" w:gutter="0" w:footer="0" w:header="0"/>
        </w:sectPr>
      </w:pPr>
    </w:p>
    <w:bookmarkStart w:id="46" w:name="page47"/>
    <w:bookmarkEnd w:id="46"/>
    <w:p>
      <w:pPr>
        <w:ind w:left="834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Concept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140"/>
        <w:spacing w:after="0" w:line="232" w:lineRule="auto"/>
        <w:rPr>
          <w:sz w:val="20"/>
          <w:szCs w:val="20"/>
          <w:color w:val="auto"/>
        </w:rPr>
      </w:pPr>
      <w:r>
        <w:rPr>
          <w:rFonts w:ascii="Arial" w:cs="Arial" w:eastAsia="Arial" w:hAnsi="Arial"/>
          <w:sz w:val="37"/>
          <w:szCs w:val="37"/>
          <w:color w:val="FFFFFF"/>
        </w:rPr>
        <w:t>The Hybrid store, as conceived, is a combination Casual Male, Rochester store featuring the lifestyle sportswear apparel wardrobe needs offered by Casual Male, but with an added lifestyle of higher-end fashion apparel offered by Rochester and an enhanced Clothing section featuring the quality and fashion of Rochester Clothing and the price points of Casual Male clothing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10</w:t>
      </w:r>
    </w:p>
    <w:p>
      <w:pPr>
        <w:sectPr>
          <w:pgSz w:w="11900" w:h="16838" w:orient="portrait"/>
          <w:cols w:equalWidth="0" w:num="1">
            <w:col w:w="10520"/>
          </w:cols>
          <w:pgMar w:left="900" w:top="890" w:right="47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40"/>
        <w:spacing w:after="0"/>
        <w:rPr>
          <w:sz w:val="20"/>
          <w:szCs w:val="20"/>
          <w:color w:val="auto"/>
        </w:rPr>
      </w:pPr>
      <w:r>
        <w:rPr>
          <w:rFonts w:ascii="Arial" w:cs="Arial" w:eastAsia="Arial" w:hAnsi="Arial"/>
          <w:sz w:val="25"/>
          <w:szCs w:val="25"/>
          <w:color w:val="FFFFFF"/>
        </w:rPr>
        <w:t>OAKBROOK, IL •Hybrid Store Front</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11</w:t>
      </w:r>
    </w:p>
    <w:p>
      <w:pPr>
        <w:sectPr>
          <w:pgSz w:w="11900" w:h="16838" w:orient="portrait"/>
          <w:cols w:equalWidth="0" w:num="1">
            <w:col w:w="9980"/>
          </w:cols>
          <w:pgMar w:left="1440" w:top="1440" w:right="479" w:bottom="1440" w:gutter="0" w:footer="0" w:header="0"/>
        </w:sectPr>
      </w:pPr>
    </w:p>
    <w:bookmarkStart w:id="48" w:name="page49"/>
    <w:bookmarkEnd w:id="48"/>
    <w:p>
      <w:pPr>
        <w:ind w:left="420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Hybrid Store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0" w:right="1640" w:hanging="419"/>
        <w:spacing w:after="0" w:line="253" w:lineRule="auto"/>
        <w:tabs>
          <w:tab w:leader="none" w:pos="420" w:val="left"/>
        </w:tabs>
        <w:numPr>
          <w:ilvl w:val="0"/>
          <w:numId w:val="107"/>
        </w:numPr>
        <w:rPr>
          <w:rFonts w:ascii="Arial" w:cs="Arial" w:eastAsia="Arial" w:hAnsi="Arial"/>
          <w:sz w:val="32"/>
          <w:szCs w:val="32"/>
          <w:color w:val="E75518"/>
        </w:rPr>
      </w:pPr>
      <w:r>
        <w:rPr>
          <w:rFonts w:ascii="Arial" w:cs="Arial" w:eastAsia="Arial" w:hAnsi="Arial"/>
          <w:sz w:val="32"/>
          <w:szCs w:val="32"/>
          <w:color w:val="FFFFFF"/>
        </w:rPr>
        <w:t>Prior Casual Male XL only customers are now spending 16% of their purchases on Rochester merchandise.</w:t>
      </w:r>
    </w:p>
    <w:p>
      <w:pPr>
        <w:spacing w:after="0" w:line="200" w:lineRule="exact"/>
        <w:rPr>
          <w:rFonts w:ascii="Arial" w:cs="Arial" w:eastAsia="Arial" w:hAnsi="Arial"/>
          <w:sz w:val="32"/>
          <w:szCs w:val="32"/>
          <w:color w:val="E75518"/>
        </w:rPr>
      </w:pPr>
    </w:p>
    <w:p>
      <w:pPr>
        <w:spacing w:after="0" w:line="304" w:lineRule="exact"/>
        <w:rPr>
          <w:rFonts w:ascii="Arial" w:cs="Arial" w:eastAsia="Arial" w:hAnsi="Arial"/>
          <w:sz w:val="32"/>
          <w:szCs w:val="32"/>
          <w:color w:val="E75518"/>
        </w:rPr>
      </w:pPr>
    </w:p>
    <w:p>
      <w:pPr>
        <w:ind w:left="420" w:right="1840" w:hanging="419"/>
        <w:spacing w:after="0" w:line="253" w:lineRule="auto"/>
        <w:tabs>
          <w:tab w:leader="none" w:pos="420" w:val="left"/>
        </w:tabs>
        <w:numPr>
          <w:ilvl w:val="0"/>
          <w:numId w:val="107"/>
        </w:numPr>
        <w:rPr>
          <w:rFonts w:ascii="Arial" w:cs="Arial" w:eastAsia="Arial" w:hAnsi="Arial"/>
          <w:sz w:val="32"/>
          <w:szCs w:val="32"/>
          <w:color w:val="E75518"/>
        </w:rPr>
      </w:pPr>
      <w:r>
        <w:rPr>
          <w:rFonts w:ascii="Arial" w:cs="Arial" w:eastAsia="Arial" w:hAnsi="Arial"/>
          <w:sz w:val="32"/>
          <w:szCs w:val="32"/>
          <w:color w:val="FFFFFF"/>
        </w:rPr>
        <w:t>Customers who previously shopped both Casual Male XL and Rochester Clothing are shopping more frequently.</w:t>
      </w:r>
    </w:p>
    <w:p>
      <w:pPr>
        <w:spacing w:after="0" w:line="200" w:lineRule="exact"/>
        <w:rPr>
          <w:rFonts w:ascii="Arial" w:cs="Arial" w:eastAsia="Arial" w:hAnsi="Arial"/>
          <w:sz w:val="32"/>
          <w:szCs w:val="32"/>
          <w:color w:val="E75518"/>
        </w:rPr>
      </w:pPr>
    </w:p>
    <w:p>
      <w:pPr>
        <w:spacing w:after="0" w:line="292" w:lineRule="exact"/>
        <w:rPr>
          <w:rFonts w:ascii="Arial" w:cs="Arial" w:eastAsia="Arial" w:hAnsi="Arial"/>
          <w:sz w:val="32"/>
          <w:szCs w:val="32"/>
          <w:color w:val="E75518"/>
        </w:rPr>
      </w:pPr>
    </w:p>
    <w:p>
      <w:pPr>
        <w:ind w:left="420" w:right="1260" w:hanging="419"/>
        <w:spacing w:after="0" w:line="249" w:lineRule="auto"/>
        <w:tabs>
          <w:tab w:leader="none" w:pos="420" w:val="left"/>
        </w:tabs>
        <w:numPr>
          <w:ilvl w:val="0"/>
          <w:numId w:val="107"/>
        </w:numPr>
        <w:rPr>
          <w:rFonts w:ascii="Arial" w:cs="Arial" w:eastAsia="Arial" w:hAnsi="Arial"/>
          <w:sz w:val="32"/>
          <w:szCs w:val="32"/>
          <w:color w:val="E75518"/>
        </w:rPr>
      </w:pPr>
      <w:r>
        <w:rPr>
          <w:rFonts w:ascii="Arial" w:cs="Arial" w:eastAsia="Arial" w:hAnsi="Arial"/>
          <w:sz w:val="32"/>
          <w:szCs w:val="32"/>
          <w:color w:val="FFFFFF"/>
        </w:rPr>
        <w:t>Prior Rochester only customers that are now shopping at a Hybrid store are spending 4% more than Rochester non-hybrid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12</w:t>
      </w:r>
    </w:p>
    <w:p>
      <w:pPr>
        <w:sectPr>
          <w:pgSz w:w="11900" w:h="16838" w:orient="portrait"/>
          <w:cols w:equalWidth="0" w:num="1">
            <w:col w:w="10940"/>
          </w:cols>
          <w:pgMar w:left="480" w:top="849" w:right="47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80"/>
        <w:spacing w:after="0"/>
        <w:rPr>
          <w:sz w:val="20"/>
          <w:szCs w:val="20"/>
          <w:color w:val="auto"/>
        </w:rPr>
      </w:pPr>
      <w:r>
        <w:rPr>
          <w:rFonts w:ascii="Arial" w:cs="Arial" w:eastAsia="Arial" w:hAnsi="Arial"/>
          <w:sz w:val="86"/>
          <w:szCs w:val="86"/>
          <w:i w:val="1"/>
          <w:iCs w:val="1"/>
          <w:color w:val="FFFFFF"/>
        </w:rPr>
        <w:t xml:space="preserve">Destination </w:t>
      </w:r>
      <w:r>
        <w:rPr>
          <w:rFonts w:ascii="Arial" w:cs="Arial" w:eastAsia="Arial" w:hAnsi="Arial"/>
          <w:sz w:val="86"/>
          <w:szCs w:val="86"/>
          <w:i w:val="1"/>
          <w:iCs w:val="1"/>
          <w:color w:val="FF6600"/>
        </w:rPr>
        <w:t>XL</w:t>
      </w:r>
      <w:r>
        <w:rPr>
          <w:rFonts w:ascii="Arial" w:cs="Arial" w:eastAsia="Arial" w:hAnsi="Arial"/>
          <w:sz w:val="14"/>
          <w:szCs w:val="14"/>
          <w:i w:val="1"/>
          <w:iCs w:val="1"/>
          <w:color w:val="C0C0C0"/>
        </w:rPr>
        <w:t>TM</w:t>
      </w:r>
      <w:r>
        <w:rPr>
          <w:rFonts w:ascii="Arial" w:cs="Arial" w:eastAsia="Arial" w:hAnsi="Arial"/>
          <w:sz w:val="86"/>
          <w:szCs w:val="86"/>
          <w:i w:val="1"/>
          <w:iCs w:val="1"/>
          <w:color w:val="FFFFFF"/>
        </w:rPr>
        <w:t xml:space="preserve">       </w:t>
      </w:r>
      <w:r>
        <w:rPr>
          <w:rFonts w:ascii="Arial" w:cs="Arial" w:eastAsia="Arial" w:hAnsi="Arial"/>
          <w:sz w:val="25"/>
          <w:szCs w:val="25"/>
          <w:i w:val="1"/>
          <w:iCs w:val="1"/>
          <w:color w:val="FF6600"/>
          <w:vertAlign w:val="subscript"/>
        </w:rPr>
        <w:t>TM</w:t>
      </w:r>
    </w:p>
    <w:p>
      <w:pPr>
        <w:sectPr>
          <w:pgSz w:w="11900" w:h="16838" w:orient="portrait"/>
          <w:cols w:equalWidth="0" w:num="1">
            <w:col w:w="9220"/>
          </w:cols>
          <w:pgMar w:left="1440" w:top="1440"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720"/>
        <w:spacing w:after="0"/>
        <w:rPr>
          <w:sz w:val="20"/>
          <w:szCs w:val="20"/>
          <w:color w:val="auto"/>
        </w:rPr>
      </w:pPr>
      <w:r>
        <w:rPr>
          <w:rFonts w:ascii="Arial" w:cs="Arial" w:eastAsia="Arial" w:hAnsi="Arial"/>
          <w:sz w:val="37"/>
          <w:szCs w:val="37"/>
          <w:b w:val="1"/>
          <w:bCs w:val="1"/>
          <w:color w:val="FF6600"/>
        </w:rPr>
        <w:t>DXL</w:t>
      </w:r>
      <w:r>
        <w:rPr>
          <w:rFonts w:ascii="Arial" w:cs="Arial" w:eastAsia="Arial" w:hAnsi="Arial"/>
          <w:sz w:val="15"/>
          <w:szCs w:val="15"/>
          <w:b w:val="1"/>
          <w:bCs w:val="1"/>
          <w:color w:val="FF6600"/>
        </w:rPr>
        <w:t>TM</w:t>
      </w:r>
      <w:r>
        <w:rPr>
          <w:rFonts w:ascii="Arial" w:cs="Arial" w:eastAsia="Arial" w:hAnsi="Arial"/>
          <w:sz w:val="37"/>
          <w:szCs w:val="37"/>
          <w:b w:val="1"/>
          <w:bCs w:val="1"/>
          <w:color w:val="FF6600"/>
        </w:rPr>
        <w:t xml:space="preserve">   </w:t>
      </w:r>
      <w:r>
        <w:rPr>
          <w:rFonts w:ascii="Arial" w:cs="Arial" w:eastAsia="Arial" w:hAnsi="Arial"/>
          <w:sz w:val="37"/>
          <w:szCs w:val="37"/>
          <w:b w:val="1"/>
          <w:bCs w:val="1"/>
          <w:color w:val="FFFFFF"/>
        </w:rPr>
        <w:t>– Superstore concept</w:t>
      </w:r>
    </w:p>
    <w:p>
      <w:pPr>
        <w:sectPr>
          <w:pgSz w:w="11900" w:h="16838" w:orient="portrait"/>
          <w:cols w:equalWidth="0" w:num="1">
            <w:col w:w="9220"/>
          </w:cols>
          <w:pgMar w:left="1440" w:top="1440" w:right="1239" w:bottom="1440" w:gutter="0" w:footer="0" w:header="0"/>
          <w:type w:val="continuous"/>
        </w:sectPr>
      </w:pPr>
    </w:p>
    <w:bookmarkStart w:id="50" w:name="page51"/>
    <w:bookmarkEnd w:id="50"/>
    <w:p>
      <w:pPr>
        <w:ind w:left="820"/>
        <w:spacing w:after="0"/>
        <w:tabs>
          <w:tab w:leader="none" w:pos="5580" w:val="left"/>
        </w:tabs>
        <w:rPr>
          <w:sz w:val="20"/>
          <w:szCs w:val="20"/>
          <w:color w:val="auto"/>
        </w:rPr>
      </w:pPr>
      <w:r>
        <w:rPr>
          <w:rFonts w:ascii="Arial" w:cs="Arial" w:eastAsia="Arial" w:hAnsi="Arial"/>
          <w:sz w:val="51"/>
          <w:szCs w:val="51"/>
          <w:b w:val="1"/>
          <w:bCs w:val="1"/>
          <w:i w:val="1"/>
          <w:i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DXL</w:t>
      </w:r>
      <w:r>
        <w:rPr>
          <w:rFonts w:ascii="Arial" w:cs="Arial" w:eastAsia="Arial" w:hAnsi="Arial"/>
          <w:sz w:val="15"/>
          <w:szCs w:val="15"/>
          <w:b w:val="1"/>
          <w:bCs w:val="1"/>
          <w:i w:val="1"/>
          <w:iCs w:val="1"/>
          <w:color w:val="FFFFFF"/>
        </w:rPr>
        <w:t>TM</w:t>
      </w:r>
      <w:r>
        <w:rPr>
          <w:rFonts w:ascii="Arial" w:cs="Arial" w:eastAsia="Arial" w:hAnsi="Arial"/>
          <w:sz w:val="51"/>
          <w:szCs w:val="51"/>
          <w:b w:val="1"/>
          <w:bCs w:val="1"/>
          <w:i w:val="1"/>
          <w:iCs w:val="1"/>
          <w:color w:val="FFFFFF"/>
        </w:rPr>
        <w:t xml:space="preserve">   Superstore</w:t>
      </w:r>
      <w:r>
        <w:rPr>
          <w:sz w:val="20"/>
          <w:szCs w:val="20"/>
          <w:color w:val="auto"/>
        </w:rPr>
        <w:tab/>
      </w:r>
      <w:r>
        <w:rPr>
          <w:rFonts w:ascii="Arial" w:cs="Arial" w:eastAsia="Arial" w:hAnsi="Arial"/>
          <w:sz w:val="51"/>
          <w:szCs w:val="51"/>
          <w:color w:val="FFFFFF"/>
        </w:rPr>
        <w:t>– Customer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0" w:right="1140" w:hanging="419"/>
        <w:spacing w:after="0" w:line="250" w:lineRule="auto"/>
        <w:tabs>
          <w:tab w:leader="none" w:pos="420" w:val="left"/>
        </w:tabs>
        <w:numPr>
          <w:ilvl w:val="0"/>
          <w:numId w:val="108"/>
        </w:numPr>
        <w:rPr>
          <w:rFonts w:ascii="Arial" w:cs="Arial" w:eastAsia="Arial" w:hAnsi="Arial"/>
          <w:sz w:val="38"/>
          <w:szCs w:val="38"/>
          <w:color w:val="E75518"/>
        </w:rPr>
      </w:pPr>
      <w:r>
        <w:rPr>
          <w:rFonts w:ascii="Arial" w:cs="Arial" w:eastAsia="Arial" w:hAnsi="Arial"/>
          <w:sz w:val="38"/>
          <w:szCs w:val="38"/>
          <w:color w:val="FFFFFF"/>
        </w:rPr>
        <w:t>Through customer research conducted in 2009, customers expressed the need for more apparel choices within one store concept supporting the concept of Destination XL.</w:t>
      </w:r>
    </w:p>
    <w:p>
      <w:pPr>
        <w:spacing w:after="0" w:line="200" w:lineRule="exact"/>
        <w:rPr>
          <w:sz w:val="20"/>
          <w:szCs w:val="20"/>
          <w:color w:val="auto"/>
        </w:rPr>
      </w:pPr>
    </w:p>
    <w:p>
      <w:pPr>
        <w:spacing w:after="0" w:line="387" w:lineRule="exact"/>
        <w:rPr>
          <w:sz w:val="20"/>
          <w:szCs w:val="20"/>
          <w:color w:val="auto"/>
        </w:rPr>
      </w:pPr>
    </w:p>
    <w:p>
      <w:pPr>
        <w:ind w:left="920" w:right="160" w:hanging="359"/>
        <w:spacing w:after="0" w:line="263" w:lineRule="auto"/>
        <w:tabs>
          <w:tab w:leader="none" w:pos="900" w:val="left"/>
        </w:tabs>
        <w:rPr>
          <w:sz w:val="20"/>
          <w:szCs w:val="20"/>
          <w:color w:val="auto"/>
        </w:rPr>
      </w:pPr>
      <w:r>
        <w:rPr>
          <w:rFonts w:ascii="Arial" w:cs="Arial" w:eastAsia="Arial" w:hAnsi="Arial"/>
          <w:sz w:val="25"/>
          <w:szCs w:val="25"/>
          <w:color w:val="E75518"/>
        </w:rPr>
        <w:t>–</w:t>
      </w:r>
      <w:r>
        <w:rPr>
          <w:rFonts w:ascii="Arial" w:cs="Arial" w:eastAsia="Arial" w:hAnsi="Arial"/>
          <w:sz w:val="25"/>
          <w:szCs w:val="25"/>
          <w:color w:val="FFFFFF"/>
        </w:rPr>
        <w:tab/>
        <w:t>The Destination XL store concept received positive feedback from focus groups due to its comprehensive selection</w:t>
      </w:r>
    </w:p>
    <w:p>
      <w:pPr>
        <w:spacing w:after="0" w:line="392" w:lineRule="exact"/>
        <w:rPr>
          <w:sz w:val="20"/>
          <w:szCs w:val="20"/>
          <w:color w:val="auto"/>
        </w:rPr>
      </w:pPr>
    </w:p>
    <w:p>
      <w:pPr>
        <w:ind w:left="920" w:right="1640" w:hanging="352"/>
        <w:spacing w:after="0" w:line="263" w:lineRule="auto"/>
        <w:rPr>
          <w:sz w:val="20"/>
          <w:szCs w:val="20"/>
          <w:color w:val="auto"/>
        </w:rPr>
      </w:pPr>
      <w:r>
        <w:rPr>
          <w:rFonts w:ascii="Arial" w:cs="Arial" w:eastAsia="Arial" w:hAnsi="Arial"/>
          <w:sz w:val="25"/>
          <w:szCs w:val="25"/>
          <w:color w:val="E75518"/>
        </w:rPr>
        <w:t xml:space="preserve">– </w:t>
      </w:r>
      <w:r>
        <w:rPr>
          <w:rFonts w:ascii="Arial" w:cs="Arial" w:eastAsia="Arial" w:hAnsi="Arial"/>
          <w:sz w:val="25"/>
          <w:szCs w:val="25"/>
          <w:color w:val="FFFFFF"/>
        </w:rPr>
        <w:t>Customers willing to travel between 45 minutes to 1 hour on average to shop</w:t>
      </w:r>
      <w:r>
        <w:rPr>
          <w:rFonts w:ascii="Arial" w:cs="Arial" w:eastAsia="Arial" w:hAnsi="Arial"/>
          <w:sz w:val="25"/>
          <w:szCs w:val="25"/>
          <w:color w:val="E75518"/>
        </w:rPr>
        <w:t xml:space="preserve"> </w:t>
      </w:r>
      <w:r>
        <w:rPr>
          <w:rFonts w:ascii="Arial" w:cs="Arial" w:eastAsia="Arial" w:hAnsi="Arial"/>
          <w:sz w:val="25"/>
          <w:szCs w:val="25"/>
          <w:color w:val="FFFFFF"/>
        </w:rPr>
        <w:t>the store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14</w:t>
      </w:r>
    </w:p>
    <w:p>
      <w:pPr>
        <w:sectPr>
          <w:pgSz w:w="11900" w:h="16838" w:orient="portrait"/>
          <w:cols w:equalWidth="0" w:num="1">
            <w:col w:w="10940"/>
          </w:cols>
          <w:pgMar w:left="480" w:top="830" w:right="479" w:bottom="1440" w:gutter="0" w:footer="0" w:header="0"/>
        </w:sectPr>
      </w:pPr>
    </w:p>
    <w:bookmarkStart w:id="51" w:name="page52"/>
    <w:bookmarkEnd w:id="51"/>
    <w:p>
      <w:pPr>
        <w:ind w:left="4880"/>
        <w:spacing w:after="0"/>
        <w:rPr>
          <w:sz w:val="20"/>
          <w:szCs w:val="20"/>
          <w:color w:val="auto"/>
        </w:rPr>
      </w:pPr>
      <w:r>
        <w:rPr>
          <w:rFonts w:ascii="Arial" w:cs="Arial" w:eastAsia="Arial" w:hAnsi="Arial"/>
          <w:sz w:val="56"/>
          <w:szCs w:val="56"/>
          <w:b w:val="1"/>
          <w:bCs w:val="1"/>
          <w:i w:val="1"/>
          <w:i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DXL</w:t>
      </w:r>
      <w:r>
        <w:rPr>
          <w:rFonts w:ascii="Arial" w:cs="Arial" w:eastAsia="Arial" w:hAnsi="Arial"/>
          <w:sz w:val="15"/>
          <w:szCs w:val="15"/>
          <w:b w:val="1"/>
          <w:bCs w:val="1"/>
          <w:i w:val="1"/>
          <w:iCs w:val="1"/>
          <w:color w:val="FFFFFF"/>
        </w:rPr>
        <w:t>TM</w:t>
      </w:r>
      <w:r>
        <w:rPr>
          <w:rFonts w:ascii="Arial" w:cs="Arial" w:eastAsia="Arial" w:hAnsi="Arial"/>
          <w:sz w:val="56"/>
          <w:szCs w:val="56"/>
          <w:b w:val="1"/>
          <w:bCs w:val="1"/>
          <w:i w:val="1"/>
          <w:iCs w:val="1"/>
          <w:color w:val="FFFFFF"/>
        </w:rPr>
        <w:t xml:space="preserve">    Store Concept</w:t>
      </w:r>
    </w:p>
    <w:p>
      <w:pPr>
        <w:spacing w:after="0" w:line="200" w:lineRule="exact"/>
        <w:rPr>
          <w:sz w:val="20"/>
          <w:szCs w:val="20"/>
          <w:color w:val="auto"/>
        </w:rPr>
      </w:pPr>
    </w:p>
    <w:p>
      <w:pPr>
        <w:spacing w:after="0" w:line="292" w:lineRule="exact"/>
        <w:rPr>
          <w:sz w:val="20"/>
          <w:szCs w:val="20"/>
          <w:color w:val="auto"/>
        </w:rPr>
      </w:pPr>
    </w:p>
    <w:p>
      <w:pPr>
        <w:ind w:left="420" w:right="660" w:hanging="419"/>
        <w:spacing w:after="0" w:line="266" w:lineRule="auto"/>
        <w:tabs>
          <w:tab w:leader="none" w:pos="420" w:val="left"/>
        </w:tabs>
        <w:numPr>
          <w:ilvl w:val="0"/>
          <w:numId w:val="110"/>
        </w:numPr>
        <w:rPr>
          <w:rFonts w:ascii="Arial" w:cs="Arial" w:eastAsia="Arial" w:hAnsi="Arial"/>
          <w:sz w:val="28"/>
          <w:szCs w:val="28"/>
          <w:color w:val="E75518"/>
        </w:rPr>
      </w:pPr>
      <w:r>
        <w:rPr>
          <w:rFonts w:ascii="Arial" w:cs="Arial" w:eastAsia="Arial" w:hAnsi="Arial"/>
          <w:sz w:val="28"/>
          <w:szCs w:val="28"/>
          <w:color w:val="FFFFFF"/>
        </w:rPr>
        <w:t>DXL Store will range from 10,000 SF – 12,000 SF as compared to the average Casual Male Store of 3,500 SF</w:t>
      </w:r>
    </w:p>
    <w:p>
      <w:pPr>
        <w:spacing w:after="0" w:line="200" w:lineRule="exact"/>
        <w:rPr>
          <w:rFonts w:ascii="Arial" w:cs="Arial" w:eastAsia="Arial" w:hAnsi="Arial"/>
          <w:sz w:val="28"/>
          <w:szCs w:val="28"/>
          <w:color w:val="E75518"/>
        </w:rPr>
      </w:pPr>
    </w:p>
    <w:p>
      <w:pPr>
        <w:spacing w:after="0" w:line="237" w:lineRule="exact"/>
        <w:rPr>
          <w:rFonts w:ascii="Arial" w:cs="Arial" w:eastAsia="Arial" w:hAnsi="Arial"/>
          <w:sz w:val="28"/>
          <w:szCs w:val="28"/>
          <w:color w:val="E75518"/>
        </w:rPr>
      </w:pPr>
    </w:p>
    <w:p>
      <w:pPr>
        <w:ind w:left="420" w:right="1500" w:hanging="419"/>
        <w:spacing w:after="0" w:line="254" w:lineRule="auto"/>
        <w:tabs>
          <w:tab w:leader="none" w:pos="420" w:val="left"/>
        </w:tabs>
        <w:numPr>
          <w:ilvl w:val="0"/>
          <w:numId w:val="110"/>
        </w:numPr>
        <w:rPr>
          <w:rFonts w:ascii="Arial" w:cs="Arial" w:eastAsia="Arial" w:hAnsi="Arial"/>
          <w:sz w:val="28"/>
          <w:szCs w:val="28"/>
          <w:color w:val="E75518"/>
        </w:rPr>
      </w:pPr>
      <w:r>
        <w:rPr>
          <w:rFonts w:ascii="Arial" w:cs="Arial" w:eastAsia="Arial" w:hAnsi="Arial"/>
          <w:sz w:val="28"/>
          <w:szCs w:val="28"/>
          <w:color w:val="FFFFFF"/>
        </w:rPr>
        <w:t>DXL Store will combine all products at CMRG including Casual Male XL, Rochester Clothing, B&amp;T Factory Direct, Living XL, and Shoes XL Expanding the assortment will offer consumers more than 3 times the current selection at Casual Male XL, allowing customers to select from a broad selection of price points and brands within each lifestyle.</w:t>
      </w:r>
    </w:p>
    <w:p>
      <w:pPr>
        <w:spacing w:after="0" w:line="200" w:lineRule="exact"/>
        <w:rPr>
          <w:rFonts w:ascii="Arial" w:cs="Arial" w:eastAsia="Arial" w:hAnsi="Arial"/>
          <w:sz w:val="28"/>
          <w:szCs w:val="28"/>
          <w:color w:val="E75518"/>
        </w:rPr>
      </w:pPr>
    </w:p>
    <w:p>
      <w:pPr>
        <w:spacing w:after="0" w:line="269" w:lineRule="exact"/>
        <w:rPr>
          <w:rFonts w:ascii="Arial" w:cs="Arial" w:eastAsia="Arial" w:hAnsi="Arial"/>
          <w:sz w:val="28"/>
          <w:szCs w:val="28"/>
          <w:color w:val="E75518"/>
        </w:rPr>
      </w:pPr>
    </w:p>
    <w:p>
      <w:pPr>
        <w:ind w:left="420" w:right="1720" w:hanging="419"/>
        <w:spacing w:after="0" w:line="255" w:lineRule="auto"/>
        <w:tabs>
          <w:tab w:leader="none" w:pos="420" w:val="left"/>
        </w:tabs>
        <w:numPr>
          <w:ilvl w:val="0"/>
          <w:numId w:val="110"/>
        </w:numPr>
        <w:rPr>
          <w:rFonts w:ascii="Arial" w:cs="Arial" w:eastAsia="Arial" w:hAnsi="Arial"/>
          <w:sz w:val="28"/>
          <w:szCs w:val="28"/>
          <w:color w:val="E75518"/>
        </w:rPr>
      </w:pPr>
      <w:r>
        <w:rPr>
          <w:rFonts w:ascii="Arial" w:cs="Arial" w:eastAsia="Arial" w:hAnsi="Arial"/>
          <w:sz w:val="28"/>
          <w:szCs w:val="28"/>
          <w:color w:val="FFFFFF"/>
        </w:rPr>
        <w:t>In addition to the expansive merchandise, DXL Store will house new services such as on-site tailors and online ordering presented in a new and exciting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15</w:t>
      </w:r>
    </w:p>
    <w:p>
      <w:pPr>
        <w:sectPr>
          <w:pgSz w:w="11900" w:h="16838" w:orient="portrait"/>
          <w:cols w:equalWidth="0" w:num="1">
            <w:col w:w="10940"/>
          </w:cols>
          <w:pgMar w:left="480" w:top="781" w:right="479" w:bottom="1440" w:gutter="0" w:footer="0" w:header="0"/>
        </w:sectPr>
      </w:pPr>
    </w:p>
    <w:bookmarkStart w:id="52" w:name="page53"/>
    <w:bookmarkEnd w:id="52"/>
    <w:p>
      <w:pPr>
        <w:ind w:left="4880"/>
        <w:spacing w:after="0"/>
        <w:rPr>
          <w:sz w:val="20"/>
          <w:szCs w:val="20"/>
          <w:color w:val="auto"/>
        </w:rPr>
      </w:pPr>
      <w:r>
        <w:rPr>
          <w:rFonts w:ascii="Arial" w:cs="Arial" w:eastAsia="Arial" w:hAnsi="Arial"/>
          <w:sz w:val="56"/>
          <w:szCs w:val="56"/>
          <w:b w:val="1"/>
          <w:bCs w:val="1"/>
          <w:i w:val="1"/>
          <w:i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DXL</w:t>
      </w:r>
      <w:r>
        <w:rPr>
          <w:rFonts w:ascii="Arial" w:cs="Arial" w:eastAsia="Arial" w:hAnsi="Arial"/>
          <w:sz w:val="15"/>
          <w:szCs w:val="15"/>
          <w:b w:val="1"/>
          <w:bCs w:val="1"/>
          <w:i w:val="1"/>
          <w:iCs w:val="1"/>
          <w:color w:val="FFFFFF"/>
        </w:rPr>
        <w:t>TM</w:t>
      </w:r>
      <w:r>
        <w:rPr>
          <w:rFonts w:ascii="Arial" w:cs="Arial" w:eastAsia="Arial" w:hAnsi="Arial"/>
          <w:sz w:val="56"/>
          <w:szCs w:val="56"/>
          <w:b w:val="1"/>
          <w:bCs w:val="1"/>
          <w:i w:val="1"/>
          <w:iCs w:val="1"/>
          <w:color w:val="FFFFFF"/>
        </w:rPr>
        <w:t xml:space="preserve">    Store Concept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0" w:right="1280" w:hanging="419"/>
        <w:spacing w:after="0" w:line="253" w:lineRule="auto"/>
        <w:tabs>
          <w:tab w:leader="none" w:pos="420" w:val="left"/>
        </w:tabs>
        <w:numPr>
          <w:ilvl w:val="0"/>
          <w:numId w:val="111"/>
        </w:numPr>
        <w:rPr>
          <w:rFonts w:ascii="Arial" w:cs="Arial" w:eastAsia="Arial" w:hAnsi="Arial"/>
          <w:sz w:val="31"/>
          <w:szCs w:val="31"/>
          <w:color w:val="E75518"/>
        </w:rPr>
      </w:pPr>
      <w:r>
        <w:rPr>
          <w:rFonts w:ascii="Arial" w:cs="Arial" w:eastAsia="Arial" w:hAnsi="Arial"/>
          <w:sz w:val="31"/>
          <w:szCs w:val="31"/>
          <w:color w:val="FFFFFF"/>
        </w:rPr>
        <w:t>With the re-branding of Casual Male Big and Tall to Casual Male XL, we experienced increased traffic and new customers. We anticipate the same results with the new DXL logo and store front,</w:t>
      </w:r>
    </w:p>
    <w:p>
      <w:pPr>
        <w:ind w:left="420"/>
        <w:spacing w:after="0"/>
        <w:tabs>
          <w:tab w:leader="none" w:pos="2040" w:val="left"/>
          <w:tab w:leader="none" w:pos="7360" w:val="left"/>
        </w:tabs>
        <w:rPr>
          <w:sz w:val="20"/>
          <w:szCs w:val="20"/>
          <w:color w:val="auto"/>
        </w:rPr>
      </w:pPr>
      <w:r>
        <w:rPr>
          <w:rFonts w:ascii="Arial" w:cs="Arial" w:eastAsia="Arial" w:hAnsi="Arial"/>
          <w:sz w:val="32"/>
          <w:szCs w:val="32"/>
          <w:color w:val="FFFFFF"/>
        </w:rPr>
        <w:t>attracting</w:t>
        <w:tab/>
        <w:t>the smaller  big and tall customer</w:t>
        <w:tab/>
        <w:t>(42”  – 44” waists)</w:t>
      </w:r>
    </w:p>
    <w:p>
      <w:pPr>
        <w:spacing w:after="0" w:line="200" w:lineRule="exact"/>
        <w:rPr>
          <w:sz w:val="20"/>
          <w:szCs w:val="20"/>
          <w:color w:val="auto"/>
        </w:rPr>
      </w:pPr>
    </w:p>
    <w:p>
      <w:pPr>
        <w:spacing w:after="0" w:line="336" w:lineRule="exact"/>
        <w:rPr>
          <w:sz w:val="20"/>
          <w:szCs w:val="20"/>
          <w:color w:val="auto"/>
        </w:rPr>
      </w:pPr>
    </w:p>
    <w:p>
      <w:pPr>
        <w:ind w:left="420" w:right="1700" w:hanging="419"/>
        <w:spacing w:after="0" w:line="253" w:lineRule="auto"/>
        <w:tabs>
          <w:tab w:leader="none" w:pos="420" w:val="left"/>
        </w:tabs>
        <w:numPr>
          <w:ilvl w:val="0"/>
          <w:numId w:val="112"/>
        </w:numPr>
        <w:rPr>
          <w:rFonts w:ascii="Arial" w:cs="Arial" w:eastAsia="Arial" w:hAnsi="Arial"/>
          <w:sz w:val="32"/>
          <w:szCs w:val="32"/>
          <w:color w:val="E75518"/>
        </w:rPr>
      </w:pPr>
      <w:r>
        <w:rPr>
          <w:rFonts w:ascii="Arial" w:cs="Arial" w:eastAsia="Arial" w:hAnsi="Arial"/>
          <w:sz w:val="32"/>
          <w:szCs w:val="32"/>
          <w:color w:val="FFFFFF"/>
        </w:rPr>
        <w:t>CMRG has a plan to open 5 to 10 DXL stores in major markets each year over the next several years.</w:t>
      </w:r>
    </w:p>
    <w:p>
      <w:pPr>
        <w:spacing w:after="0" w:line="200" w:lineRule="exact"/>
        <w:rPr>
          <w:rFonts w:ascii="Arial" w:cs="Arial" w:eastAsia="Arial" w:hAnsi="Arial"/>
          <w:sz w:val="32"/>
          <w:szCs w:val="32"/>
          <w:color w:val="E75518"/>
        </w:rPr>
      </w:pPr>
    </w:p>
    <w:p>
      <w:pPr>
        <w:spacing w:after="0" w:line="292" w:lineRule="exact"/>
        <w:rPr>
          <w:rFonts w:ascii="Arial" w:cs="Arial" w:eastAsia="Arial" w:hAnsi="Arial"/>
          <w:sz w:val="32"/>
          <w:szCs w:val="32"/>
          <w:color w:val="E75518"/>
        </w:rPr>
      </w:pPr>
    </w:p>
    <w:p>
      <w:pPr>
        <w:ind w:left="420" w:hanging="419"/>
        <w:spacing w:after="0"/>
        <w:tabs>
          <w:tab w:leader="none" w:pos="420" w:val="left"/>
        </w:tabs>
        <w:numPr>
          <w:ilvl w:val="0"/>
          <w:numId w:val="112"/>
        </w:numPr>
        <w:rPr>
          <w:rFonts w:ascii="Arial" w:cs="Arial" w:eastAsia="Arial" w:hAnsi="Arial"/>
          <w:sz w:val="32"/>
          <w:szCs w:val="32"/>
          <w:color w:val="E75518"/>
        </w:rPr>
      </w:pPr>
      <w:r>
        <w:rPr>
          <w:rFonts w:ascii="Arial" w:cs="Arial" w:eastAsia="Arial" w:hAnsi="Arial"/>
          <w:sz w:val="32"/>
          <w:szCs w:val="32"/>
          <w:color w:val="FFFFFF"/>
        </w:rPr>
        <w:t>With the expansion of DXL stores, we will reduce the number of</w:t>
      </w:r>
    </w:p>
    <w:p>
      <w:pPr>
        <w:spacing w:after="0" w:line="8" w:lineRule="exact"/>
        <w:rPr>
          <w:sz w:val="20"/>
          <w:szCs w:val="20"/>
          <w:color w:val="auto"/>
        </w:rPr>
      </w:pPr>
    </w:p>
    <w:p>
      <w:pPr>
        <w:ind w:left="420" w:right="60"/>
        <w:spacing w:after="0" w:line="253" w:lineRule="auto"/>
        <w:rPr>
          <w:sz w:val="20"/>
          <w:szCs w:val="20"/>
          <w:color w:val="auto"/>
        </w:rPr>
      </w:pPr>
      <w:r>
        <w:rPr>
          <w:rFonts w:ascii="Arial" w:cs="Arial" w:eastAsia="Arial" w:hAnsi="Arial"/>
          <w:sz w:val="32"/>
          <w:szCs w:val="32"/>
          <w:color w:val="FFFFFF"/>
        </w:rPr>
        <w:t>Casual Male XL stores with a market which we anticipate will result in lower operating costs and higher profits per store.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16</w:t>
      </w:r>
    </w:p>
    <w:p>
      <w:pPr>
        <w:sectPr>
          <w:pgSz w:w="11900" w:h="16838" w:orient="portrait"/>
          <w:cols w:equalWidth="0" w:num="1">
            <w:col w:w="10940"/>
          </w:cols>
          <w:pgMar w:left="480" w:top="781" w:right="479" w:bottom="1440" w:gutter="0" w:footer="0" w:header="0"/>
        </w:sectPr>
      </w:pPr>
    </w:p>
    <w:bookmarkStart w:id="53" w:name="page54"/>
    <w:bookmarkEnd w:id="53"/>
    <w:p>
      <w:pPr>
        <w:ind w:left="3740"/>
        <w:spacing w:after="0"/>
        <w:rPr>
          <w:sz w:val="20"/>
          <w:szCs w:val="20"/>
          <w:color w:val="auto"/>
        </w:rPr>
      </w:pPr>
      <w:r>
        <w:rPr>
          <w:rFonts w:ascii="Arial" w:cs="Arial" w:eastAsia="Arial" w:hAnsi="Arial"/>
          <w:sz w:val="56"/>
          <w:szCs w:val="56"/>
          <w:b w:val="1"/>
          <w:bCs w:val="1"/>
          <w:i w:val="1"/>
          <w:i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DXL</w:t>
      </w:r>
      <w:r>
        <w:rPr>
          <w:rFonts w:ascii="Arial" w:cs="Arial" w:eastAsia="Arial" w:hAnsi="Arial"/>
          <w:sz w:val="15"/>
          <w:szCs w:val="15"/>
          <w:b w:val="1"/>
          <w:bCs w:val="1"/>
          <w:i w:val="1"/>
          <w:iCs w:val="1"/>
          <w:color w:val="FFFFFF"/>
        </w:rPr>
        <w:t>TM</w:t>
      </w:r>
      <w:r>
        <w:rPr>
          <w:rFonts w:ascii="Arial" w:cs="Arial" w:eastAsia="Arial" w:hAnsi="Arial"/>
          <w:sz w:val="56"/>
          <w:szCs w:val="56"/>
          <w:b w:val="1"/>
          <w:bCs w:val="1"/>
          <w:i w:val="1"/>
          <w:iCs w:val="1"/>
          <w:color w:val="FFFFFF"/>
        </w:rPr>
        <w:t xml:space="preserve">    Schaumburg, IL</w:t>
      </w:r>
    </w:p>
    <w:p>
      <w:pPr>
        <w:spacing w:after="0" w:line="200" w:lineRule="exact"/>
        <w:rPr>
          <w:sz w:val="20"/>
          <w:szCs w:val="20"/>
          <w:color w:val="auto"/>
        </w:rPr>
      </w:pPr>
    </w:p>
    <w:p>
      <w:pPr>
        <w:spacing w:after="0" w:line="354" w:lineRule="exact"/>
        <w:rPr>
          <w:sz w:val="20"/>
          <w:szCs w:val="20"/>
          <w:color w:val="auto"/>
        </w:rPr>
      </w:pPr>
    </w:p>
    <w:p>
      <w:pPr>
        <w:jc w:val="both"/>
        <w:ind w:left="420" w:right="1580" w:hanging="416"/>
        <w:spacing w:after="0" w:line="213" w:lineRule="auto"/>
        <w:tabs>
          <w:tab w:leader="none" w:pos="420" w:val="left"/>
        </w:tabs>
        <w:numPr>
          <w:ilvl w:val="0"/>
          <w:numId w:val="113"/>
        </w:numPr>
        <w:rPr>
          <w:rFonts w:ascii="Arial" w:cs="Arial" w:eastAsia="Arial" w:hAnsi="Arial"/>
          <w:sz w:val="32"/>
          <w:szCs w:val="32"/>
          <w:color w:val="E75518"/>
        </w:rPr>
      </w:pPr>
      <w:r>
        <w:rPr>
          <w:rFonts w:ascii="Arial" w:cs="Arial" w:eastAsia="Arial" w:hAnsi="Arial"/>
          <w:sz w:val="32"/>
          <w:szCs w:val="32"/>
          <w:color w:val="FFFFFF"/>
        </w:rPr>
        <w:t>Moving our current 5,000-square foot Casual Male XL store less than a mile down the road to a 12,000-square foot DXL store.</w:t>
      </w:r>
    </w:p>
    <w:p>
      <w:pPr>
        <w:spacing w:after="0" w:line="200" w:lineRule="exact"/>
        <w:rPr>
          <w:rFonts w:ascii="Arial" w:cs="Arial" w:eastAsia="Arial" w:hAnsi="Arial"/>
          <w:sz w:val="32"/>
          <w:szCs w:val="32"/>
          <w:color w:val="E75518"/>
        </w:rPr>
      </w:pPr>
    </w:p>
    <w:p>
      <w:pPr>
        <w:spacing w:after="0" w:line="200" w:lineRule="exact"/>
        <w:rPr>
          <w:rFonts w:ascii="Arial" w:cs="Arial" w:eastAsia="Arial" w:hAnsi="Arial"/>
          <w:sz w:val="32"/>
          <w:szCs w:val="32"/>
          <w:color w:val="E75518"/>
        </w:rPr>
      </w:pPr>
    </w:p>
    <w:p>
      <w:pPr>
        <w:spacing w:after="0" w:line="346" w:lineRule="exact"/>
        <w:rPr>
          <w:rFonts w:ascii="Arial" w:cs="Arial" w:eastAsia="Arial" w:hAnsi="Arial"/>
          <w:sz w:val="32"/>
          <w:szCs w:val="32"/>
          <w:color w:val="E75518"/>
        </w:rPr>
      </w:pPr>
    </w:p>
    <w:p>
      <w:pPr>
        <w:ind w:left="420" w:right="2140" w:hanging="416"/>
        <w:spacing w:after="0" w:line="209" w:lineRule="auto"/>
        <w:tabs>
          <w:tab w:leader="none" w:pos="420" w:val="left"/>
        </w:tabs>
        <w:numPr>
          <w:ilvl w:val="0"/>
          <w:numId w:val="113"/>
        </w:numPr>
        <w:rPr>
          <w:rFonts w:ascii="Arial" w:cs="Arial" w:eastAsia="Arial" w:hAnsi="Arial"/>
          <w:sz w:val="32"/>
          <w:szCs w:val="32"/>
          <w:color w:val="E75518"/>
        </w:rPr>
      </w:pPr>
      <w:r>
        <w:rPr>
          <w:rFonts w:ascii="Arial" w:cs="Arial" w:eastAsia="Arial" w:hAnsi="Arial"/>
          <w:sz w:val="32"/>
          <w:szCs w:val="32"/>
          <w:color w:val="FFFFFF"/>
        </w:rPr>
        <w:t>We will roll in the two stores closest to Schaumburg, Bloomingdale and Niles 11.2 and 11.4 miles away respectively, with combined sales of close to one million dollars in 2008.</w:t>
      </w:r>
    </w:p>
    <w:p>
      <w:pPr>
        <w:spacing w:after="0" w:line="374" w:lineRule="exact"/>
        <w:rPr>
          <w:rFonts w:ascii="Arial" w:cs="Arial" w:eastAsia="Arial" w:hAnsi="Arial"/>
          <w:sz w:val="32"/>
          <w:szCs w:val="32"/>
          <w:color w:val="E75518"/>
        </w:rPr>
      </w:pPr>
    </w:p>
    <w:p>
      <w:pPr>
        <w:ind w:left="420" w:right="1640" w:hanging="416"/>
        <w:spacing w:after="0" w:line="213" w:lineRule="auto"/>
        <w:tabs>
          <w:tab w:leader="none" w:pos="420" w:val="left"/>
        </w:tabs>
        <w:numPr>
          <w:ilvl w:val="0"/>
          <w:numId w:val="113"/>
        </w:numPr>
        <w:rPr>
          <w:rFonts w:ascii="Arial" w:cs="Arial" w:eastAsia="Arial" w:hAnsi="Arial"/>
          <w:sz w:val="32"/>
          <w:szCs w:val="32"/>
          <w:color w:val="E75518"/>
        </w:rPr>
      </w:pPr>
      <w:r>
        <w:rPr>
          <w:rFonts w:ascii="Arial" w:cs="Arial" w:eastAsia="Arial" w:hAnsi="Arial"/>
          <w:sz w:val="32"/>
          <w:szCs w:val="32"/>
          <w:color w:val="FFFFFF"/>
        </w:rPr>
        <w:t>We expect 4-Wall Store Cash Flow to increase from 21% in our existing 3 Casual Male XL stores to 30%-35% with the new DXL store.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17</w:t>
      </w:r>
    </w:p>
    <w:p>
      <w:pPr>
        <w:sectPr>
          <w:pgSz w:w="11900" w:h="16838" w:orient="portrait"/>
          <w:cols w:equalWidth="0" w:num="1">
            <w:col w:w="10380"/>
          </w:cols>
          <w:pgMar w:left="1040" w:top="781" w:right="47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9451 Schaumburg, 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4"/>
          <w:szCs w:val="14"/>
          <w:color w:val="auto"/>
        </w:rPr>
        <w:t>9512 Bloomingdale, IL</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11.2 miles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7"/>
          <w:szCs w:val="27"/>
          <w:b w:val="1"/>
          <w:bCs w:val="1"/>
          <w:color w:val="auto"/>
        </w:rPr>
        <w:t>DXL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-392430</wp:posOffset>
            </wp:positionV>
            <wp:extent cx="7305040" cy="5534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Schaumburg, IL</w:t>
      </w:r>
    </w:p>
    <w:p>
      <w:pPr>
        <w:spacing w:after="0" w:line="18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0.9 miles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9183 Niles, IL</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11.4 miles</w:t>
      </w:r>
    </w:p>
    <w:p>
      <w:pPr>
        <w:sectPr>
          <w:pgSz w:w="11900" w:h="16838" w:orient="portrait"/>
          <w:cols w:equalWidth="0" w:num="3">
            <w:col w:w="2340" w:space="640"/>
            <w:col w:w="2360" w:space="720"/>
            <w:col w:w="2959"/>
          </w:cols>
          <w:pgMar w:left="1440" w:top="448" w:right="1440" w:bottom="1440" w:gutter="0" w:footer="0" w:header="0"/>
        </w:sectPr>
      </w:pPr>
    </w:p>
    <w:bookmarkStart w:id="55" w:name="page56"/>
    <w:bookmarkEnd w:id="55"/>
    <w:p>
      <w:pPr>
        <w:ind w:left="2100"/>
        <w:spacing w:after="0"/>
        <w:rPr>
          <w:sz w:val="20"/>
          <w:szCs w:val="20"/>
          <w:color w:val="auto"/>
        </w:rPr>
      </w:pPr>
      <w:r>
        <w:rPr>
          <w:rFonts w:ascii="Arial" w:cs="Arial" w:eastAsia="Arial" w:hAnsi="Arial"/>
          <w:sz w:val="32"/>
          <w:szCs w:val="32"/>
          <w:b w:val="1"/>
          <w:bCs w:val="1"/>
          <w:color w:val="4D4D4D"/>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Invitation: Identity Application</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28"/>
          <w:szCs w:val="28"/>
          <w:color w:val="auto"/>
        </w:rPr>
        <w:t>SAMPLE ONLY – NOT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19</w:t>
      </w:r>
    </w:p>
    <w:p>
      <w:pPr>
        <w:sectPr>
          <w:pgSz w:w="11900" w:h="16838" w:orient="portrait"/>
          <w:cols w:equalWidth="0" w:num="1">
            <w:col w:w="9980"/>
          </w:cols>
          <w:pgMar w:left="1440" w:top="693" w:right="47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5040" cy="3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780"/>
        <w:spacing w:after="0"/>
        <w:rPr>
          <w:sz w:val="20"/>
          <w:szCs w:val="20"/>
          <w:color w:val="auto"/>
        </w:rPr>
      </w:pPr>
      <w:r>
        <w:rPr>
          <w:rFonts w:ascii="Arial" w:cs="Arial" w:eastAsia="Arial" w:hAnsi="Arial"/>
          <w:sz w:val="17"/>
          <w:szCs w:val="17"/>
          <w:color w:val="003366"/>
        </w:rPr>
        <w:t>20</w:t>
      </w:r>
    </w:p>
    <w:p>
      <w:pPr>
        <w:sectPr>
          <w:pgSz w:w="11900" w:h="16838" w:orient="portrait"/>
          <w:cols w:equalWidth="0" w:num="1">
            <w:col w:w="9980"/>
          </w:cols>
          <w:pgMar w:left="1440" w:top="1440" w:right="479" w:bottom="1440" w:gutter="0" w:footer="0" w:header="0"/>
        </w:sectPr>
      </w:pPr>
    </w:p>
    <w:bookmarkStart w:id="57" w:name="page58"/>
    <w:bookmarkEnd w:id="57"/>
    <w:p>
      <w:pPr>
        <w:ind w:left="500"/>
        <w:spacing w:after="0"/>
        <w:tabs>
          <w:tab w:leader="none" w:pos="5980" w:val="left"/>
        </w:tabs>
        <w:rPr>
          <w:sz w:val="20"/>
          <w:szCs w:val="20"/>
          <w:color w:val="auto"/>
        </w:rPr>
      </w:pPr>
      <w:r>
        <w:rPr>
          <w:rFonts w:ascii="Arial" w:cs="Arial" w:eastAsia="Arial" w:hAnsi="Arial"/>
          <w:sz w:val="32"/>
          <w:szCs w:val="32"/>
          <w:b w:val="1"/>
          <w:bCs w:val="1"/>
          <w:color w:val="4D4D4D"/>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Club: Suits</w:t>
      </w:r>
      <w:r>
        <w:rPr>
          <w:sz w:val="20"/>
          <w:szCs w:val="20"/>
          <w:color w:val="auto"/>
        </w:rPr>
        <w:tab/>
      </w:r>
      <w:r>
        <w:rPr>
          <w:rFonts w:ascii="Arial" w:cs="Arial" w:eastAsia="Arial" w:hAnsi="Arial"/>
          <w:sz w:val="28"/>
          <w:szCs w:val="28"/>
          <w:color w:val="auto"/>
        </w:rPr>
        <w:t>SAMPLE ONLY – NOT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21</w:t>
      </w:r>
    </w:p>
    <w:p>
      <w:pPr>
        <w:sectPr>
          <w:pgSz w:w="11900" w:h="16838" w:orient="portrait"/>
          <w:cols w:equalWidth="0" w:num="1">
            <w:col w:w="9980"/>
          </w:cols>
          <w:pgMar w:left="1440" w:top="682" w:right="479" w:bottom="1440" w:gutter="0" w:footer="0" w:header="0"/>
        </w:sectPr>
      </w:pPr>
    </w:p>
    <w:bookmarkStart w:id="58" w:name="page59"/>
    <w:bookmarkEnd w:id="58"/>
    <w:p>
      <w:pPr>
        <w:ind w:left="8520"/>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Prototype</w:t>
      </w:r>
    </w:p>
    <w:p>
      <w:pPr>
        <w:spacing w:after="0" w:line="171" w:lineRule="exact"/>
        <w:rPr>
          <w:sz w:val="20"/>
          <w:szCs w:val="20"/>
          <w:color w:val="auto"/>
        </w:rPr>
      </w:pPr>
    </w:p>
    <w:p>
      <w:pPr>
        <w:ind w:left="8820"/>
        <w:spacing w:after="0"/>
        <w:rPr>
          <w:sz w:val="20"/>
          <w:szCs w:val="20"/>
          <w:color w:val="auto"/>
        </w:rPr>
      </w:pPr>
      <w:r>
        <w:rPr>
          <w:rFonts w:ascii="Arial" w:cs="Arial" w:eastAsia="Arial" w:hAnsi="Arial"/>
          <w:sz w:val="25"/>
          <w:szCs w:val="25"/>
          <w:color w:val="auto"/>
        </w:rPr>
        <w:t>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22</w:t>
      </w:r>
    </w:p>
    <w:p>
      <w:pPr>
        <w:sectPr>
          <w:pgSz w:w="11900" w:h="16838" w:orient="portrait"/>
          <w:cols w:equalWidth="0" w:num="1">
            <w:col w:w="9980"/>
          </w:cols>
          <w:pgMar w:left="1440" w:top="739" w:right="479" w:bottom="1440" w:gutter="0" w:footer="0" w:header="0"/>
        </w:sectPr>
      </w:pPr>
    </w:p>
    <w:bookmarkStart w:id="59" w:name="page60"/>
    <w:bookmarkEnd w:id="59"/>
    <w:p>
      <w:pPr>
        <w:ind w:left="56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Our Direct to Consumer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80"/>
        <w:spacing w:after="0"/>
        <w:rPr>
          <w:sz w:val="20"/>
          <w:szCs w:val="20"/>
          <w:color w:val="auto"/>
        </w:rPr>
      </w:pPr>
      <w:r>
        <w:rPr>
          <w:rFonts w:ascii="Arial" w:cs="Arial" w:eastAsia="Arial" w:hAnsi="Arial"/>
          <w:sz w:val="38"/>
          <w:szCs w:val="38"/>
          <w:b w:val="1"/>
          <w:bCs w:val="1"/>
          <w:color w:val="FFFFFF"/>
        </w:rPr>
        <w:t>CasualmaleXL.com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7040" w:val="left"/>
        </w:tabs>
        <w:rPr>
          <w:sz w:val="20"/>
          <w:szCs w:val="20"/>
          <w:color w:val="auto"/>
        </w:rPr>
      </w:pPr>
      <w:r>
        <w:rPr>
          <w:rFonts w:ascii="Arial" w:cs="Arial" w:eastAsia="Arial" w:hAnsi="Arial"/>
          <w:sz w:val="38"/>
          <w:szCs w:val="38"/>
          <w:b w:val="1"/>
          <w:bCs w:val="1"/>
          <w:color w:val="FFFFFF"/>
        </w:rPr>
        <w:t>Rochesterclothing.com</w:t>
      </w:r>
      <w:r>
        <w:rPr>
          <w:sz w:val="20"/>
          <w:szCs w:val="20"/>
          <w:color w:val="auto"/>
        </w:rPr>
        <w:tab/>
      </w:r>
      <w:r>
        <w:rPr>
          <w:rFonts w:ascii="Arial" w:cs="Arial" w:eastAsia="Arial" w:hAnsi="Arial"/>
          <w:sz w:val="75"/>
          <w:szCs w:val="75"/>
          <w:b w:val="1"/>
          <w:bCs w:val="1"/>
          <w:color w:val="FFFFFF"/>
          <w:vertAlign w:val="superscript"/>
        </w:rPr>
        <w:t>Livingxl.com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80"/>
        <w:spacing w:after="0"/>
        <w:rPr>
          <w:sz w:val="20"/>
          <w:szCs w:val="20"/>
          <w:color w:val="auto"/>
        </w:rPr>
      </w:pPr>
      <w:r>
        <w:rPr>
          <w:rFonts w:ascii="Arial" w:cs="Arial" w:eastAsia="Arial" w:hAnsi="Arial"/>
          <w:sz w:val="38"/>
          <w:szCs w:val="38"/>
          <w:b w:val="1"/>
          <w:bCs w:val="1"/>
          <w:color w:val="FFFFFF"/>
        </w:rPr>
        <w:t>ShoesXL.com</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38"/>
          <w:szCs w:val="38"/>
          <w:b w:val="1"/>
          <w:bCs w:val="1"/>
          <w:color w:val="FFFFFF"/>
        </w:rPr>
        <w:t>BTDirect.com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23</w:t>
      </w:r>
    </w:p>
    <w:p>
      <w:pPr>
        <w:sectPr>
          <w:pgSz w:w="11900" w:h="16838" w:orient="portrait"/>
          <w:cols w:equalWidth="0" w:num="1">
            <w:col w:w="10260"/>
          </w:cols>
          <w:pgMar w:left="1160" w:top="1008" w:right="479" w:bottom="1440" w:gutter="0" w:footer="0" w:header="0"/>
        </w:sectPr>
      </w:pPr>
    </w:p>
    <w:bookmarkStart w:id="60" w:name="page61"/>
    <w:bookmarkEnd w:id="60"/>
    <w:p>
      <w:pPr>
        <w:ind w:left="178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CMRG Internet Sales by Year</w:t>
      </w:r>
    </w:p>
    <w:p>
      <w:pPr>
        <w:spacing w:after="0" w:line="200" w:lineRule="exact"/>
        <w:rPr>
          <w:sz w:val="20"/>
          <w:szCs w:val="20"/>
          <w:color w:val="auto"/>
        </w:rPr>
      </w:pPr>
    </w:p>
    <w:p>
      <w:pPr>
        <w:spacing w:after="0" w:line="355"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$60,000,000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$50,000,000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$40,000,000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$30,000,000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$20,000,000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$10,000,000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FFFFFF"/>
        </w:rPr>
        <w:t>$0</w:t>
      </w:r>
    </w:p>
    <w:p>
      <w:pPr>
        <w:spacing w:after="0" w:line="64" w:lineRule="exact"/>
        <w:rPr>
          <w:sz w:val="20"/>
          <w:szCs w:val="20"/>
          <w:color w:val="auto"/>
        </w:rPr>
      </w:pPr>
    </w:p>
    <w:p>
      <w:pPr>
        <w:ind w:left="2260"/>
        <w:spacing w:after="0"/>
        <w:tabs>
          <w:tab w:leader="none" w:pos="3220" w:val="left"/>
          <w:tab w:leader="none" w:pos="4220" w:val="left"/>
          <w:tab w:leader="none" w:pos="5180" w:val="left"/>
          <w:tab w:leader="none" w:pos="6180" w:val="left"/>
          <w:tab w:leader="none" w:pos="7180" w:val="left"/>
          <w:tab w:leader="none" w:pos="8140" w:val="left"/>
        </w:tabs>
        <w:rPr>
          <w:sz w:val="20"/>
          <w:szCs w:val="20"/>
          <w:color w:val="auto"/>
        </w:rPr>
      </w:pPr>
      <w:r>
        <w:rPr>
          <w:rFonts w:ascii="Arial" w:cs="Arial" w:eastAsia="Arial" w:hAnsi="Arial"/>
          <w:sz w:val="21"/>
          <w:szCs w:val="21"/>
          <w:b w:val="1"/>
          <w:bCs w:val="1"/>
          <w:color w:val="FFFFFF"/>
        </w:rPr>
        <w:t>2002</w:t>
      </w:r>
      <w:r>
        <w:rPr>
          <w:sz w:val="20"/>
          <w:szCs w:val="20"/>
          <w:color w:val="auto"/>
        </w:rPr>
        <w:tab/>
      </w:r>
      <w:r>
        <w:rPr>
          <w:rFonts w:ascii="Arial" w:cs="Arial" w:eastAsia="Arial" w:hAnsi="Arial"/>
          <w:sz w:val="21"/>
          <w:szCs w:val="21"/>
          <w:b w:val="1"/>
          <w:bCs w:val="1"/>
          <w:color w:val="FFFFFF"/>
        </w:rPr>
        <w:t>2003</w:t>
      </w:r>
      <w:r>
        <w:rPr>
          <w:sz w:val="20"/>
          <w:szCs w:val="20"/>
          <w:color w:val="auto"/>
        </w:rPr>
        <w:tab/>
      </w:r>
      <w:r>
        <w:rPr>
          <w:rFonts w:ascii="Arial" w:cs="Arial" w:eastAsia="Arial" w:hAnsi="Arial"/>
          <w:sz w:val="21"/>
          <w:szCs w:val="21"/>
          <w:b w:val="1"/>
          <w:bCs w:val="1"/>
          <w:color w:val="FFFFFF"/>
        </w:rPr>
        <w:t>2004</w:t>
      </w:r>
      <w:r>
        <w:rPr>
          <w:sz w:val="20"/>
          <w:szCs w:val="20"/>
          <w:color w:val="auto"/>
        </w:rPr>
        <w:tab/>
      </w:r>
      <w:r>
        <w:rPr>
          <w:rFonts w:ascii="Arial" w:cs="Arial" w:eastAsia="Arial" w:hAnsi="Arial"/>
          <w:sz w:val="21"/>
          <w:szCs w:val="21"/>
          <w:b w:val="1"/>
          <w:bCs w:val="1"/>
          <w:color w:val="FFFFFF"/>
        </w:rPr>
        <w:t>2005</w:t>
      </w:r>
      <w:r>
        <w:rPr>
          <w:sz w:val="20"/>
          <w:szCs w:val="20"/>
          <w:color w:val="auto"/>
        </w:rPr>
        <w:tab/>
      </w:r>
      <w:r>
        <w:rPr>
          <w:rFonts w:ascii="Arial" w:cs="Arial" w:eastAsia="Arial" w:hAnsi="Arial"/>
          <w:sz w:val="21"/>
          <w:szCs w:val="21"/>
          <w:b w:val="1"/>
          <w:bCs w:val="1"/>
          <w:color w:val="FFFFFF"/>
        </w:rPr>
        <w:t>2006</w:t>
      </w:r>
      <w:r>
        <w:rPr>
          <w:sz w:val="20"/>
          <w:szCs w:val="20"/>
          <w:color w:val="auto"/>
        </w:rPr>
        <w:tab/>
      </w:r>
      <w:r>
        <w:rPr>
          <w:rFonts w:ascii="Arial" w:cs="Arial" w:eastAsia="Arial" w:hAnsi="Arial"/>
          <w:sz w:val="21"/>
          <w:szCs w:val="21"/>
          <w:b w:val="1"/>
          <w:bCs w:val="1"/>
          <w:color w:val="FFFFFF"/>
        </w:rPr>
        <w:t>2007</w:t>
      </w:r>
      <w:r>
        <w:rPr>
          <w:sz w:val="20"/>
          <w:szCs w:val="20"/>
          <w:color w:val="auto"/>
        </w:rPr>
        <w:tab/>
      </w:r>
      <w:r>
        <w:rPr>
          <w:rFonts w:ascii="Arial" w:cs="Arial" w:eastAsia="Arial" w:hAnsi="Arial"/>
          <w:sz w:val="21"/>
          <w:szCs w:val="21"/>
          <w:b w:val="1"/>
          <w:bCs w:val="1"/>
          <w:color w:val="FFFFFF"/>
        </w:rPr>
        <w:t>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24</w:t>
      </w:r>
    </w:p>
    <w:p>
      <w:pPr>
        <w:sectPr>
          <w:pgSz w:w="11900" w:h="16838" w:orient="portrait"/>
          <w:cols w:equalWidth="0" w:num="1">
            <w:col w:w="9980"/>
          </w:cols>
          <w:pgMar w:left="1440" w:top="849" w:right="47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780"/>
        <w:spacing w:after="0"/>
        <w:rPr>
          <w:sz w:val="20"/>
          <w:szCs w:val="20"/>
          <w:color w:val="auto"/>
        </w:rPr>
      </w:pPr>
      <w:r>
        <w:rPr>
          <w:rFonts w:ascii="Arial" w:cs="Arial" w:eastAsia="Arial" w:hAnsi="Arial"/>
          <w:sz w:val="17"/>
          <w:szCs w:val="17"/>
          <w:color w:val="003366"/>
        </w:rPr>
        <w:t>25</w:t>
      </w:r>
    </w:p>
    <w:p>
      <w:pPr>
        <w:sectPr>
          <w:pgSz w:w="11900" w:h="16838" w:orient="portrait"/>
          <w:cols w:equalWidth="0" w:num="1">
            <w:col w:w="9980"/>
          </w:cols>
          <w:pgMar w:left="1440" w:top="1440" w:right="47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780"/>
        <w:spacing w:after="0"/>
        <w:rPr>
          <w:sz w:val="20"/>
          <w:szCs w:val="20"/>
          <w:color w:val="auto"/>
        </w:rPr>
      </w:pPr>
      <w:r>
        <w:rPr>
          <w:rFonts w:ascii="Arial" w:cs="Arial" w:eastAsia="Arial" w:hAnsi="Arial"/>
          <w:sz w:val="17"/>
          <w:szCs w:val="17"/>
          <w:color w:val="003366"/>
        </w:rPr>
        <w:t>26</w:t>
      </w:r>
    </w:p>
    <w:p>
      <w:pPr>
        <w:sectPr>
          <w:pgSz w:w="11900" w:h="16838" w:orient="portrait"/>
          <w:cols w:equalWidth="0" w:num="1">
            <w:col w:w="9980"/>
          </w:cols>
          <w:pgMar w:left="1440" w:top="1440" w:right="47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780"/>
        <w:spacing w:after="0"/>
        <w:rPr>
          <w:sz w:val="20"/>
          <w:szCs w:val="20"/>
          <w:color w:val="auto"/>
        </w:rPr>
      </w:pPr>
      <w:r>
        <w:rPr>
          <w:rFonts w:ascii="Arial" w:cs="Arial" w:eastAsia="Arial" w:hAnsi="Arial"/>
          <w:sz w:val="17"/>
          <w:szCs w:val="17"/>
          <w:color w:val="003366"/>
        </w:rPr>
        <w:t>27</w:t>
      </w:r>
    </w:p>
    <w:p>
      <w:pPr>
        <w:sectPr>
          <w:pgSz w:w="11900" w:h="16838" w:orient="portrait"/>
          <w:cols w:equalWidth="0" w:num="1">
            <w:col w:w="9980"/>
          </w:cols>
          <w:pgMar w:left="1440" w:top="1440" w:right="47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780"/>
        <w:spacing w:after="0"/>
        <w:rPr>
          <w:sz w:val="20"/>
          <w:szCs w:val="20"/>
          <w:color w:val="auto"/>
        </w:rPr>
      </w:pPr>
      <w:r>
        <w:rPr>
          <w:rFonts w:ascii="Arial" w:cs="Arial" w:eastAsia="Arial" w:hAnsi="Arial"/>
          <w:sz w:val="17"/>
          <w:szCs w:val="17"/>
          <w:color w:val="003366"/>
        </w:rPr>
        <w:t>28</w:t>
      </w:r>
    </w:p>
    <w:p>
      <w:pPr>
        <w:sectPr>
          <w:pgSz w:w="11900" w:h="16838" w:orient="portrait"/>
          <w:cols w:equalWidth="0" w:num="1">
            <w:col w:w="9980"/>
          </w:cols>
          <w:pgMar w:left="1440" w:top="1440" w:right="47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780"/>
        <w:spacing w:after="0"/>
        <w:rPr>
          <w:sz w:val="20"/>
          <w:szCs w:val="20"/>
          <w:color w:val="auto"/>
        </w:rPr>
      </w:pPr>
      <w:r>
        <w:rPr>
          <w:rFonts w:ascii="Arial" w:cs="Arial" w:eastAsia="Arial" w:hAnsi="Arial"/>
          <w:sz w:val="17"/>
          <w:szCs w:val="17"/>
          <w:color w:val="003366"/>
        </w:rPr>
        <w:t>29</w:t>
      </w:r>
    </w:p>
    <w:p>
      <w:pPr>
        <w:sectPr>
          <w:pgSz w:w="11900" w:h="16838" w:orient="portrait"/>
          <w:cols w:equalWidth="0" w:num="1">
            <w:col w:w="9980"/>
          </w:cols>
          <w:pgMar w:left="1440" w:top="1440" w:right="479" w:bottom="1440" w:gutter="0" w:footer="0" w:header="0"/>
        </w:sectPr>
      </w:pPr>
    </w:p>
    <w:bookmarkStart w:id="66" w:name="page67"/>
    <w:bookmarkEnd w:id="66"/>
    <w:p>
      <w:pPr>
        <w:ind w:left="806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60"/>
        <w:spacing w:after="0"/>
        <w:rPr>
          <w:sz w:val="20"/>
          <w:szCs w:val="20"/>
          <w:color w:val="auto"/>
        </w:rPr>
      </w:pPr>
      <w:r>
        <w:rPr>
          <w:rFonts w:ascii="Arial" w:cs="Arial" w:eastAsia="Arial" w:hAnsi="Arial"/>
          <w:sz w:val="37"/>
          <w:szCs w:val="37"/>
          <w:b w:val="1"/>
          <w:bCs w:val="1"/>
          <w:color w:val="FFFFFF"/>
        </w:rPr>
        <w:t>United Kingdom</w:t>
      </w:r>
    </w:p>
    <w:p>
      <w:pPr>
        <w:spacing w:after="0" w:line="256" w:lineRule="exact"/>
        <w:rPr>
          <w:sz w:val="20"/>
          <w:szCs w:val="20"/>
          <w:color w:val="auto"/>
        </w:rPr>
      </w:pPr>
    </w:p>
    <w:p>
      <w:pPr>
        <w:ind w:left="7860"/>
        <w:spacing w:after="0"/>
        <w:rPr>
          <w:sz w:val="20"/>
          <w:szCs w:val="20"/>
          <w:color w:val="auto"/>
        </w:rPr>
      </w:pPr>
      <w:r>
        <w:rPr>
          <w:rFonts w:ascii="Arial" w:cs="Arial" w:eastAsia="Arial" w:hAnsi="Arial"/>
          <w:sz w:val="38"/>
          <w:szCs w:val="38"/>
          <w:b w:val="1"/>
          <w:bCs w:val="1"/>
          <w:color w:val="FFFFFF"/>
        </w:rPr>
        <w:t>France</w:t>
      </w:r>
    </w:p>
    <w:p>
      <w:pPr>
        <w:spacing w:after="0" w:line="233" w:lineRule="exact"/>
        <w:rPr>
          <w:sz w:val="20"/>
          <w:szCs w:val="20"/>
          <w:color w:val="auto"/>
        </w:rPr>
      </w:pPr>
    </w:p>
    <w:p>
      <w:pPr>
        <w:ind w:left="8080"/>
        <w:spacing w:after="0"/>
        <w:rPr>
          <w:sz w:val="20"/>
          <w:szCs w:val="20"/>
          <w:color w:val="auto"/>
        </w:rPr>
      </w:pPr>
      <w:r>
        <w:rPr>
          <w:rFonts w:ascii="Arial" w:cs="Arial" w:eastAsia="Arial" w:hAnsi="Arial"/>
          <w:sz w:val="38"/>
          <w:szCs w:val="38"/>
          <w:b w:val="1"/>
          <w:bCs w:val="1"/>
          <w:color w:val="FFFFFF"/>
        </w:rPr>
        <w:t>Italy</w:t>
      </w:r>
    </w:p>
    <w:p>
      <w:pPr>
        <w:spacing w:after="0" w:line="244" w:lineRule="exact"/>
        <w:rPr>
          <w:sz w:val="20"/>
          <w:szCs w:val="20"/>
          <w:color w:val="auto"/>
        </w:rPr>
      </w:pPr>
    </w:p>
    <w:p>
      <w:pPr>
        <w:ind w:left="7400"/>
        <w:spacing w:after="0"/>
        <w:rPr>
          <w:sz w:val="20"/>
          <w:szCs w:val="20"/>
          <w:color w:val="auto"/>
        </w:rPr>
      </w:pPr>
      <w:r>
        <w:rPr>
          <w:rFonts w:ascii="Arial" w:cs="Arial" w:eastAsia="Arial" w:hAnsi="Arial"/>
          <w:sz w:val="38"/>
          <w:szCs w:val="38"/>
          <w:b w:val="1"/>
          <w:bCs w:val="1"/>
          <w:color w:val="FFFFFF"/>
        </w:rPr>
        <w:t>Netherlands</w:t>
      </w:r>
    </w:p>
    <w:p>
      <w:pPr>
        <w:spacing w:after="0" w:line="233" w:lineRule="exact"/>
        <w:rPr>
          <w:sz w:val="20"/>
          <w:szCs w:val="20"/>
          <w:color w:val="auto"/>
        </w:rPr>
      </w:pPr>
    </w:p>
    <w:p>
      <w:pPr>
        <w:ind w:left="8000"/>
        <w:spacing w:after="0"/>
        <w:rPr>
          <w:sz w:val="20"/>
          <w:szCs w:val="20"/>
          <w:color w:val="auto"/>
        </w:rPr>
      </w:pPr>
      <w:r>
        <w:rPr>
          <w:rFonts w:ascii="Arial" w:cs="Arial" w:eastAsia="Arial" w:hAnsi="Arial"/>
          <w:sz w:val="38"/>
          <w:szCs w:val="38"/>
          <w:b w:val="1"/>
          <w:bCs w:val="1"/>
          <w:color w:val="FFFFFF"/>
        </w:rPr>
        <w:t>Spain</w:t>
      </w:r>
    </w:p>
    <w:p>
      <w:pPr>
        <w:spacing w:after="0" w:line="244" w:lineRule="exact"/>
        <w:rPr>
          <w:sz w:val="20"/>
          <w:szCs w:val="20"/>
          <w:color w:val="auto"/>
        </w:rPr>
      </w:pPr>
    </w:p>
    <w:p>
      <w:pPr>
        <w:ind w:left="7680"/>
        <w:spacing w:after="0"/>
        <w:rPr>
          <w:sz w:val="20"/>
          <w:szCs w:val="20"/>
          <w:color w:val="auto"/>
        </w:rPr>
      </w:pPr>
      <w:r>
        <w:rPr>
          <w:rFonts w:ascii="Arial" w:cs="Arial" w:eastAsia="Arial" w:hAnsi="Arial"/>
          <w:sz w:val="38"/>
          <w:szCs w:val="38"/>
          <w:b w:val="1"/>
          <w:bCs w:val="1"/>
          <w:color w:val="FFFFFF"/>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30</w:t>
      </w:r>
    </w:p>
    <w:p>
      <w:pPr>
        <w:sectPr>
          <w:pgSz w:w="11900" w:h="16838" w:orient="portrait"/>
          <w:cols w:equalWidth="0" w:num="1">
            <w:col w:w="9980"/>
          </w:cols>
          <w:pgMar w:left="1440" w:top="849" w:right="479" w:bottom="1440" w:gutter="0" w:footer="0" w:header="0"/>
        </w:sectPr>
      </w:pPr>
    </w:p>
    <w:bookmarkStart w:id="67" w:name="page68"/>
    <w:bookmarkEnd w:id="67"/>
    <w:p>
      <w:pPr>
        <w:ind w:left="254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Casual Male XL Program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hanging="419"/>
        <w:spacing w:after="0"/>
        <w:tabs>
          <w:tab w:leader="none" w:pos="420" w:val="left"/>
        </w:tabs>
        <w:numPr>
          <w:ilvl w:val="0"/>
          <w:numId w:val="114"/>
        </w:numPr>
        <w:rPr>
          <w:rFonts w:ascii="Arial" w:cs="Arial" w:eastAsia="Arial" w:hAnsi="Arial"/>
          <w:sz w:val="32"/>
          <w:szCs w:val="32"/>
          <w:color w:val="E75518"/>
        </w:rPr>
      </w:pPr>
      <w:r>
        <w:rPr>
          <w:rFonts w:ascii="Arial" w:cs="Arial" w:eastAsia="Arial" w:hAnsi="Arial"/>
          <w:sz w:val="32"/>
          <w:szCs w:val="32"/>
          <w:color w:val="FFFFFF"/>
        </w:rPr>
        <w:t>2.6MM customers enrolled to date</w:t>
      </w:r>
    </w:p>
    <w:p>
      <w:pPr>
        <w:spacing w:after="0" w:line="78" w:lineRule="exact"/>
        <w:rPr>
          <w:rFonts w:ascii="Arial" w:cs="Arial" w:eastAsia="Arial" w:hAnsi="Arial"/>
          <w:sz w:val="32"/>
          <w:szCs w:val="32"/>
          <w:color w:val="E75518"/>
        </w:rPr>
      </w:pPr>
    </w:p>
    <w:p>
      <w:pPr>
        <w:ind w:left="420" w:hanging="419"/>
        <w:spacing w:after="0"/>
        <w:tabs>
          <w:tab w:leader="none" w:pos="420" w:val="left"/>
        </w:tabs>
        <w:numPr>
          <w:ilvl w:val="0"/>
          <w:numId w:val="114"/>
        </w:numPr>
        <w:rPr>
          <w:rFonts w:ascii="Arial" w:cs="Arial" w:eastAsia="Arial" w:hAnsi="Arial"/>
          <w:sz w:val="32"/>
          <w:szCs w:val="32"/>
          <w:color w:val="E75518"/>
        </w:rPr>
      </w:pPr>
      <w:r>
        <w:rPr>
          <w:rFonts w:ascii="Arial" w:cs="Arial" w:eastAsia="Arial" w:hAnsi="Arial"/>
          <w:sz w:val="32"/>
          <w:szCs w:val="32"/>
          <w:color w:val="FFFFFF"/>
        </w:rPr>
        <w:t>85% of all Casual Male XL customers are enrolled</w:t>
      </w:r>
    </w:p>
    <w:p>
      <w:pPr>
        <w:spacing w:after="0" w:line="90" w:lineRule="exact"/>
        <w:rPr>
          <w:rFonts w:ascii="Arial" w:cs="Arial" w:eastAsia="Arial" w:hAnsi="Arial"/>
          <w:sz w:val="32"/>
          <w:szCs w:val="32"/>
          <w:color w:val="E75518"/>
        </w:rPr>
      </w:pPr>
    </w:p>
    <w:p>
      <w:pPr>
        <w:ind w:left="420" w:right="2240" w:hanging="419"/>
        <w:spacing w:after="0" w:line="253" w:lineRule="auto"/>
        <w:tabs>
          <w:tab w:leader="none" w:pos="420" w:val="left"/>
        </w:tabs>
        <w:numPr>
          <w:ilvl w:val="0"/>
          <w:numId w:val="114"/>
        </w:numPr>
        <w:rPr>
          <w:rFonts w:ascii="Arial" w:cs="Arial" w:eastAsia="Arial" w:hAnsi="Arial"/>
          <w:sz w:val="32"/>
          <w:szCs w:val="32"/>
          <w:color w:val="E75518"/>
        </w:rPr>
      </w:pPr>
      <w:r>
        <w:rPr>
          <w:rFonts w:ascii="Arial" w:cs="Arial" w:eastAsia="Arial" w:hAnsi="Arial"/>
          <w:sz w:val="32"/>
          <w:szCs w:val="32"/>
          <w:color w:val="FFFFFF"/>
        </w:rPr>
        <w:t>Loyalty member’s average spend per transaction is 26% or $18 higher than non-members</w:t>
      </w:r>
    </w:p>
    <w:p>
      <w:pPr>
        <w:spacing w:after="0" w:line="46" w:lineRule="exact"/>
        <w:rPr>
          <w:rFonts w:ascii="Arial" w:cs="Arial" w:eastAsia="Arial" w:hAnsi="Arial"/>
          <w:sz w:val="32"/>
          <w:szCs w:val="32"/>
          <w:color w:val="E75518"/>
        </w:rPr>
      </w:pPr>
    </w:p>
    <w:p>
      <w:pPr>
        <w:ind w:left="420" w:hanging="419"/>
        <w:spacing w:after="0"/>
        <w:tabs>
          <w:tab w:leader="none" w:pos="420" w:val="left"/>
        </w:tabs>
        <w:numPr>
          <w:ilvl w:val="0"/>
          <w:numId w:val="114"/>
        </w:numPr>
        <w:rPr>
          <w:rFonts w:ascii="Arial" w:cs="Arial" w:eastAsia="Arial" w:hAnsi="Arial"/>
          <w:sz w:val="32"/>
          <w:szCs w:val="32"/>
          <w:color w:val="E75518"/>
        </w:rPr>
      </w:pPr>
      <w:r>
        <w:rPr>
          <w:rFonts w:ascii="Arial" w:cs="Arial" w:eastAsia="Arial" w:hAnsi="Arial"/>
          <w:sz w:val="32"/>
          <w:szCs w:val="32"/>
          <w:color w:val="FFFFFF"/>
        </w:rPr>
        <w:t>90% of all transactions involve a loyalty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31</w:t>
      </w:r>
    </w:p>
    <w:p>
      <w:pPr>
        <w:sectPr>
          <w:pgSz w:w="11900" w:h="16838" w:orient="portrait"/>
          <w:cols w:equalWidth="0" w:num="1">
            <w:col w:w="10940"/>
          </w:cols>
          <w:pgMar w:left="480" w:top="890" w:right="479" w:bottom="1440" w:gutter="0" w:footer="0" w:header="0"/>
        </w:sectPr>
      </w:pPr>
    </w:p>
    <w:bookmarkStart w:id="68" w:name="page69"/>
    <w:bookmarkEnd w:id="68"/>
    <w:p>
      <w:pPr>
        <w:ind w:left="358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Prestige XL Program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right="2360" w:hanging="419"/>
        <w:spacing w:after="0" w:line="253" w:lineRule="auto"/>
        <w:tabs>
          <w:tab w:leader="none" w:pos="420" w:val="left"/>
        </w:tabs>
        <w:numPr>
          <w:ilvl w:val="0"/>
          <w:numId w:val="115"/>
        </w:numPr>
        <w:rPr>
          <w:rFonts w:ascii="Arial" w:cs="Arial" w:eastAsia="Arial" w:hAnsi="Arial"/>
          <w:sz w:val="32"/>
          <w:szCs w:val="32"/>
          <w:color w:val="E75518"/>
        </w:rPr>
      </w:pPr>
      <w:r>
        <w:rPr>
          <w:rFonts w:ascii="Arial" w:cs="Arial" w:eastAsia="Arial" w:hAnsi="Arial"/>
          <w:sz w:val="32"/>
          <w:szCs w:val="32"/>
          <w:color w:val="FFFFFF"/>
        </w:rPr>
        <w:t>Launched a new level of the XL loyalty program in 2009 to 43,000 of Casual Male XL’s top customers.</w:t>
      </w:r>
    </w:p>
    <w:p>
      <w:pPr>
        <w:spacing w:after="0" w:line="46" w:lineRule="exact"/>
        <w:rPr>
          <w:rFonts w:ascii="Arial" w:cs="Arial" w:eastAsia="Arial" w:hAnsi="Arial"/>
          <w:sz w:val="32"/>
          <w:szCs w:val="32"/>
          <w:color w:val="E75518"/>
        </w:rPr>
      </w:pPr>
    </w:p>
    <w:p>
      <w:pPr>
        <w:ind w:left="420" w:right="1500" w:hanging="419"/>
        <w:spacing w:after="0" w:line="269" w:lineRule="auto"/>
        <w:tabs>
          <w:tab w:leader="none" w:pos="420" w:val="left"/>
        </w:tabs>
        <w:numPr>
          <w:ilvl w:val="0"/>
          <w:numId w:val="115"/>
        </w:numPr>
        <w:rPr>
          <w:rFonts w:ascii="Arial" w:cs="Arial" w:eastAsia="Arial" w:hAnsi="Arial"/>
          <w:sz w:val="31"/>
          <w:szCs w:val="31"/>
          <w:color w:val="E75518"/>
        </w:rPr>
      </w:pPr>
      <w:r>
        <w:rPr>
          <w:rFonts w:ascii="Arial" w:cs="Arial" w:eastAsia="Arial" w:hAnsi="Arial"/>
          <w:sz w:val="31"/>
          <w:szCs w:val="31"/>
          <w:color w:val="FFFFFF"/>
        </w:rPr>
        <w:t>Benefits included double point promotions, presale opportunities as well as special recognition on all marketing collateral.</w:t>
      </w:r>
    </w:p>
    <w:p>
      <w:pPr>
        <w:spacing w:after="0" w:line="34" w:lineRule="exact"/>
        <w:rPr>
          <w:rFonts w:ascii="Arial" w:cs="Arial" w:eastAsia="Arial" w:hAnsi="Arial"/>
          <w:sz w:val="31"/>
          <w:szCs w:val="31"/>
          <w:color w:val="E75518"/>
        </w:rPr>
      </w:pPr>
    </w:p>
    <w:p>
      <w:pPr>
        <w:ind w:left="420" w:right="1620" w:hanging="419"/>
        <w:spacing w:after="0" w:line="253" w:lineRule="auto"/>
        <w:tabs>
          <w:tab w:leader="none" w:pos="420" w:val="left"/>
        </w:tabs>
        <w:numPr>
          <w:ilvl w:val="0"/>
          <w:numId w:val="115"/>
        </w:numPr>
        <w:rPr>
          <w:rFonts w:ascii="Arial" w:cs="Arial" w:eastAsia="Arial" w:hAnsi="Arial"/>
          <w:sz w:val="32"/>
          <w:szCs w:val="32"/>
          <w:color w:val="E75518"/>
        </w:rPr>
      </w:pPr>
      <w:r>
        <w:rPr>
          <w:rFonts w:ascii="Arial" w:cs="Arial" w:eastAsia="Arial" w:hAnsi="Arial"/>
          <w:sz w:val="32"/>
          <w:szCs w:val="32"/>
          <w:color w:val="FFFFFF"/>
        </w:rPr>
        <w:t>Prestige customers spent almost $600 on clothing purchases in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32</w:t>
      </w:r>
    </w:p>
    <w:p>
      <w:pPr>
        <w:sectPr>
          <w:pgSz w:w="11900" w:h="16838" w:orient="portrait"/>
          <w:cols w:equalWidth="0" w:num="1">
            <w:col w:w="10940"/>
          </w:cols>
          <w:pgMar w:left="480" w:top="849" w:right="479" w:bottom="1440" w:gutter="0" w:footer="0" w:header="0"/>
        </w:sectPr>
      </w:pPr>
    </w:p>
    <w:bookmarkStart w:id="69" w:name="page70"/>
    <w:bookmarkEnd w:id="69"/>
    <w:p>
      <w:pPr>
        <w:spacing w:after="0"/>
        <w:rPr>
          <w:sz w:val="20"/>
          <w:szCs w:val="20"/>
          <w:color w:val="auto"/>
        </w:rPr>
      </w:pPr>
      <w:r>
        <w:rPr>
          <w:rFonts w:ascii="Arial" w:cs="Arial" w:eastAsia="Arial" w:hAnsi="Arial"/>
          <w:sz w:val="38"/>
          <w:szCs w:val="38"/>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34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5040" cy="5534025"/>
                    </a:xfrm>
                    <a:prstGeom prst="rect">
                      <a:avLst/>
                    </a:prstGeom>
                    <a:noFill/>
                  </pic:spPr>
                </pic:pic>
              </a:graphicData>
            </a:graphic>
          </wp:anchor>
        </w:drawing>
        <w:t>Forward Looking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3"/>
          <w:szCs w:val="23"/>
          <w:color w:val="FFFFFF"/>
        </w:rPr>
        <w:t>This presentation contains certain forward-looking statements concerning the</w:t>
      </w:r>
    </w:p>
    <w:p>
      <w:pPr>
        <w:ind w:left="60" w:right="1120"/>
        <w:spacing w:after="0" w:line="207" w:lineRule="auto"/>
        <w:rPr>
          <w:sz w:val="20"/>
          <w:szCs w:val="20"/>
          <w:color w:val="auto"/>
        </w:rPr>
      </w:pPr>
      <w:r>
        <w:rPr>
          <w:rFonts w:ascii="Arial" w:cs="Arial" w:eastAsia="Arial" w:hAnsi="Arial"/>
          <w:sz w:val="23"/>
          <w:szCs w:val="23"/>
          <w:color w:val="FFFFFF"/>
        </w:rPr>
        <w:t>Company's operations, performance, and financial condition. Such forward-looking statements are subject to various risks and uncertainties that could cause actual results</w:t>
      </w:r>
    </w:p>
    <w:p>
      <w:pPr>
        <w:spacing w:after="0" w:line="2" w:lineRule="exact"/>
        <w:rPr>
          <w:sz w:val="20"/>
          <w:szCs w:val="20"/>
          <w:color w:val="auto"/>
        </w:rPr>
      </w:pPr>
    </w:p>
    <w:p>
      <w:pPr>
        <w:ind w:left="60" w:right="1500"/>
        <w:spacing w:after="0" w:line="204" w:lineRule="auto"/>
        <w:rPr>
          <w:sz w:val="20"/>
          <w:szCs w:val="20"/>
          <w:color w:val="auto"/>
        </w:rPr>
      </w:pPr>
      <w:r>
        <w:rPr>
          <w:rFonts w:ascii="Arial" w:cs="Arial" w:eastAsia="Arial" w:hAnsi="Arial"/>
          <w:sz w:val="23"/>
          <w:szCs w:val="23"/>
          <w:color w:val="FFFFFF"/>
        </w:rPr>
        <w:t>to differ materially from those indicated. Such risks and uncertainties may include, but are not limited to: the failure to implement the Company's business plan for increased profitability and growth in the Company's retail stores sales and direct-to-consumer segments, the failure of management to develop the Company’s new direct to consumer businesses, the failure of changes in management to achieve improvement in the Company's competitive position, adverse changes in costs vital to catalog operations,</w:t>
      </w:r>
    </w:p>
    <w:p>
      <w:pPr>
        <w:spacing w:after="0" w:line="2" w:lineRule="exact"/>
        <w:rPr>
          <w:sz w:val="20"/>
          <w:szCs w:val="20"/>
          <w:color w:val="auto"/>
        </w:rPr>
      </w:pPr>
    </w:p>
    <w:p>
      <w:pPr>
        <w:ind w:left="60" w:right="1460"/>
        <w:spacing w:after="0" w:line="204" w:lineRule="auto"/>
        <w:rPr>
          <w:sz w:val="20"/>
          <w:szCs w:val="20"/>
          <w:color w:val="auto"/>
        </w:rPr>
      </w:pPr>
      <w:r>
        <w:rPr>
          <w:rFonts w:ascii="Arial" w:cs="Arial" w:eastAsia="Arial" w:hAnsi="Arial"/>
          <w:sz w:val="23"/>
          <w:szCs w:val="23"/>
          <w:color w:val="FFFFFF"/>
        </w:rPr>
        <w:t>such as postage, paper and acquisition of prospects, declining response rates to catalog offerings, failure to maintain efficient and uninterrupted order-taking and fulfillment in our direct-to-consumer business, changes in or miscalculation of fashion trends, extreme or unseasonable weather conditions, economic downturns, escalation of energy costs, a weakness in overall consumer demand, increases in wage rates, the ability to hire and train associates, trade and security restrictions and political or financial</w:t>
      </w:r>
    </w:p>
    <w:p>
      <w:pPr>
        <w:spacing w:after="0" w:line="2" w:lineRule="exact"/>
        <w:rPr>
          <w:sz w:val="20"/>
          <w:szCs w:val="20"/>
          <w:color w:val="auto"/>
        </w:rPr>
      </w:pPr>
    </w:p>
    <w:p>
      <w:pPr>
        <w:ind w:left="60" w:right="780"/>
        <w:spacing w:after="0" w:line="202" w:lineRule="auto"/>
        <w:rPr>
          <w:sz w:val="20"/>
          <w:szCs w:val="20"/>
          <w:color w:val="auto"/>
        </w:rPr>
      </w:pPr>
      <w:r>
        <w:rPr>
          <w:rFonts w:ascii="Arial" w:cs="Arial" w:eastAsia="Arial" w:hAnsi="Arial"/>
          <w:sz w:val="23"/>
          <w:szCs w:val="23"/>
          <w:color w:val="FFFFFF"/>
        </w:rPr>
        <w:t>instability in countries where goods are manufactured, increases in raw material costs from inflation and other factors, the interruption of merchandise flow from the</w:t>
      </w:r>
    </w:p>
    <w:p>
      <w:pPr>
        <w:spacing w:after="0" w:line="1" w:lineRule="exact"/>
        <w:rPr>
          <w:sz w:val="20"/>
          <w:szCs w:val="20"/>
          <w:color w:val="auto"/>
        </w:rPr>
      </w:pPr>
    </w:p>
    <w:p>
      <w:pPr>
        <w:ind w:left="60" w:right="1760"/>
        <w:spacing w:after="0" w:line="205" w:lineRule="auto"/>
        <w:rPr>
          <w:sz w:val="20"/>
          <w:szCs w:val="20"/>
          <w:color w:val="auto"/>
        </w:rPr>
      </w:pPr>
      <w:r>
        <w:rPr>
          <w:rFonts w:ascii="Arial" w:cs="Arial" w:eastAsia="Arial" w:hAnsi="Arial"/>
          <w:sz w:val="23"/>
          <w:szCs w:val="23"/>
          <w:color w:val="FFFFFF"/>
        </w:rPr>
        <w:t>Company's centralized distribution facilities, competitive pressures, and the adverse effects of natural disasters, war, acts of terrorism or threats of either, or other armed conflict, on the United States and international economies. These, and other risks and uncertainties, are detailed in the Company's filings with the Securities and Exchange</w:t>
      </w:r>
    </w:p>
    <w:p>
      <w:pPr>
        <w:ind w:left="60"/>
        <w:spacing w:after="0" w:line="203" w:lineRule="auto"/>
        <w:rPr>
          <w:sz w:val="20"/>
          <w:szCs w:val="20"/>
          <w:color w:val="auto"/>
        </w:rPr>
      </w:pPr>
      <w:r>
        <w:rPr>
          <w:rFonts w:ascii="Arial" w:cs="Arial" w:eastAsia="Arial" w:hAnsi="Arial"/>
          <w:sz w:val="23"/>
          <w:szCs w:val="23"/>
          <w:color w:val="FFFFFF"/>
        </w:rPr>
        <w:t>Commission, including the Company's Annual Report on Form 10-K for the fiscal year</w:t>
      </w:r>
    </w:p>
    <w:p>
      <w:pPr>
        <w:ind w:left="60" w:right="920"/>
        <w:spacing w:after="0" w:line="202" w:lineRule="auto"/>
        <w:rPr>
          <w:sz w:val="20"/>
          <w:szCs w:val="20"/>
          <w:color w:val="auto"/>
        </w:rPr>
      </w:pPr>
      <w:r>
        <w:rPr>
          <w:rFonts w:ascii="Arial" w:cs="Arial" w:eastAsia="Arial" w:hAnsi="Arial"/>
          <w:sz w:val="23"/>
          <w:szCs w:val="23"/>
          <w:color w:val="FFFFFF"/>
        </w:rPr>
        <w:t>ended January 31, 2009 filed on March 23, 2009 and other Company filings with the Securities and Exchange Commission. Casual Male assumes no duty to update or revise</w:t>
      </w:r>
    </w:p>
    <w:p>
      <w:pPr>
        <w:spacing w:after="0" w:line="1" w:lineRule="exact"/>
        <w:rPr>
          <w:sz w:val="20"/>
          <w:szCs w:val="20"/>
          <w:color w:val="auto"/>
        </w:rPr>
      </w:pPr>
    </w:p>
    <w:p>
      <w:pPr>
        <w:ind w:left="60" w:right="1820"/>
        <w:spacing w:after="0" w:line="229" w:lineRule="auto"/>
        <w:rPr>
          <w:sz w:val="20"/>
          <w:szCs w:val="20"/>
          <w:color w:val="auto"/>
        </w:rPr>
      </w:pPr>
      <w:r>
        <w:rPr>
          <w:rFonts w:ascii="Arial" w:cs="Arial" w:eastAsia="Arial" w:hAnsi="Arial"/>
          <w:sz w:val="23"/>
          <w:szCs w:val="23"/>
          <w:color w:val="FFFFFF"/>
        </w:rPr>
        <w:t>its forward-looking statements even if experience or future changes make it clear that any projected results expressed or implied therein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33</w:t>
      </w:r>
    </w:p>
    <w:sectPr>
      <w:pgSz w:w="11900" w:h="16838" w:orient="portrait"/>
      <w:cols w:equalWidth="0" w:num="1">
        <w:col w:w="10720"/>
      </w:cols>
      <w:pgMar w:left="700" w:top="76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1."/>
      <w:numFmt w:val="decimal"/>
      <w:start w:val="1"/>
    </w:lvl>
  </w:abstractNum>
  <w:abstractNum w:abstractNumId="2">
    <w:nsid w:val="354FE9F9"/>
    <w:multiLevelType w:val="hybridMultilevel"/>
    <w:lvl w:ilvl="0">
      <w:lvlJc w:val="left"/>
      <w:lvlText w:val="%1."/>
      <w:numFmt w:val="decimal"/>
      <w:start w:val="2"/>
    </w:lvl>
  </w:abstractNum>
  <w:abstractNum w:abstractNumId="3">
    <w:nsid w:val="15B5AF5C"/>
    <w:multiLevelType w:val="hybridMultilevel"/>
    <w:lvl w:ilvl="0">
      <w:lvlJc w:val="left"/>
      <w:lvlText w:val="%1."/>
      <w:numFmt w:val="decimal"/>
      <w:start w:val="3"/>
    </w:lvl>
  </w:abstractNum>
  <w:abstractNum w:abstractNumId="4">
    <w:nsid w:val="741226BB"/>
    <w:multiLevelType w:val="hybridMultilevel"/>
    <w:lvl w:ilvl="0">
      <w:lvlJc w:val="left"/>
      <w:lvlText w:val="(%1)"/>
      <w:numFmt w:val="lowerLetter"/>
      <w:start w:val="1"/>
    </w:lvl>
  </w:abstractNum>
  <w:abstractNum w:abstractNumId="5">
    <w:nsid w:val="D34B6A8"/>
    <w:multiLevelType w:val="hybridMultilevel"/>
    <w:lvl w:ilvl="0">
      <w:lvlJc w:val="left"/>
      <w:lvlText w:val="(%1)"/>
      <w:numFmt w:val="lowerLetter"/>
      <w:start w:val="3"/>
    </w:lvl>
  </w:abstractNum>
  <w:abstractNum w:abstractNumId="6">
    <w:nsid w:val="10233C99"/>
    <w:multiLevelType w:val="hybridMultilevel"/>
    <w:lvl w:ilvl="0">
      <w:lvlJc w:val="left"/>
      <w:lvlText w:val="%1."/>
      <w:numFmt w:val="decimal"/>
      <w:start w:val="4"/>
    </w:lvl>
  </w:abstractNum>
  <w:abstractNum w:abstractNumId="7">
    <w:nsid w:val="3F6AB60F"/>
    <w:multiLevelType w:val="hybridMultilevel"/>
    <w:lvl w:ilvl="0">
      <w:lvlJc w:val="left"/>
      <w:lvlText w:val="%1."/>
      <w:numFmt w:val="decimal"/>
      <w:start w:val="5"/>
    </w:lvl>
  </w:abstractNum>
  <w:abstractNum w:abstractNumId="8">
    <w:nsid w:val="61574095"/>
    <w:multiLevelType w:val="hybridMultilevel"/>
    <w:lvl w:ilvl="0">
      <w:lvlJc w:val="left"/>
      <w:lvlText w:val="(%1)"/>
      <w:numFmt w:val="lowerLetter"/>
      <w:start w:val="1"/>
    </w:lvl>
  </w:abstractNum>
  <w:abstractNum w:abstractNumId="9">
    <w:nsid w:val="7E0C57B1"/>
    <w:multiLevelType w:val="hybridMultilevel"/>
    <w:lvl w:ilvl="0">
      <w:lvlJc w:val="left"/>
      <w:lvlText w:val="%1."/>
      <w:numFmt w:val="decimal"/>
      <w:start w:val="6"/>
    </w:lvl>
  </w:abstractNum>
  <w:abstractNum w:abstractNumId="10">
    <w:nsid w:val="77AE35EB"/>
    <w:multiLevelType w:val="hybridMultilevel"/>
    <w:lvl w:ilvl="0">
      <w:lvlJc w:val="left"/>
      <w:lvlText w:val="(%1)"/>
      <w:numFmt w:val="lowerLetter"/>
      <w:start w:val="1"/>
    </w:lvl>
  </w:abstractNum>
  <w:abstractNum w:abstractNumId="11">
    <w:nsid w:val="579BE4F1"/>
    <w:multiLevelType w:val="hybridMultilevel"/>
    <w:lvl w:ilvl="0">
      <w:lvlJc w:val="left"/>
      <w:lvlText w:val="%1."/>
      <w:numFmt w:val="decimal"/>
      <w:start w:val="7"/>
    </w:lvl>
  </w:abstractNum>
  <w:abstractNum w:abstractNumId="12">
    <w:nsid w:val="310C50B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
    <w:nsid w:val="5FF87E05"/>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4">
    <w:nsid w:val="2F305DEF"/>
    <w:multiLevelType w:val="hybridMultilevel"/>
    <w:lvl w:ilvl="0">
      <w:lvlJc w:val="left"/>
      <w:lvlText w:val="%1"/>
      <w:numFmt w:val="lowerLetter"/>
      <w:start w:val="1"/>
    </w:lvl>
    <w:lvl w:ilvl="1">
      <w:lvlJc w:val="left"/>
      <w:lvlText w:val="(%2)"/>
      <w:numFmt w:val="lowerLetter"/>
      <w:start w:val="61"/>
    </w:lvl>
  </w:abstractNum>
  <w:abstractNum w:abstractNumId="15">
    <w:nsid w:val="25A70BF7"/>
    <w:multiLevelType w:val="hybridMultilevel"/>
    <w:lvl w:ilvl="0">
      <w:lvlJc w:val="left"/>
      <w:lvlText w:val="(%1)"/>
      <w:numFmt w:val="lowerLetter"/>
      <w:start w:val="3"/>
    </w:lvl>
    <w:lvl w:ilvl="1">
      <w:lvlJc w:val="left"/>
      <w:lvlText w:val="%2"/>
      <w:numFmt w:val="lowerLetter"/>
      <w:start w:val="1"/>
    </w:lvl>
  </w:abstractNum>
  <w:abstractNum w:abstractNumId="16">
    <w:nsid w:val="1DBABF00"/>
    <w:multiLevelType w:val="hybridMultilevel"/>
    <w:lvl w:ilvl="0">
      <w:lvlJc w:val="left"/>
      <w:lvlText w:val="(%1)"/>
      <w:numFmt w:val="lowerLetter"/>
      <w:start w:val="7"/>
    </w:lvl>
    <w:lvl w:ilvl="1">
      <w:lvlJc w:val="left"/>
      <w:lvlText w:val="(%2)"/>
      <w:numFmt w:val="lowerLetter"/>
      <w:start w:val="9"/>
    </w:lvl>
  </w:abstractNum>
  <w:abstractNum w:abstractNumId="17">
    <w:nsid w:val="4AD084E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8">
    <w:nsid w:val="1F48EAA1"/>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19">
    <w:nsid w:val="1381823A"/>
    <w:multiLevelType w:val="hybridMultilevel"/>
    <w:lvl w:ilvl="0">
      <w:lvlJc w:val="left"/>
      <w:lvlText w:val="%1."/>
      <w:numFmt w:val="decimal"/>
      <w:start w:val="8"/>
    </w:lvl>
  </w:abstractNum>
  <w:abstractNum w:abstractNumId="20">
    <w:nsid w:val="5DB70AE5"/>
    <w:multiLevelType w:val="hybridMultilevel"/>
    <w:lvl w:ilvl="0">
      <w:lvlJc w:val="left"/>
      <w:lvlText w:val="(%1)"/>
      <w:numFmt w:val="lowerLetter"/>
      <w:start w:val="1"/>
    </w:lvl>
    <w:lvl w:ilvl="1">
      <w:lvlJc w:val="left"/>
      <w:lvlText w:val="(%2)"/>
      <w:numFmt w:val="lowerRoman"/>
      <w:start w:val="1"/>
    </w:lvl>
  </w:abstractNum>
  <w:abstractNum w:abstractNumId="21">
    <w:nsid w:val="100F8FCA"/>
    <w:multiLevelType w:val="hybridMultilevel"/>
    <w:lvl w:ilvl="0">
      <w:lvlJc w:val="left"/>
      <w:lvlText w:val="(%1)"/>
      <w:numFmt w:val="lowerLetter"/>
      <w:start w:val="5"/>
    </w:lvl>
  </w:abstractNum>
  <w:abstractNum w:abstractNumId="22">
    <w:nsid w:val="6590700B"/>
    <w:multiLevelType w:val="hybridMultilevel"/>
    <w:lvl w:ilvl="0">
      <w:lvlJc w:val="left"/>
      <w:lvlText w:val="(%1)"/>
      <w:numFmt w:val="lowerLetter"/>
      <w:start w:val="6"/>
    </w:lvl>
    <w:lvl w:ilvl="1">
      <w:lvlJc w:val="left"/>
      <w:lvlText w:val="(%2)"/>
      <w:numFmt w:val="lowerRoman"/>
      <w:start w:val="1"/>
    </w:lvl>
  </w:abstractNum>
  <w:abstractNum w:abstractNumId="23">
    <w:nsid w:val="15014ACB"/>
    <w:multiLevelType w:val="hybridMultilevel"/>
    <w:lvl w:ilvl="0">
      <w:lvlJc w:val="left"/>
      <w:lvlText w:val="%1."/>
      <w:numFmt w:val="decimal"/>
      <w:start w:val="9"/>
    </w:lvl>
  </w:abstractNum>
  <w:abstractNum w:abstractNumId="24">
    <w:nsid w:val="5F5E7FD0"/>
    <w:multiLevelType w:val="hybridMultilevel"/>
    <w:lvl w:ilvl="0">
      <w:lvlJc w:val="left"/>
      <w:lvlText w:val="%1"/>
      <w:numFmt w:val="lowerLetter"/>
      <w:start w:val="1"/>
    </w:lvl>
    <w:lvl w:ilvl="1">
      <w:lvlJc w:val="left"/>
      <w:lvlText w:val="(%2)"/>
      <w:numFmt w:val="lowerLetter"/>
      <w:start w:val="1"/>
    </w:lvl>
  </w:abstractNum>
  <w:abstractNum w:abstractNumId="25">
    <w:nsid w:val="98A3148"/>
    <w:multiLevelType w:val="hybridMultilevel"/>
    <w:lvl w:ilvl="0">
      <w:lvlJc w:val="left"/>
      <w:lvlText w:val="(%1)"/>
      <w:numFmt w:val="lowerLetter"/>
      <w:start w:val="9"/>
    </w:lvl>
    <w:lvl w:ilvl="1">
      <w:lvlJc w:val="left"/>
      <w:lvlText w:val="(%2)"/>
      <w:numFmt w:val="lowerLetter"/>
      <w:start w:val="5"/>
    </w:lvl>
  </w:abstractNum>
  <w:abstractNum w:abstractNumId="26">
    <w:nsid w:val="799D0247"/>
    <w:multiLevelType w:val="hybridMultilevel"/>
    <w:lvl w:ilvl="0">
      <w:lvlJc w:val="left"/>
      <w:lvlText w:val="%1."/>
      <w:numFmt w:val="decimal"/>
      <w:start w:val="10"/>
    </w:lvl>
  </w:abstractNum>
  <w:abstractNum w:abstractNumId="27">
    <w:nsid w:val="6B94764"/>
    <w:multiLevelType w:val="hybridMultilevel"/>
    <w:lvl w:ilvl="0">
      <w:lvlJc w:val="left"/>
      <w:lvlText w:val="(%1)"/>
      <w:numFmt w:val="lowerLetter"/>
      <w:start w:val="1"/>
    </w:lvl>
  </w:abstractNum>
  <w:abstractNum w:abstractNumId="28">
    <w:nsid w:val="42C296BD"/>
    <w:multiLevelType w:val="hybridMultilevel"/>
    <w:lvl w:ilvl="0">
      <w:lvlJc w:val="left"/>
      <w:lvlText w:val="%1."/>
      <w:numFmt w:val="decimal"/>
      <w:start w:val="11"/>
    </w:lvl>
  </w:abstractNum>
  <w:abstractNum w:abstractNumId="29">
    <w:nsid w:val="168E121F"/>
    <w:multiLevelType w:val="hybridMultilevel"/>
    <w:lvl w:ilvl="0">
      <w:lvlJc w:val="left"/>
      <w:lvlText w:val="(%1)"/>
      <w:numFmt w:val="lowerLetter"/>
      <w:start w:val="1"/>
    </w:lvl>
  </w:abstractNum>
  <w:abstractNum w:abstractNumId="30">
    <w:nsid w:val="1EBA5D23"/>
    <w:multiLevelType w:val="hybridMultilevel"/>
    <w:lvl w:ilvl="0">
      <w:lvlJc w:val="left"/>
      <w:lvlText w:val="%1."/>
      <w:numFmt w:val="decimal"/>
      <w:start w:val="12"/>
    </w:lvl>
  </w:abstractNum>
  <w:abstractNum w:abstractNumId="31">
    <w:nsid w:val="661E3F1E"/>
    <w:multiLevelType w:val="hybridMultilevel"/>
    <w:lvl w:ilvl="0">
      <w:lvlJc w:val="left"/>
      <w:lvlText w:val="(%1)"/>
      <w:numFmt w:val="lowerLetter"/>
      <w:start w:val="1"/>
    </w:lvl>
  </w:abstractNum>
  <w:abstractNum w:abstractNumId="32">
    <w:nsid w:val="5DC79EA8"/>
    <w:multiLevelType w:val="hybridMultilevel"/>
    <w:lvl w:ilvl="0">
      <w:lvlJc w:val="left"/>
      <w:lvlText w:val="(%1)"/>
      <w:numFmt w:val="lowerLetter"/>
      <w:start w:val="2"/>
    </w:lvl>
  </w:abstractNum>
  <w:abstractNum w:abstractNumId="33">
    <w:nsid w:val="540A471C"/>
    <w:multiLevelType w:val="hybridMultilevel"/>
    <w:lvl w:ilvl="0">
      <w:lvlJc w:val="left"/>
      <w:lvlText w:val="%1."/>
      <w:numFmt w:val="decimal"/>
      <w:start w:val="13"/>
    </w:lvl>
  </w:abstractNum>
  <w:abstractNum w:abstractNumId="34">
    <w:nsid w:val="7BD3EE7B"/>
    <w:multiLevelType w:val="hybridMultilevel"/>
    <w:lvl w:ilvl="0">
      <w:lvlJc w:val="left"/>
      <w:lvlText w:val="%1."/>
      <w:numFmt w:val="decimal"/>
      <w:start w:val="14"/>
    </w:lvl>
  </w:abstractNum>
  <w:abstractNum w:abstractNumId="35">
    <w:nsid w:val="51D9C564"/>
    <w:multiLevelType w:val="hybridMultilevel"/>
    <w:lvl w:ilvl="0">
      <w:lvlJc w:val="left"/>
      <w:lvlText w:val="%1."/>
      <w:numFmt w:val="decimal"/>
      <w:start w:val="15"/>
    </w:lvl>
  </w:abstractNum>
  <w:abstractNum w:abstractNumId="36">
    <w:nsid w:val="613EFDC5"/>
    <w:multiLevelType w:val="hybridMultilevel"/>
    <w:lvl w:ilvl="0">
      <w:lvlJc w:val="left"/>
      <w:lvlText w:val="%1."/>
      <w:numFmt w:val="decimal"/>
      <w:start w:val="16"/>
    </w:lvl>
  </w:abstractNum>
  <w:abstractNum w:abstractNumId="37">
    <w:nsid w:val="BF72B14"/>
    <w:multiLevelType w:val="hybridMultilevel"/>
    <w:lvl w:ilvl="0">
      <w:lvlJc w:val="left"/>
      <w:lvlText w:val="%1."/>
      <w:numFmt w:val="decimal"/>
      <w:start w:val="17"/>
    </w:lvl>
  </w:abstractNum>
  <w:abstractNum w:abstractNumId="38">
    <w:nsid w:val="11447B73"/>
    <w:multiLevelType w:val="hybridMultilevel"/>
    <w:lvl w:ilvl="0">
      <w:lvlJc w:val="left"/>
      <w:lvlText w:val="%1."/>
      <w:numFmt w:val="decimal"/>
      <w:start w:val="18"/>
    </w:lvl>
  </w:abstractNum>
  <w:abstractNum w:abstractNumId="39">
    <w:nsid w:val="42963E5A"/>
    <w:multiLevelType w:val="hybridMultilevel"/>
    <w:lvl w:ilvl="0">
      <w:lvlJc w:val="left"/>
      <w:lvlText w:val="%1."/>
      <w:numFmt w:val="decimal"/>
      <w:start w:val="19"/>
    </w:lvl>
  </w:abstractNum>
  <w:abstractNum w:abstractNumId="40">
    <w:nsid w:val="A0382C5"/>
    <w:multiLevelType w:val="hybridMultilevel"/>
    <w:lvl w:ilvl="0">
      <w:lvlJc w:val="left"/>
      <w:lvlText w:val="%1."/>
      <w:numFmt w:val="decimal"/>
      <w:start w:val="20"/>
    </w:lvl>
  </w:abstractNum>
  <w:abstractNum w:abstractNumId="41">
    <w:nsid w:val="8F2B15E"/>
    <w:multiLevelType w:val="hybridMultilevel"/>
    <w:lvl w:ilvl="0">
      <w:lvlJc w:val="left"/>
      <w:lvlText w:val="%1."/>
      <w:numFmt w:val="decimal"/>
      <w:start w:val="21"/>
    </w:lvl>
  </w:abstractNum>
  <w:abstractNum w:abstractNumId="42">
    <w:nsid w:val="1A32234B"/>
    <w:multiLevelType w:val="hybridMultilevel"/>
    <w:lvl w:ilvl="0">
      <w:lvlJc w:val="left"/>
      <w:lvlText w:val="%1."/>
      <w:numFmt w:val="decimal"/>
      <w:start w:val="22"/>
    </w:lvl>
  </w:abstractNum>
  <w:abstractNum w:abstractNumId="43">
    <w:nsid w:val="3B0FD379"/>
    <w:multiLevelType w:val="hybridMultilevel"/>
    <w:lvl w:ilvl="0">
      <w:lvlJc w:val="left"/>
      <w:lvlText w:val="%1."/>
      <w:numFmt w:val="decimal"/>
      <w:start w:val="23"/>
    </w:lvl>
  </w:abstractNum>
  <w:abstractNum w:abstractNumId="44">
    <w:nsid w:val="68EB2F63"/>
    <w:multiLevelType w:val="hybridMultilevel"/>
    <w:lvl w:ilvl="0">
      <w:lvlJc w:val="left"/>
      <w:lvlText w:val="%1."/>
      <w:numFmt w:val="decimal"/>
      <w:start w:val="24"/>
    </w:lvl>
    <w:lvl w:ilvl="1">
      <w:lvlJc w:val="left"/>
      <w:lvlText w:val="(%2)"/>
      <w:numFmt w:val="lowerLetter"/>
      <w:start w:val="1"/>
    </w:lvl>
  </w:abstractNum>
  <w:abstractNum w:abstractNumId="45">
    <w:nsid w:val="4962813B"/>
    <w:multiLevelType w:val="hybridMultilevel"/>
    <w:lvl w:ilvl="0">
      <w:lvlJc w:val="left"/>
      <w:lvlText w:val="%1."/>
      <w:numFmt w:val="decimal"/>
      <w:start w:val="25"/>
    </w:lvl>
  </w:abstractNum>
  <w:abstractNum w:abstractNumId="46">
    <w:nsid w:val="60B6DF70"/>
    <w:multiLevelType w:val="hybridMultilevel"/>
    <w:lvl w:ilvl="0">
      <w:lvlJc w:val="left"/>
      <w:lvlText w:val="%1."/>
      <w:numFmt w:val="decimal"/>
      <w:start w:val="26"/>
    </w:lvl>
  </w:abstractNum>
  <w:abstractNum w:abstractNumId="47">
    <w:nsid w:val="6A5EE64"/>
    <w:multiLevelType w:val="hybridMultilevel"/>
    <w:lvl w:ilvl="0">
      <w:lvlJc w:val="left"/>
      <w:lvlText w:val="%1"/>
      <w:numFmt w:val="lowerRoman"/>
      <w:start w:val="1"/>
    </w:lvl>
    <w:lvl w:ilvl="1">
      <w:lvlJc w:val="left"/>
      <w:lvlText w:val="%2."/>
      <w:numFmt w:val="decimal"/>
      <w:start w:val="1"/>
    </w:lvl>
  </w:abstractNum>
  <w:abstractNum w:abstractNumId="48">
    <w:nsid w:val="14330624"/>
    <w:multiLevelType w:val="hybridMultilevel"/>
    <w:lvl w:ilvl="0">
      <w:lvlJc w:val="left"/>
      <w:lvlText w:val="(%1)"/>
      <w:numFmt w:val="lowerRoman"/>
      <w:start w:val="5"/>
    </w:lvl>
    <w:lvl w:ilvl="1">
      <w:lvlJc w:val="left"/>
      <w:lvlText w:val="%2"/>
      <w:numFmt w:val="decimal"/>
      <w:start w:val="1"/>
    </w:lvl>
  </w:abstractNum>
  <w:abstractNum w:abstractNumId="49">
    <w:nsid w:val="7FFFCA11"/>
    <w:multiLevelType w:val="hybridMultilevel"/>
    <w:lvl w:ilvl="0">
      <w:lvlJc w:val="left"/>
      <w:lvlText w:val="%1."/>
      <w:numFmt w:val="decimal"/>
      <w:start w:val="2"/>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1."/>
      <w:numFmt w:val="decimal"/>
      <w:start w:val="2"/>
    </w:lvl>
  </w:abstractNum>
  <w:abstractNum w:abstractNumId="52">
    <w:nsid w:val="100F59DC"/>
    <w:multiLevelType w:val="hybridMultilevel"/>
    <w:lvl w:ilvl="0">
      <w:lvlJc w:val="left"/>
      <w:lvlText w:val="%1."/>
      <w:numFmt w:val="decimal"/>
      <w:start w:val="3"/>
    </w:lvl>
  </w:abstractNum>
  <w:abstractNum w:abstractNumId="53">
    <w:nsid w:val="7FB7E0AA"/>
    <w:multiLevelType w:val="hybridMultilevel"/>
    <w:lvl w:ilvl="0">
      <w:lvlJc w:val="left"/>
      <w:lvlText w:val="(%1)"/>
      <w:numFmt w:val="lowerLetter"/>
      <w:start w:val="1"/>
    </w:lvl>
  </w:abstractNum>
  <w:abstractNum w:abstractNumId="54">
    <w:nsid w:val="6EB5BD4"/>
    <w:multiLevelType w:val="hybridMultilevel"/>
    <w:lvl w:ilvl="0">
      <w:lvlJc w:val="left"/>
      <w:lvlText w:val="(%1)"/>
      <w:numFmt w:val="lowerLetter"/>
      <w:start w:val="3"/>
    </w:lvl>
  </w:abstractNum>
  <w:abstractNum w:abstractNumId="55">
    <w:nsid w:val="6F6DD9AC"/>
    <w:multiLevelType w:val="hybridMultilevel"/>
    <w:lvl w:ilvl="0">
      <w:lvlJc w:val="left"/>
      <w:lvlText w:val="%1."/>
      <w:numFmt w:val="decimal"/>
      <w:start w:val="4"/>
    </w:lvl>
  </w:abstractNum>
  <w:abstractNum w:abstractNumId="56">
    <w:nsid w:val="94211F2"/>
    <w:multiLevelType w:val="hybridMultilevel"/>
    <w:lvl w:ilvl="0">
      <w:lvlJc w:val="left"/>
      <w:lvlText w:val="%1."/>
      <w:numFmt w:val="decimal"/>
      <w:start w:val="5"/>
    </w:lvl>
  </w:abstractNum>
  <w:abstractNum w:abstractNumId="57">
    <w:nsid w:val="885E1B"/>
    <w:multiLevelType w:val="hybridMultilevel"/>
    <w:lvl w:ilvl="0">
      <w:lvlJc w:val="left"/>
      <w:lvlText w:val="(%1)"/>
      <w:numFmt w:val="lowerLetter"/>
      <w:start w:val="1"/>
    </w:lvl>
  </w:abstractNum>
  <w:abstractNum w:abstractNumId="58">
    <w:nsid w:val="76272110"/>
    <w:multiLevelType w:val="hybridMultilevel"/>
    <w:lvl w:ilvl="0">
      <w:lvlJc w:val="left"/>
      <w:lvlText w:val="(%1)"/>
      <w:numFmt w:val="lowerLetter"/>
      <w:start w:val="2"/>
    </w:lvl>
  </w:abstractNum>
  <w:abstractNum w:abstractNumId="59">
    <w:nsid w:val="4C04A8AF"/>
    <w:multiLevelType w:val="hybridMultilevel"/>
    <w:lvl w:ilvl="0">
      <w:lvlJc w:val="left"/>
      <w:lvlText w:val="%1."/>
      <w:numFmt w:val="decimal"/>
      <w:start w:val="6"/>
    </w:lvl>
  </w:abstractNum>
  <w:abstractNum w:abstractNumId="60">
    <w:nsid w:val="1716703B"/>
    <w:multiLevelType w:val="hybridMultilevel"/>
    <w:lvl w:ilvl="0">
      <w:lvlJc w:val="left"/>
      <w:lvlText w:val="(%1)"/>
      <w:numFmt w:val="lowerLetter"/>
      <w:start w:val="1"/>
    </w:lvl>
  </w:abstractNum>
  <w:abstractNum w:abstractNumId="61">
    <w:nsid w:val="14E17E33"/>
    <w:multiLevelType w:val="hybridMultilevel"/>
    <w:lvl w:ilvl="0">
      <w:lvlJc w:val="left"/>
      <w:lvlText w:val="%1."/>
      <w:numFmt w:val="decimal"/>
      <w:start w:val="7"/>
    </w:lvl>
  </w:abstractNum>
  <w:abstractNum w:abstractNumId="62">
    <w:nsid w:val="3222E7C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3">
    <w:nsid w:val="74DE0EE3"/>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3"/>
    </w:lvl>
  </w:abstractNum>
  <w:abstractNum w:abstractNumId="64">
    <w:nsid w:val="68EBC550"/>
    <w:multiLevelType w:val="hybridMultilevel"/>
    <w:lvl w:ilvl="0">
      <w:lvlJc w:val="left"/>
      <w:lvlText w:val="(%1)"/>
      <w:numFmt w:val="lowerLetter"/>
      <w:start w:val="3"/>
    </w:lvl>
  </w:abstractNum>
  <w:abstractNum w:abstractNumId="65">
    <w:nsid w:val="2DF6D648"/>
    <w:multiLevelType w:val="hybridMultilevel"/>
    <w:lvl w:ilvl="0">
      <w:lvlJc w:val="left"/>
      <w:lvlText w:val="(%1)"/>
      <w:numFmt w:val="lowerLetter"/>
      <w:start w:val="8"/>
    </w:lvl>
    <w:lvl w:ilvl="1">
      <w:lvlJc w:val="left"/>
      <w:lvlText w:val="(%2)"/>
      <w:numFmt w:val="lowerLetter"/>
      <w:start w:val="9"/>
    </w:lvl>
  </w:abstractNum>
  <w:abstractNum w:abstractNumId="66">
    <w:nsid w:val="46B7D447"/>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67">
    <w:nsid w:val="4A2AC315"/>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68">
    <w:nsid w:val="39EE015C"/>
    <w:multiLevelType w:val="hybridMultilevel"/>
    <w:lvl w:ilvl="0">
      <w:lvlJc w:val="left"/>
      <w:lvlText w:val="%1."/>
      <w:numFmt w:val="decimal"/>
      <w:start w:val="8"/>
    </w:lvl>
  </w:abstractNum>
  <w:abstractNum w:abstractNumId="69">
    <w:nsid w:val="57FC4FBB"/>
    <w:multiLevelType w:val="hybridMultilevel"/>
    <w:lvl w:ilvl="0">
      <w:lvlJc w:val="left"/>
      <w:lvlText w:val="(%1)"/>
      <w:numFmt w:val="lowerLetter"/>
      <w:start w:val="1"/>
    </w:lvl>
  </w:abstractNum>
  <w:abstractNum w:abstractNumId="70">
    <w:nsid w:val="CC1016F"/>
    <w:multiLevelType w:val="hybridMultilevel"/>
    <w:lvl w:ilvl="0">
      <w:lvlJc w:val="left"/>
      <w:lvlText w:val="(%1)"/>
      <w:numFmt w:val="lowerLetter"/>
      <w:start w:val="2"/>
    </w:lvl>
    <w:lvl w:ilvl="1">
      <w:lvlJc w:val="left"/>
      <w:lvlText w:val="(%2)"/>
      <w:numFmt w:val="lowerRoman"/>
      <w:start w:val="1"/>
    </w:lvl>
  </w:abstractNum>
  <w:abstractNum w:abstractNumId="71">
    <w:nsid w:val="43F18422"/>
    <w:multiLevelType w:val="hybridMultilevel"/>
    <w:lvl w:ilvl="0">
      <w:lvlJc w:val="left"/>
      <w:lvlText w:val="(%1)"/>
      <w:numFmt w:val="lowerLetter"/>
      <w:start w:val="5"/>
    </w:lvl>
  </w:abstractNum>
  <w:abstractNum w:abstractNumId="72">
    <w:nsid w:val="60EF0119"/>
    <w:multiLevelType w:val="hybridMultilevel"/>
    <w:lvl w:ilvl="0">
      <w:lvlJc w:val="left"/>
      <w:lvlText w:val="(%1)"/>
      <w:numFmt w:val="lowerLetter"/>
      <w:start w:val="6"/>
    </w:lvl>
    <w:lvl w:ilvl="1">
      <w:lvlJc w:val="left"/>
      <w:lvlText w:val="(%2)"/>
      <w:numFmt w:val="lowerRoman"/>
      <w:start w:val="1"/>
    </w:lvl>
  </w:abstractNum>
  <w:abstractNum w:abstractNumId="73">
    <w:nsid w:val="26F324BA"/>
    <w:multiLevelType w:val="hybridMultilevel"/>
    <w:lvl w:ilvl="0">
      <w:lvlJc w:val="left"/>
      <w:lvlText w:val="%1."/>
      <w:numFmt w:val="decimal"/>
      <w:start w:val="9"/>
    </w:lvl>
  </w:abstractNum>
  <w:abstractNum w:abstractNumId="74">
    <w:nsid w:val="7F01579B"/>
    <w:multiLevelType w:val="hybridMultilevel"/>
    <w:lvl w:ilvl="0">
      <w:lvlJc w:val="left"/>
      <w:lvlText w:val="%1"/>
      <w:numFmt w:val="lowerLetter"/>
      <w:start w:val="1"/>
    </w:lvl>
    <w:lvl w:ilvl="1">
      <w:lvlJc w:val="left"/>
      <w:lvlText w:val="(%2)"/>
      <w:numFmt w:val="lowerLetter"/>
      <w:start w:val="1"/>
    </w:lvl>
  </w:abstractNum>
  <w:abstractNum w:abstractNumId="75">
    <w:nsid w:val="49DA307D"/>
    <w:multiLevelType w:val="hybridMultilevel"/>
    <w:lvl w:ilvl="0">
      <w:lvlJc w:val="left"/>
      <w:lvlText w:val="(%1)"/>
      <w:numFmt w:val="lowerLetter"/>
      <w:start w:val="9"/>
    </w:lvl>
    <w:lvl w:ilvl="1">
      <w:lvlJc w:val="left"/>
      <w:lvlText w:val="(%2)"/>
      <w:numFmt w:val="lowerLetter"/>
      <w:start w:val="5"/>
    </w:lvl>
  </w:abstractNum>
  <w:abstractNum w:abstractNumId="76">
    <w:nsid w:val="7055A5F5"/>
    <w:multiLevelType w:val="hybridMultilevel"/>
    <w:lvl w:ilvl="0">
      <w:lvlJc w:val="left"/>
      <w:lvlText w:val="%1."/>
      <w:numFmt w:val="decimal"/>
      <w:start w:val="10"/>
    </w:lvl>
  </w:abstractNum>
  <w:abstractNum w:abstractNumId="77">
    <w:nsid w:val="5FB8370B"/>
    <w:multiLevelType w:val="hybridMultilevel"/>
    <w:lvl w:ilvl="0">
      <w:lvlJc w:val="left"/>
      <w:lvlText w:val="(%1)"/>
      <w:numFmt w:val="lowerLetter"/>
      <w:start w:val="1"/>
    </w:lvl>
  </w:abstractNum>
  <w:abstractNum w:abstractNumId="78">
    <w:nsid w:val="50801EE1"/>
    <w:multiLevelType w:val="hybridMultilevel"/>
    <w:lvl w:ilvl="0">
      <w:lvlJc w:val="left"/>
      <w:lvlText w:val="%1."/>
      <w:numFmt w:val="decimal"/>
      <w:start w:val="11"/>
    </w:lvl>
  </w:abstractNum>
  <w:abstractNum w:abstractNumId="79">
    <w:nsid w:val="488AC1A"/>
    <w:multiLevelType w:val="hybridMultilevel"/>
    <w:lvl w:ilvl="0">
      <w:lvlJc w:val="left"/>
      <w:lvlText w:val="(%1)"/>
      <w:numFmt w:val="lowerLetter"/>
      <w:start w:val="1"/>
    </w:lvl>
  </w:abstractNum>
  <w:abstractNum w:abstractNumId="80">
    <w:nsid w:val="5FB8011C"/>
    <w:multiLevelType w:val="hybridMultilevel"/>
    <w:lvl w:ilvl="0">
      <w:lvlJc w:val="left"/>
      <w:lvlText w:val="%1."/>
      <w:numFmt w:val="decimal"/>
      <w:start w:val="12"/>
    </w:lvl>
  </w:abstractNum>
  <w:abstractNum w:abstractNumId="81">
    <w:nsid w:val="6AA78F7F"/>
    <w:multiLevelType w:val="hybridMultilevel"/>
    <w:lvl w:ilvl="0">
      <w:lvlJc w:val="left"/>
      <w:lvlText w:val="(%1)"/>
      <w:numFmt w:val="lowerLetter"/>
      <w:start w:val="1"/>
    </w:lvl>
  </w:abstractNum>
  <w:abstractNum w:abstractNumId="82">
    <w:nsid w:val="7672BD23"/>
    <w:multiLevelType w:val="hybridMultilevel"/>
    <w:lvl w:ilvl="0">
      <w:lvlJc w:val="left"/>
      <w:lvlText w:val="(%1)"/>
      <w:numFmt w:val="lowerLetter"/>
      <w:start w:val="2"/>
    </w:lvl>
  </w:abstractNum>
  <w:abstractNum w:abstractNumId="83">
    <w:nsid w:val="6FC75AF8"/>
    <w:multiLevelType w:val="hybridMultilevel"/>
    <w:lvl w:ilvl="0">
      <w:lvlJc w:val="left"/>
      <w:lvlText w:val="%1."/>
      <w:numFmt w:val="decimal"/>
      <w:start w:val="13"/>
    </w:lvl>
  </w:abstractNum>
  <w:abstractNum w:abstractNumId="84">
    <w:nsid w:val="6A5F7029"/>
    <w:multiLevelType w:val="hybridMultilevel"/>
    <w:lvl w:ilvl="0">
      <w:lvlJc w:val="left"/>
      <w:lvlText w:val="%1."/>
      <w:numFmt w:val="decimal"/>
      <w:start w:val="14"/>
    </w:lvl>
  </w:abstractNum>
  <w:abstractNum w:abstractNumId="85">
    <w:nsid w:val="7D5E18F8"/>
    <w:multiLevelType w:val="hybridMultilevel"/>
    <w:lvl w:ilvl="0">
      <w:lvlJc w:val="left"/>
      <w:lvlText w:val="%1."/>
      <w:numFmt w:val="decimal"/>
      <w:start w:val="15"/>
    </w:lvl>
  </w:abstractNum>
  <w:abstractNum w:abstractNumId="86">
    <w:nsid w:val="5F3534A4"/>
    <w:multiLevelType w:val="hybridMultilevel"/>
    <w:lvl w:ilvl="0">
      <w:lvlJc w:val="left"/>
      <w:lvlText w:val="%1."/>
      <w:numFmt w:val="decimal"/>
      <w:start w:val="16"/>
    </w:lvl>
  </w:abstractNum>
  <w:abstractNum w:abstractNumId="87">
    <w:nsid w:val="73A1821B"/>
    <w:multiLevelType w:val="hybridMultilevel"/>
    <w:lvl w:ilvl="0">
      <w:lvlJc w:val="left"/>
      <w:lvlText w:val="%1."/>
      <w:numFmt w:val="decimal"/>
      <w:start w:val="17"/>
    </w:lvl>
  </w:abstractNum>
  <w:abstractNum w:abstractNumId="88">
    <w:nsid w:val="7DE67713"/>
    <w:multiLevelType w:val="hybridMultilevel"/>
    <w:lvl w:ilvl="0">
      <w:lvlJc w:val="left"/>
      <w:lvlText w:val="%1."/>
      <w:numFmt w:val="decimal"/>
      <w:start w:val="18"/>
    </w:lvl>
  </w:abstractNum>
  <w:abstractNum w:abstractNumId="89">
    <w:nsid w:val="555C55B5"/>
    <w:multiLevelType w:val="hybridMultilevel"/>
    <w:lvl w:ilvl="0">
      <w:lvlJc w:val="left"/>
      <w:lvlText w:val="%1."/>
      <w:numFmt w:val="decimal"/>
      <w:start w:val="19"/>
    </w:lvl>
  </w:abstractNum>
  <w:abstractNum w:abstractNumId="90">
    <w:nsid w:val="3FA62ACA"/>
    <w:multiLevelType w:val="hybridMultilevel"/>
    <w:lvl w:ilvl="0">
      <w:lvlJc w:val="left"/>
      <w:lvlText w:val="%1."/>
      <w:numFmt w:val="decimal"/>
      <w:start w:val="20"/>
    </w:lvl>
  </w:abstractNum>
  <w:abstractNum w:abstractNumId="91">
    <w:nsid w:val="14FCE74E"/>
    <w:multiLevelType w:val="hybridMultilevel"/>
    <w:lvl w:ilvl="0">
      <w:lvlJc w:val="left"/>
      <w:lvlText w:val="%1."/>
      <w:numFmt w:val="decimal"/>
      <w:start w:val="21"/>
    </w:lvl>
  </w:abstractNum>
  <w:abstractNum w:abstractNumId="92">
    <w:nsid w:val="6A3DD3E8"/>
    <w:multiLevelType w:val="hybridMultilevel"/>
    <w:lvl w:ilvl="0">
      <w:lvlJc w:val="left"/>
      <w:lvlText w:val="%1."/>
      <w:numFmt w:val="decimal"/>
      <w:start w:val="22"/>
    </w:lvl>
  </w:abstractNum>
  <w:abstractNum w:abstractNumId="93">
    <w:nsid w:val="71C91298"/>
    <w:multiLevelType w:val="hybridMultilevel"/>
    <w:lvl w:ilvl="0">
      <w:lvlJc w:val="left"/>
      <w:lvlText w:val="%1."/>
      <w:numFmt w:val="decimal"/>
      <w:start w:val="23"/>
    </w:lvl>
  </w:abstractNum>
  <w:abstractNum w:abstractNumId="94">
    <w:nsid w:val="9DAF632"/>
    <w:multiLevelType w:val="hybridMultilevel"/>
    <w:lvl w:ilvl="0">
      <w:lvlJc w:val="left"/>
      <w:lvlText w:val="%1."/>
      <w:numFmt w:val="decimal"/>
      <w:start w:val="24"/>
    </w:lvl>
    <w:lvl w:ilvl="1">
      <w:lvlJc w:val="left"/>
      <w:lvlText w:val="(%2)"/>
      <w:numFmt w:val="lowerLetter"/>
      <w:start w:val="1"/>
    </w:lvl>
  </w:abstractNum>
  <w:abstractNum w:abstractNumId="95">
    <w:nsid w:val="53299938"/>
    <w:multiLevelType w:val="hybridMultilevel"/>
    <w:lvl w:ilvl="0">
      <w:lvlJc w:val="left"/>
      <w:lvlText w:val="%1."/>
      <w:numFmt w:val="decimal"/>
      <w:start w:val="25"/>
    </w:lvl>
  </w:abstractNum>
  <w:abstractNum w:abstractNumId="96">
    <w:nsid w:val="1FBFE8E0"/>
    <w:multiLevelType w:val="hybridMultilevel"/>
    <w:lvl w:ilvl="0">
      <w:lvlJc w:val="left"/>
      <w:lvlText w:val="%1."/>
      <w:numFmt w:val="decimal"/>
      <w:start w:val="26"/>
    </w:lvl>
  </w:abstractNum>
  <w:abstractNum w:abstractNumId="97">
    <w:nsid w:val="5092CA79"/>
    <w:multiLevelType w:val="hybridMultilevel"/>
    <w:lvl w:ilvl="0">
      <w:lvlJc w:val="left"/>
      <w:lvlText w:val="%1"/>
      <w:numFmt w:val="lowerRoman"/>
      <w:start w:val="1"/>
    </w:lvl>
    <w:lvl w:ilvl="1">
      <w:lvlJc w:val="left"/>
      <w:lvlText w:val="%2."/>
      <w:numFmt w:val="decimal"/>
      <w:start w:val="1"/>
    </w:lvl>
  </w:abstractNum>
  <w:abstractNum w:abstractNumId="98">
    <w:nsid w:val="1D545C4D"/>
    <w:multiLevelType w:val="hybridMultilevel"/>
    <w:lvl w:ilvl="0">
      <w:lvlJc w:val="left"/>
      <w:lvlText w:val="(%1)"/>
      <w:numFmt w:val="lowerRoman"/>
      <w:start w:val="5"/>
    </w:lvl>
    <w:lvl w:ilvl="1">
      <w:lvlJc w:val="left"/>
      <w:lvlText w:val="%2"/>
      <w:numFmt w:val="decimal"/>
      <w:start w:val="1"/>
    </w:lvl>
  </w:abstractNum>
  <w:abstractNum w:abstractNumId="99">
    <w:nsid w:val="59ADEA3D"/>
    <w:multiLevelType w:val="hybridMultilevel"/>
    <w:lvl w:ilvl="0">
      <w:lvlJc w:val="left"/>
      <w:lvlText w:val="%1."/>
      <w:numFmt w:val="decimal"/>
      <w:start w:val="2"/>
    </w:lvl>
  </w:abstractNum>
  <w:abstractNum w:abstractNumId="100">
    <w:nsid w:val="288F1A34"/>
    <w:multiLevelType w:val="hybridMultilevel"/>
    <w:lvl w:ilvl="0">
      <w:lvlJc w:val="left"/>
      <w:lvlText w:val="•"/>
      <w:numFmt w:val="bullet"/>
      <w:start w:val="1"/>
    </w:lvl>
  </w:abstractNum>
  <w:abstractNum w:abstractNumId="101">
    <w:nsid w:val="2A155DBC"/>
    <w:multiLevelType w:val="hybridMultilevel"/>
    <w:lvl w:ilvl="0">
      <w:lvlJc w:val="left"/>
      <w:lvlText w:val="•"/>
      <w:numFmt w:val="bullet"/>
      <w:start w:val="1"/>
    </w:lvl>
    <w:lvl w:ilvl="1">
      <w:lvlJc w:val="left"/>
      <w:lvlText w:val="\endash "/>
      <w:numFmt w:val="bullet"/>
      <w:start w:val="1"/>
    </w:lvl>
  </w:abstractNum>
  <w:abstractNum w:abstractNumId="102">
    <w:nsid w:val="1D9F6E5F"/>
    <w:multiLevelType w:val="hybridMultilevel"/>
    <w:lvl w:ilvl="0">
      <w:lvlJc w:val="left"/>
      <w:lvlText w:val="•"/>
      <w:numFmt w:val="bullet"/>
      <w:start w:val="1"/>
    </w:lvl>
  </w:abstractNum>
  <w:abstractNum w:abstractNumId="103">
    <w:nsid w:val="97E1B4E"/>
    <w:multiLevelType w:val="hybridMultilevel"/>
    <w:lvl w:ilvl="0">
      <w:lvlJc w:val="left"/>
      <w:lvlText w:val="•"/>
      <w:numFmt w:val="bullet"/>
      <w:start w:val="1"/>
    </w:lvl>
  </w:abstractNum>
  <w:abstractNum w:abstractNumId="104">
    <w:nsid w:val="51088277"/>
    <w:multiLevelType w:val="hybridMultilevel"/>
    <w:lvl w:ilvl="0">
      <w:lvlJc w:val="left"/>
      <w:lvlText w:val="•"/>
      <w:numFmt w:val="bullet"/>
      <w:start w:val="1"/>
    </w:lvl>
  </w:abstractNum>
  <w:abstractNum w:abstractNumId="105">
    <w:nsid w:val="1CA0C5FA"/>
    <w:multiLevelType w:val="hybridMultilevel"/>
    <w:lvl w:ilvl="0">
      <w:lvlJc w:val="left"/>
      <w:lvlText w:val="•"/>
      <w:numFmt w:val="bullet"/>
      <w:start w:val="1"/>
    </w:lvl>
  </w:abstractNum>
  <w:abstractNum w:abstractNumId="106">
    <w:nsid w:val="53584BCB"/>
    <w:multiLevelType w:val="hybridMultilevel"/>
    <w:lvl w:ilvl="0">
      <w:lvlJc w:val="left"/>
      <w:lvlText w:val="•"/>
      <w:numFmt w:val="bullet"/>
      <w:start w:val="1"/>
    </w:lvl>
  </w:abstractNum>
  <w:abstractNum w:abstractNumId="107">
    <w:nsid w:val="415E286C"/>
    <w:multiLevelType w:val="hybridMultilevel"/>
    <w:lvl w:ilvl="0">
      <w:lvlJc w:val="left"/>
      <w:lvlText w:val="•"/>
      <w:numFmt w:val="bullet"/>
      <w:start w:val="1"/>
    </w:lvl>
  </w:abstractNum>
  <w:abstractNum w:abstractNumId="108">
    <w:nsid w:val="7C58FD05"/>
    <w:multiLevelType w:val="hybridMultilevel"/>
    <w:lvl w:ilvl="0">
      <w:lvlJc w:val="left"/>
      <w:lvlText w:val="\endash "/>
      <w:numFmt w:val="bullet"/>
      <w:start w:val="1"/>
    </w:lvl>
  </w:abstractNum>
  <w:abstractNum w:abstractNumId="109">
    <w:nsid w:val="23D86AAC"/>
    <w:multiLevelType w:val="hybridMultilevel"/>
    <w:lvl w:ilvl="0">
      <w:lvlJc w:val="left"/>
      <w:lvlText w:val="•"/>
      <w:numFmt w:val="bullet"/>
      <w:start w:val="1"/>
    </w:lvl>
  </w:abstractNum>
  <w:abstractNum w:abstractNumId="110">
    <w:nsid w:val="45E6D486"/>
    <w:multiLevelType w:val="hybridMultilevel"/>
    <w:lvl w:ilvl="0">
      <w:lvlJc w:val="left"/>
      <w:lvlText w:val="•"/>
      <w:numFmt w:val="bullet"/>
      <w:start w:val="1"/>
    </w:lvl>
  </w:abstractNum>
  <w:abstractNum w:abstractNumId="111">
    <w:nsid w:val="5C10FE21"/>
    <w:multiLevelType w:val="hybridMultilevel"/>
    <w:lvl w:ilvl="0">
      <w:lvlJc w:val="left"/>
      <w:lvlText w:val="•"/>
      <w:numFmt w:val="bullet"/>
      <w:start w:val="1"/>
    </w:lvl>
  </w:abstractNum>
  <w:abstractNum w:abstractNumId="112">
    <w:nsid w:val="E7FFA2B"/>
    <w:multiLevelType w:val="hybridMultilevel"/>
    <w:lvl w:ilvl="0">
      <w:lvlJc w:val="left"/>
      <w:lvlText w:val="•"/>
      <w:numFmt w:val="bullet"/>
      <w:start w:val="1"/>
    </w:lvl>
  </w:abstractNum>
  <w:abstractNum w:abstractNumId="113">
    <w:nsid w:val="3C5991AA"/>
    <w:multiLevelType w:val="hybridMultilevel"/>
    <w:lvl w:ilvl="0">
      <w:lvlJc w:val="left"/>
      <w:lvlText w:val="•"/>
      <w:numFmt w:val="bullet"/>
      <w:start w:val="1"/>
    </w:lvl>
  </w:abstractNum>
  <w:abstractNum w:abstractNumId="114">
    <w:nsid w:val="4BD859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2019-12-10T06:47:00Z</dcterms:created>
  <dcterms:modified xsi:type="dcterms:W3CDTF">2019-12-10T06:47:00Z</dcterms:modified>
</cp:coreProperties>
</file>