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71"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4"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4"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1768475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to be held on August 8, 2024</w:t>
      </w:r>
    </w:p>
    <w:p>
      <w:pPr>
        <w:spacing w:after="0" w:line="188"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Notice is hereby given that the 2024 Annual Meeting of Stockholders of Destination XL Group, Inc. (the “Company”) will be held at the corporate offices of the Company, 555 Turnpike Street, Canton, Massachusetts 02021 at 9:30 A.M., local time, on Thursday, August 8, 2024 for the following purposes:</w:t>
      </w:r>
    </w:p>
    <w:p>
      <w:pPr>
        <w:spacing w:after="0" w:line="31" w:lineRule="exact"/>
        <w:rPr>
          <w:sz w:val="20"/>
          <w:szCs w:val="20"/>
          <w:color w:val="auto"/>
        </w:rPr>
      </w:pPr>
    </w:p>
    <w:p>
      <w:pPr>
        <w:ind w:left="760" w:right="140" w:hanging="378"/>
        <w:spacing w:after="0" w:line="28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serve until the next Annual Meeting of Stockholders and until their respective successors have been duly elected and qualified.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named executive officer compensation.</w:t>
      </w:r>
    </w:p>
    <w:p>
      <w:pPr>
        <w:spacing w:after="0" w:line="116" w:lineRule="exact"/>
        <w:rPr>
          <w:rFonts w:ascii="Times New Roman" w:cs="Times New Roman" w:eastAsia="Times New Roman" w:hAnsi="Times New Roman"/>
          <w:sz w:val="18"/>
          <w:szCs w:val="18"/>
          <w:color w:val="auto"/>
        </w:rPr>
      </w:pPr>
    </w:p>
    <w:p>
      <w:pPr>
        <w:ind w:left="760" w:right="600" w:hanging="378"/>
        <w:spacing w:after="0" w:line="28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amendments to our 2016 Incentive Compensation Plan, including the increase in the total number of shares of common stock authorized for issuance under the plan by 6,150,000 shares.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February 1, 2025.</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proposals are more fully described in the Proxy Statement following this Notice.</w:t>
      </w:r>
    </w:p>
    <w:p>
      <w:pPr>
        <w:spacing w:after="0" w:line="22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Board of Directors recommends that you vote (i) FOR the election of all seven nominees to serve as directors of the Company, (ii) FOR the approval, on an advisory basis, of named executive officer compensation, (iii) FOR the approval of amendments to our 2016 Incentive Compensation Plan, including the increase in the total number of shares authorized for issuance under the plan and (iv) FOR the ratification of the appointment of KPMG LLP as our independent registered public accounting firm for the fiscal year ending February 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Along with the attached Proxy Statement, we are sending you a copy of our Annual Report on Form 10-K for the fiscal year ended February 3, 2024.</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June 12, 2024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12, 2024 will be available for inspection by any of our stockholders for any purpose germane to the Annual Meeting during normal business hours at our principal executive offices, 555 Turnpike Street, Canton, Massachusetts 02021, beginning on July 24, 2024 and at the Annual Meeting.</w:t>
      </w:r>
    </w:p>
    <w:p>
      <w:pPr>
        <w:spacing w:after="0" w:line="182"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200" w:lineRule="exact"/>
        <w:rPr>
          <w:sz w:val="20"/>
          <w:szCs w:val="20"/>
          <w:color w:val="auto"/>
        </w:rPr>
      </w:pPr>
    </w:p>
    <w:p>
      <w:pPr>
        <w:spacing w:after="0" w:line="3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ROBERT S. MOLLOY</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Secretary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Massachusetts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2024</w:t>
      </w:r>
    </w:p>
    <w:p>
      <w:pPr>
        <w:spacing w:after="0" w:line="15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August 8, 2024: The Proxy Statement and 2024 Annual Report to Stockholders are available at: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TABLE OF CONTENTS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4"/>
                <w:szCs w:val="24"/>
                <w:color w:val="auto"/>
              </w:rPr>
            </w:pPr>
          </w:p>
        </w:tc>
      </w:tr>
      <w:tr>
        <w:trPr>
          <w:trHeight w:val="182"/>
        </w:trPr>
        <w:tc>
          <w:tcPr>
            <w:tcW w:w="100" w:type="dxa"/>
            <w:vAlign w:val="bottom"/>
          </w:tcPr>
          <w:p>
            <w:pPr>
              <w:spacing w:after="0"/>
              <w:rPr>
                <w:sz w:val="15"/>
                <w:szCs w:val="15"/>
                <w:color w:val="auto"/>
              </w:rPr>
            </w:pPr>
          </w:p>
        </w:tc>
        <w:tc>
          <w:tcPr>
            <w:tcW w:w="107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Information About the Annual Meeting and Voting</w:t>
            </w:r>
          </w:p>
        </w:tc>
        <w:tc>
          <w:tcPr>
            <w:tcW w:w="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Compensation Committee Report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2023 Grants of Plan-Based Awards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2023 Outstanding Equity Awards at Fiscal Year End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2023 Option Exercises and Stock Vested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2: Advisory Vote to Approve Named Executive Officer 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3: Approval of Amendments to the 2016 Incentive Compensation Plan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4: Ratification of Appointment of Independent Registered Public Accounting Firm</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66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4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Management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8"/>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Solicitation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Delivery of Documents to Stockholders Sharing an Address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520" w:type="dxa"/>
            <w:vAlign w:val="bottom"/>
            <w:tcBorders>
              <w:left w:val="single" w:sz="8" w:color="0000FF"/>
            </w:tcBorders>
            <w:gridSpan w:val="1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Stockholder Proposals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160" w:type="dxa"/>
            <w:vAlign w:val="bottom"/>
            <w:gridSpan w:val="13"/>
            <w:shd w:val="clear" w:color="auto" w:fill="0000FF"/>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72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00" w:type="dxa"/>
            <w:vAlign w:val="bottom"/>
          </w:tcPr>
          <w:p>
            <w:pPr>
              <w:spacing w:after="0"/>
              <w:rPr>
                <w:sz w:val="22"/>
                <w:szCs w:val="22"/>
                <w:color w:val="auto"/>
              </w:rPr>
            </w:pPr>
          </w:p>
        </w:tc>
        <w:tc>
          <w:tcPr>
            <w:tcW w:w="10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Appendix A - 2016 Incentive Compensation Plan, as proposed to be amended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60" w:type="dxa"/>
            <w:vAlign w:val="bottom"/>
          </w:tcPr>
          <w:p>
            <w:pPr>
              <w:spacing w:after="0"/>
              <w:rPr>
                <w:sz w:val="22"/>
                <w:szCs w:val="22"/>
                <w:color w:val="auto"/>
              </w:rPr>
            </w:pPr>
          </w:p>
        </w:tc>
      </w:tr>
      <w:tr>
        <w:trPr>
          <w:trHeight w:val="1638"/>
        </w:trPr>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(781) 828-9300</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August 8, 2024</w:t>
      </w:r>
    </w:p>
    <w:p>
      <w:pPr>
        <w:spacing w:after="0" w:line="20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and Distribution of Proxy Materials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Proxy Statement and the enclosed form of proxy are being mailed to our stockholders on or about June 28, 2024,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9:30 A.M., local time, on Thursday, August 8, 2024 and at any and all adjournments thereof (the “Annual Meeting”). This Proxy Statement describes the matters to be voted on at the Annual Meeting and contains other required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Entitled to Vote</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Only holders of record of our common stock, par value $0.01 per share, at the close of business on June 12, 2024, the record date for the Annual Meeting, will be entitled to notice of, and to vote at, the Annual Meeting. On that date, there were 58,235,323 shares of common stock issued and outstanding. Each share is entitled to one vote at the Annual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Vote</w:t>
      </w:r>
    </w:p>
    <w:p>
      <w:pPr>
        <w:spacing w:after="0" w:line="121"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Instructions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 proxy is returned properly executed, the shares represented will be voted in accordance with the stockholder’s instructions.</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Stockholders are encouraged to vote on the matters to be considered. If no instructions have been specified by a stockholder, however, the shares covered by an executed proxy will be voted (i) FOR the election of all seven nominees to serve as directors of the Company, (ii) FOR the approval, on an advisory basis, of named executive officer compensation, (iii) FOR the amendments to the 2016 Incentive Compensation Plan, (iv) FOR the ratification of the appointment of KPMG LLP as our independent registered public accounting firm, for the fiscal year ending February 1, 2025 and (v) in the discretion of the proxies named in the proxy card with respect to any other matters properly brought before the Annual Meeting. We are not aware of any other matter that may be properly presented at the Annual Meeting.</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4 to ratify the appointment of our independent registered public accounting firm,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if you are not the record holder of your shares, it is critical that you provide instructions to your broker or bank if you want your vote to count.</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Revoking Your Proxy or Changing Your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at any time before it has been exercised as follows:</w:t>
      </w:r>
    </w:p>
    <w:p>
      <w:pPr>
        <w:spacing w:after="0" w:line="11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and voting in person; or</w:t>
      </w:r>
    </w:p>
    <w:p>
      <w:pPr>
        <w:spacing w:after="0" w:line="116"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6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a Proposal</w:t>
      </w:r>
    </w:p>
    <w:p>
      <w:pPr>
        <w:spacing w:after="0" w:line="12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 majority of the votes properly cast “FOR” a matter is required for all proposals. In addition, as described in more detail in Proposal 2 below, Proposal 2 is an advisory vote and is non-binding.</w:t>
      </w:r>
    </w:p>
    <w:p>
      <w:pPr>
        <w:spacing w:after="0" w:line="163"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7"/>
          <w:szCs w:val="17"/>
          <w:color w:val="auto"/>
        </w:rPr>
        <w:t>Votes cast means the votes actually cast “FOR” or “AGAINST” a particular proposal, whether in person or by proxy. With respect to all matters presented at the Annual Meeting, abstentions and non-votes will not be deemed to be votes “cast” with respect to such matters and will not count as votes “FOR” or “AGAINST” such matter. Votes will be tabulated by our transfer agent subject to the supervision of the person designated by the Board as an inspector.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in accordance with our Fourth Amended and Restated By-Laws (the “By-Laws”), has set the number of members at seven directors.</w:t>
      </w:r>
    </w:p>
    <w:p>
      <w:pPr>
        <w:spacing w:after="0" w:line="22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At the Annual Meeting, seven nominees will be elected to serve on the Board until the 2025 Annual Meeting of Stockholders and until their respective successors have been duly elected and qualified. Accordingly, the Nominating and Corporate Governance Committee has recommended, and our Board has nominated, Harvey S. Kanter, Carmen R. Bauza, Jack Boyle, Lionel F. Conacher, Willem Mesdag, Ivy Ross and Elaine K. Rubin as nominees, all of whom currently serve as members of our Board.</w:t>
      </w:r>
    </w:p>
    <w:p>
      <w:pPr>
        <w:spacing w:after="0" w:line="18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Unless a proxy shall specify that it is not to be voted for a nominee, it is intended that the shares represented by each duly executed and returned proxy will be voted in favor of the election as directors of Harvey S. Kanter, Carmen R. Bauza, Jack Boyle, Lionel F. Conacher, Willem Mesdag, Ivy Ross and Elaine K. Rubin. Although management expects all nominees to serve if elected, proxies will be voted for a substitute if a nominee is unable to accept nomination or election. Cumulative voting is not permitted.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election of each of the nominees.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election of the seven individuals named above as directors of our Company.</w:t>
      </w:r>
    </w:p>
    <w:p>
      <w:pPr>
        <w:spacing w:after="0" w:line="20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names, ages as of June 28, 2024, and certain other information for each of our current directors, all terms expiring at the Annual Meeting.</w:t>
      </w:r>
    </w:p>
    <w:tbl>
      <w:tblPr>
        <w:tblLayout w:type="fixed"/>
        <w:tblInd w:w="0" w:type="dxa"/>
        <w:tblCellMar>
          <w:top w:w="0" w:type="dxa"/>
          <w:left w:w="0" w:type="dxa"/>
          <w:bottom w:w="0" w:type="dxa"/>
          <w:right w:w="0" w:type="dxa"/>
        </w:tblCellMar>
      </w:tblPr>
      <w:tr>
        <w:trPr>
          <w:trHeight w:val="146"/>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rPr>
              <w:t>Nominating and</w:t>
            </w:r>
          </w:p>
        </w:tc>
        <w:tc>
          <w:tcPr>
            <w:tcW w:w="10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rPr>
              <w:t>Cybersecurity</w:t>
            </w:r>
          </w:p>
        </w:tc>
      </w:tr>
      <w:tr>
        <w:trPr>
          <w:trHeight w:val="148"/>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Director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2"/>
                <w:szCs w:val="12"/>
                <w:color w:val="auto"/>
              </w:rPr>
            </w:pPr>
          </w:p>
        </w:tc>
        <w:tc>
          <w:tcPr>
            <w:tcW w:w="1060" w:type="dxa"/>
            <w:vAlign w:val="bottom"/>
          </w:tcPr>
          <w:p>
            <w:pPr>
              <w:ind w:left="440"/>
              <w:spacing w:after="0" w:line="149" w:lineRule="exact"/>
              <w:rPr>
                <w:sz w:val="20"/>
                <w:szCs w:val="20"/>
                <w:color w:val="auto"/>
              </w:rPr>
            </w:pPr>
            <w:r>
              <w:rPr>
                <w:rFonts w:ascii="Times New Roman" w:cs="Times New Roman" w:eastAsia="Times New Roman" w:hAnsi="Times New Roman"/>
                <w:sz w:val="13"/>
                <w:szCs w:val="13"/>
                <w:b w:val="1"/>
                <w:bCs w:val="1"/>
                <w:color w:val="auto"/>
              </w:rPr>
              <w:t>and</w:t>
            </w:r>
          </w:p>
        </w:tc>
      </w:tr>
      <w:tr>
        <w:trPr>
          <w:trHeight w:val="178"/>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Age</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Governance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Data Privacy</w:t>
            </w: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Lionel F. Conacher, Chairman of the Board and Director</w:t>
            </w:r>
          </w:p>
        </w:tc>
        <w:tc>
          <w:tcPr>
            <w:tcW w:w="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1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Harvey S. Kanter, President and Chief Executive Officer and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Carmen R. Bauza, Director</w:t>
            </w:r>
          </w:p>
        </w:tc>
        <w:tc>
          <w:tcPr>
            <w:tcW w:w="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 Boyle, Director</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Willem Mesdag, Director</w:t>
            </w:r>
          </w:p>
        </w:tc>
        <w:tc>
          <w:tcPr>
            <w:tcW w:w="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Ivy Ross, Director</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Elaine K. Rubin, Director</w:t>
            </w:r>
          </w:p>
        </w:tc>
        <w:tc>
          <w:tcPr>
            <w:tcW w:w="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Board Nominees</w:t>
      </w:r>
    </w:p>
    <w:p>
      <w:pPr>
        <w:spacing w:after="0" w:line="117" w:lineRule="exact"/>
        <w:rPr>
          <w:sz w:val="20"/>
          <w:szCs w:val="20"/>
          <w:color w:val="auto"/>
        </w:rPr>
      </w:pPr>
    </w:p>
    <w:p>
      <w:pPr>
        <w:ind w:right="540"/>
        <w:spacing w:after="0" w:line="265"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Lionel F. Conacher </w:t>
      </w:r>
      <w:r>
        <w:rPr>
          <w:rFonts w:ascii="Times New Roman" w:cs="Times New Roman" w:eastAsia="Times New Roman" w:hAnsi="Times New Roman"/>
          <w:sz w:val="18"/>
          <w:szCs w:val="18"/>
          <w:color w:val="auto"/>
        </w:rPr>
        <w:t>has been a director since June 2018 and became Chairman of the Board on August 12, 2020. Since September 2021, Mr. Conacher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the board of directors for Better Choice Company Inc., a publicly traded company and served as a member of its audit committee from November 2021 until September 2022. From September 2022 until May 2023, he served as its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Harvey S. Kanter </w:t>
      </w:r>
      <w:r>
        <w:rPr>
          <w:rFonts w:ascii="Times New Roman" w:cs="Times New Roman" w:eastAsia="Times New Roman" w:hAnsi="Times New Roman"/>
          <w:sz w:val="18"/>
          <w:szCs w:val="18"/>
          <w:color w:val="auto"/>
        </w:rPr>
        <w:t>is the President, Chief Executive Officer and a director of the Company. Mr. Kanter joined the Company in February 2019 in a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as Advisor to the Acting CEO and assumed the role of President and Chief Executive Officer and a director of the Company in April 2019. Mr. Kanter served as a non-executive co-chair, Seattle University Center for Leadership Formation, Albers School of Business and Economics from February 2021 until February 2024. Mr. Kanter served as a director and a member of the compensation committee of Potbelly Corporation, a publicly traded company, from August 2015 until May 2019. Mr. Kanter has over 35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 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Mr. Kanter brings an extensive knowledge of integrated-commerce retailing, with strong strategic and operational expertise.</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Carmen R. Bauza </w:t>
      </w:r>
      <w:r>
        <w:rPr>
          <w:rFonts w:ascii="Times New Roman" w:cs="Times New Roman" w:eastAsia="Times New Roman" w:hAnsi="Times New Roman"/>
          <w:sz w:val="18"/>
          <w:szCs w:val="18"/>
          <w:color w:val="auto"/>
        </w:rPr>
        <w:t>was appointed a director of the Company in December 2021. In March 2023, Ms. Bauza joined the board of directors of OneWater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Marine Inc., a publicly traded company, and serves as a member of its audit and compensation committees. Since May 2022, Ms. Bauza has also served on the board of directors of Zumiez, Inc., a publicly traded company, and serves as a member of its audit and governance and nominating committees. Ms. Bauza serves as a member of the board of managers of Claire’s Holdings LLC, which she joined in October 2018. Most recently, Ms. Bauza was the chief merchandising officer at Fanatics, Inc. from January 2019 until April 2021. Prior to that, she was the chief merchandising officer at HSN from November 2016 until December 2017 and the senior vice president, general merchandise manager consumables, health and wellness at Walmart from June 2007 to October 2016. She previously held roles at Bath &amp; Body Works, Five Below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Boyle </w:t>
      </w:r>
      <w:r>
        <w:rPr>
          <w:rFonts w:ascii="Times New Roman" w:cs="Times New Roman" w:eastAsia="Times New Roman" w:hAnsi="Times New Roman"/>
          <w:sz w:val="18"/>
          <w:szCs w:val="18"/>
          <w:color w:val="auto"/>
        </w:rPr>
        <w:t>has been a director since August 2017. Since February 2024, Mr. Boyle has been the president, buying and North America for Fanatics,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leader for officially licensed sports merchandise. From February 2019 to January 2024, Mr. Boyle was the global co-president of direct to consumer/omni-channel for Fanatics, Inc. Mr. Boyle originally joined Fanatics as president of merchandising in June 2012, and from December 2017 to February 2019, served as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Willem Mesdag </w:t>
      </w:r>
      <w:r>
        <w:rPr>
          <w:rFonts w:ascii="Times New Roman" w:cs="Times New Roman" w:eastAsia="Times New Roman" w:hAnsi="Times New Roman"/>
          <w:sz w:val="18"/>
          <w:szCs w:val="18"/>
          <w:color w:val="auto"/>
        </w:rPr>
        <w:t>has been a director since January 2014. Mr. Mesdag is the managing partner of Red Mountain Capital Partners LLC, an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He also currently serves on the board of Heidrick &amp; Struggles International, Inc., a publicly traded company, for which he chairs the audit and finance committee and serves on the human resources and compensation committee. He previously served on the boards of 3i Group plc, Cost Plus, Inc., Encore Capital Group, Inc., Nature’s Sunshine Products, Inc., Skandia AB and Yuma Energy, Inc., all of which are or were publicly traded companies. Having had an extensive career in international investment banking and finance and having served on domestic and international public company boards, Mr. Mesdag brings to the Board significant knowledge and experience related to business and financial issues and corporate governance as well as an investor's perspective.</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Ivy Ross </w:t>
      </w:r>
      <w:r>
        <w:rPr>
          <w:rFonts w:ascii="Times New Roman" w:cs="Times New Roman" w:eastAsia="Times New Roman" w:hAnsi="Times New Roman"/>
          <w:sz w:val="18"/>
          <w:szCs w:val="18"/>
          <w:color w:val="auto"/>
        </w:rPr>
        <w:t>has been a director since January 2013. In May 2014, Ms. Ross joined Google as head of glass and is currently a vice president of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at Google. From July 2011 until April 2014, Ms. Ross was the chief marketing officer of Art.com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7" w:name="page8"/>
    <w:bookmarkEnd w:id="7"/>
    <w:p>
      <w:pPr>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Elaine K. Rubin </w:t>
      </w:r>
      <w:r>
        <w:rPr>
          <w:rFonts w:ascii="Times New Roman" w:cs="Times New Roman" w:eastAsia="Times New Roman" w:hAnsi="Times New Roman"/>
          <w:sz w:val="17"/>
          <w:szCs w:val="17"/>
          <w:color w:val="auto"/>
        </w:rPr>
        <w:t>has been a director since April 2021. Since January 2010, Ms. Rubin has been the founder and president of Digital Prophets Network,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LLC, a consulting, advisory and placement firm with a network of digital commerce experts that supports the 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of which were formerly publicly traded companies. Ms. Rubin co-founded shop.org in February 1996 and served as its elected chair of the board of directors from February 1996 to October 2007 and served on the board of the National Retail Federation (NRF) from 2001 until 2010. Ms. Rubin brings extensive knowledge and experience of digital commerce business and provides valuable insights to the Board as we continue to grow our direct business.</w:t>
      </w:r>
    </w:p>
    <w:p>
      <w:pPr>
        <w:spacing w:after="0" w:line="17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8"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currently comprised of seven members and there are no vacancies.</w:t>
      </w:r>
    </w:p>
    <w:p>
      <w:pPr>
        <w:spacing w:after="0" w:line="22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Our Board met eight times during our fiscal year ended February 3, 2024 (“fiscal 2023”). All directors attended at least 75% of the Board meetings and meetings of the committees of the Board on which each director served. We believe that it is important for the members of the Board to attend our annual stockholder meetings. All members of the Board attended our 2023 Annual Meeting of Stockholders.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recognize the value of diversity at the Board level and believe that our Board currently comprises an appropriate mix of background, diversity and expertise. Although we do not have a formal separate written policy, our Nominating and Corporate Governance Committee is required under its charter to recommend nominees that ensure sufficient diversity of backgrounds on our Board.</w:t>
      </w:r>
    </w:p>
    <w:p>
      <w:pPr>
        <w:spacing w:after="0" w:line="17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Board Diversity Matrix below presents the composition of our Board by gender identity and demographic background in accordance with Rule 5606(f) of The Nasdaq Stock Market (“Nasdaq”).</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June 12,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120" w:type="dxa"/>
            <w:vAlign w:val="bottom"/>
          </w:tcPr>
          <w:p>
            <w:pPr>
              <w:spacing w:after="0"/>
              <w:rPr>
                <w:sz w:val="15"/>
                <w:szCs w:val="15"/>
                <w:color w:val="auto"/>
              </w:rPr>
            </w:pPr>
          </w:p>
        </w:tc>
        <w:tc>
          <w:tcPr>
            <w:tcW w:w="1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Male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Non-Binary</w:t>
            </w: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Did Not Disclose Gender</w:t>
            </w:r>
          </w:p>
        </w:tc>
      </w:tr>
      <w:tr>
        <w:trPr>
          <w:trHeight w:val="236"/>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number of directors: 7</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 Gender Identity</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15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88"/>
              </w:rPr>
              <w:t>3</w:t>
            </w:r>
          </w:p>
        </w:tc>
        <w:tc>
          <w:tcPr>
            <w:tcW w:w="18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6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 Demographic Background</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1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Hispanic or Latinx</w:t>
            </w:r>
          </w:p>
        </w:tc>
        <w:tc>
          <w:tcPr>
            <w:tcW w:w="15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1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White</w:t>
            </w:r>
          </w:p>
        </w:tc>
        <w:tc>
          <w:tcPr>
            <w:tcW w:w="15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88"/>
              </w:rPr>
              <w:t>2</w:t>
            </w:r>
          </w:p>
        </w:tc>
        <w:tc>
          <w:tcPr>
            <w:tcW w:w="18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6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LGBTQ+</w:t>
            </w:r>
          </w:p>
        </w:tc>
        <w:tc>
          <w:tcPr>
            <w:tcW w:w="1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We comply with the corporate governance requirements imposed by the Sarbanes-Oxley Act of 2002, the SEC and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65" w:lineRule="exact"/>
        <w:rPr>
          <w:sz w:val="20"/>
          <w:szCs w:val="20"/>
          <w:color w:val="auto"/>
        </w:rPr>
      </w:pPr>
    </w:p>
    <w:p>
      <w:pPr>
        <w:ind w:left="760" w:right="56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Election of Directors. </w:t>
      </w:r>
      <w:r>
        <w:rPr>
          <w:rFonts w:ascii="Times New Roman" w:cs="Times New Roman" w:eastAsia="Times New Roman" w:hAnsi="Times New Roman"/>
          <w:sz w:val="18"/>
          <w:szCs w:val="18"/>
          <w:color w:val="auto"/>
        </w:rPr>
        <w:t>Our directors are elected annually for a term of office to expire at the next Annual Meeting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and qualification of their successors).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Size</w:t>
      </w:r>
      <w:r>
        <w:rPr>
          <w:rFonts w:ascii="Times New Roman" w:cs="Times New Roman" w:eastAsia="Times New Roman" w:hAnsi="Times New Roman"/>
          <w:sz w:val="18"/>
          <w:szCs w:val="18"/>
          <w:color w:val="auto"/>
        </w:rPr>
        <w:t>. The size of the Board is seven members.</w:t>
      </w:r>
    </w:p>
    <w:p>
      <w:pPr>
        <w:spacing w:after="0" w:line="116" w:lineRule="exact"/>
        <w:rPr>
          <w:rFonts w:ascii="Times New Roman" w:cs="Times New Roman" w:eastAsia="Times New Roman" w:hAnsi="Times New Roman"/>
          <w:sz w:val="18"/>
          <w:szCs w:val="18"/>
          <w:color w:val="auto"/>
        </w:rPr>
      </w:pPr>
    </w:p>
    <w:p>
      <w:pPr>
        <w:ind w:left="760" w:right="2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Majority Vote for Uncontested Director Elections. </w:t>
      </w:r>
      <w:r>
        <w:rPr>
          <w:rFonts w:ascii="Times New Roman" w:cs="Times New Roman" w:eastAsia="Times New Roman" w:hAnsi="Times New Roman"/>
          <w:sz w:val="18"/>
          <w:szCs w:val="18"/>
          <w:color w:val="auto"/>
        </w:rPr>
        <w:t>Under our By-Laws, in an uncontested election, a majority of the votes properly cast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69"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Board and Committees. </w:t>
      </w:r>
      <w:r>
        <w:rPr>
          <w:rFonts w:ascii="Times New Roman" w:cs="Times New Roman" w:eastAsia="Times New Roman" w:hAnsi="Times New Roman"/>
          <w:sz w:val="18"/>
          <w:szCs w:val="18"/>
          <w:color w:val="auto"/>
        </w:rPr>
        <w:t>The majority of our Board is comprised of independent directors. All members of our Board’s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Nominating and Corporate Governance committees are independent directors, and none receives compensation from us other than for service on our Board or its committees.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ind w:left="760" w:right="10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Chairperson/Independent Lead Director. </w:t>
      </w:r>
      <w:r>
        <w:rPr>
          <w:rFonts w:ascii="Times New Roman" w:cs="Times New Roman" w:eastAsia="Times New Roman" w:hAnsi="Times New Roman"/>
          <w:sz w:val="18"/>
          <w:szCs w:val="18"/>
          <w:color w:val="auto"/>
        </w:rPr>
        <w:t>We have had an independent Non-Executive Chairman of the Board since January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Our Corporate Governance Guidelines provide that, if the Chairman is not independent, the Board will appoint an independent Lead Director.</w:t>
      </w:r>
    </w:p>
    <w:p>
      <w:pPr>
        <w:spacing w:after="0" w:line="61" w:lineRule="exact"/>
        <w:rPr>
          <w:rFonts w:ascii="Times New Roman" w:cs="Times New Roman" w:eastAsia="Times New Roman" w:hAnsi="Times New Roman"/>
          <w:sz w:val="18"/>
          <w:szCs w:val="18"/>
          <w:color w:val="auto"/>
        </w:rPr>
      </w:pPr>
    </w:p>
    <w:p>
      <w:pPr>
        <w:ind w:left="760" w:right="8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Executive Sessions. </w:t>
      </w:r>
      <w:r>
        <w:rPr>
          <w:rFonts w:ascii="Times New Roman" w:cs="Times New Roman" w:eastAsia="Times New Roman" w:hAnsi="Times New Roman"/>
          <w:sz w:val="18"/>
          <w:szCs w:val="18"/>
          <w:color w:val="auto"/>
        </w:rPr>
        <w:t>Our Board holds independent executive sessions on at least a semi-annual basis, where independent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w:t>
      </w:r>
    </w:p>
    <w:p>
      <w:pPr>
        <w:spacing w:after="0" w:line="46" w:lineRule="exact"/>
        <w:rPr>
          <w:rFonts w:ascii="Times New Roman" w:cs="Times New Roman" w:eastAsia="Times New Roman" w:hAnsi="Times New Roman"/>
          <w:sz w:val="18"/>
          <w:szCs w:val="18"/>
          <w:color w:val="auto"/>
        </w:rPr>
      </w:pPr>
    </w:p>
    <w:p>
      <w:pPr>
        <w:ind w:left="760" w:right="80" w:hanging="378"/>
        <w:spacing w:after="0" w:line="257"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Our Non-Employee Director Compensation Plan requires that each director receive 60% of his or her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retainer in shares of common stock until the value of his or her equity ownership is equal to at least three times the annual retainer. A director may not sell any required equity received under the plan while each director is still serving on the Board without the approval of the Board. We encourage our senior management to have meaningful ownership in our Company and through our long-term incentive program provide our senior management team an opportunity to acquire such stock ownership. However, we do not currently have any stock ownership guidelines in place for members of senior management.</w:t>
      </w:r>
    </w:p>
    <w:p>
      <w:pPr>
        <w:spacing w:after="0" w:line="72" w:lineRule="exact"/>
        <w:rPr>
          <w:rFonts w:ascii="Times New Roman" w:cs="Times New Roman" w:eastAsia="Times New Roman" w:hAnsi="Times New Roman"/>
          <w:sz w:val="18"/>
          <w:szCs w:val="18"/>
          <w:color w:val="auto"/>
        </w:rPr>
      </w:pPr>
    </w:p>
    <w:p>
      <w:pPr>
        <w:ind w:left="760" w:right="44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Hedging and No Pledging of Company Securities. </w:t>
      </w:r>
      <w:r>
        <w:rPr>
          <w:rFonts w:ascii="Times New Roman" w:cs="Times New Roman" w:eastAsia="Times New Roman" w:hAnsi="Times New Roman"/>
          <w:sz w:val="18"/>
          <w:szCs w:val="18"/>
          <w:color w:val="auto"/>
        </w:rPr>
        <w:t>Our Insider Trading Policy prohibits our directors, officers and employees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engaging in various hedging and pledging activities with Company securities, including short sales and any transaction involving a publicly traded option, such as a put, call or other derivative security.</w:t>
      </w:r>
    </w:p>
    <w:p>
      <w:pPr>
        <w:spacing w:after="0" w:line="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Stockholder Rights Plan. </w:t>
      </w:r>
      <w:r>
        <w:rPr>
          <w:rFonts w:ascii="Times New Roman" w:cs="Times New Roman" w:eastAsia="Times New Roman" w:hAnsi="Times New Roman"/>
          <w:sz w:val="18"/>
          <w:szCs w:val="18"/>
          <w:color w:val="auto"/>
        </w:rPr>
        <w:t>We do not currently have a stockholder rights plan in effect and are not currently considering adopting one.</w:t>
      </w:r>
    </w:p>
    <w:p>
      <w:pPr>
        <w:spacing w:after="0" w:line="116" w:lineRule="exact"/>
        <w:rPr>
          <w:rFonts w:ascii="Times New Roman" w:cs="Times New Roman" w:eastAsia="Times New Roman" w:hAnsi="Times New Roman"/>
          <w:sz w:val="18"/>
          <w:szCs w:val="18"/>
          <w:color w:val="auto"/>
        </w:rPr>
      </w:pPr>
    </w:p>
    <w:p>
      <w:pPr>
        <w:ind w:left="760" w:right="8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Required for Merger or Business Combination</w:t>
      </w:r>
      <w:r>
        <w:rPr>
          <w:rFonts w:ascii="Times New Roman" w:cs="Times New Roman" w:eastAsia="Times New Roman" w:hAnsi="Times New Roman"/>
          <w:sz w:val="18"/>
          <w:szCs w:val="18"/>
          <w:color w:val="auto"/>
        </w:rPr>
        <w:t>. A majority vote of the outstanding shares entitled to vote is needed for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approve a merger or business combination.</w:t>
      </w:r>
    </w:p>
    <w:p>
      <w:pPr>
        <w:spacing w:after="0" w:line="46" w:lineRule="exact"/>
        <w:rPr>
          <w:rFonts w:ascii="Times New Roman" w:cs="Times New Roman" w:eastAsia="Times New Roman" w:hAnsi="Times New Roman"/>
          <w:sz w:val="18"/>
          <w:szCs w:val="18"/>
          <w:color w:val="auto"/>
        </w:rPr>
      </w:pPr>
    </w:p>
    <w:p>
      <w:pPr>
        <w:ind w:left="760" w:hanging="378"/>
        <w:spacing w:after="0" w:line="259"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Clawback Policies. </w:t>
      </w:r>
      <w:r>
        <w:rPr>
          <w:rFonts w:ascii="Times New Roman" w:cs="Times New Roman" w:eastAsia="Times New Roman" w:hAnsi="Times New Roman"/>
          <w:sz w:val="18"/>
          <w:szCs w:val="18"/>
          <w:color w:val="212121"/>
        </w:rPr>
        <w:t>The Board adopted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12121"/>
        </w:rPr>
        <w:t>policy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12121"/>
        </w:rPr>
        <w:t>Policy”) that complies with the final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mandated by the Dodd-Frank Wall Street Reform and Consumer Protection Act of 2010 and Nasdaq listing requirements. The Executive Clawback Policy provides for repayment of incentive-based compensation in the event of an accounting restatement resulting from noncompliance with financial reporting requirements under federal securities laws. The Executive Clawback Policy is in addition to the clawback provisions in our employment agreements with members of our senior management and in our long-term incentive plans.</w:t>
      </w:r>
    </w:p>
    <w:p>
      <w:pPr>
        <w:spacing w:after="0" w:line="69" w:lineRule="exact"/>
        <w:rPr>
          <w:rFonts w:ascii="Times New Roman" w:cs="Times New Roman" w:eastAsia="Times New Roman" w:hAnsi="Times New Roman"/>
          <w:sz w:val="18"/>
          <w:szCs w:val="18"/>
          <w:color w:val="auto"/>
        </w:rPr>
      </w:pPr>
    </w:p>
    <w:p>
      <w:pPr>
        <w:ind w:left="760" w:right="54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Overboarding Policy. </w:t>
      </w:r>
      <w:r>
        <w:rPr>
          <w:rFonts w:ascii="Times New Roman" w:cs="Times New Roman" w:eastAsia="Times New Roman" w:hAnsi="Times New Roman"/>
          <w:sz w:val="18"/>
          <w:szCs w:val="18"/>
          <w:color w:val="auto"/>
        </w:rPr>
        <w:t>No director can serve on more than five public company boards. In addition, no director who is a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can serve on more than one public company board besides that of our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2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Members of our Board and senior management regularly engage with our stockholders throughout the year and welcome their feedback on our practices and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 majority of the members of the Board are “independent” under the rules of Nasdaq. The Board has determined that the following current directors are independent: Mses. Bauza, Ross and Rubin and Messrs. Boyle, Conacher and Mesdag.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Our Board has four standing committees: the Nominating and Corporate Governance Committee, the Audit Committee, the Compensation Committee and the Cybersecurity and Data Privacy Committee. Each committee is comprised of directors who are “independent.”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also has responsibility for overseeing the Company’s policies, practices and disclosures with respect to sustainability and environmental, social and governance (ESG) factors, including overseeing the assessment of climate risks. The Nominating Committee has the authority to retain independent advisors, with all fees and expenses to be paid by the Company. The current members of the Nominating Committee are Mr. Boyle and Mses. Bauza and Rubin, each of whom is “independent” under the rules of Nasdaq. The Nominating Committee met five times during fiscal 2023.</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 w:name="page11"/>
    <w:bookmarkEnd w:id="10"/>
    <w:p>
      <w:pPr>
        <w:ind w:right="20"/>
        <w:spacing w:after="0" w:line="258" w:lineRule="auto"/>
        <w:rPr>
          <w:sz w:val="20"/>
          <w:szCs w:val="20"/>
          <w:color w:val="auto"/>
        </w:rPr>
      </w:pPr>
      <w:r>
        <w:rPr>
          <w:rFonts w:ascii="Times New Roman" w:cs="Times New Roman" w:eastAsia="Times New Roman" w:hAnsi="Times New Roman"/>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82"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55"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reputation for integrity, honesty and adherence to high ethical standards.</w:t>
      </w:r>
    </w:p>
    <w:p>
      <w:pPr>
        <w:spacing w:after="0" w:line="116"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54"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commitment to understand our Company and our industry and to regularly attend and participate in meetings of the Board and its committees.</w:t>
      </w:r>
    </w:p>
    <w:p>
      <w:pPr>
        <w:spacing w:after="0" w:line="54" w:lineRule="exact"/>
        <w:rPr>
          <w:rFonts w:ascii="Times New Roman" w:cs="Times New Roman" w:eastAsia="Times New Roman" w:hAnsi="Times New Roman"/>
          <w:sz w:val="18"/>
          <w:szCs w:val="18"/>
          <w:color w:val="auto"/>
        </w:rPr>
      </w:pPr>
    </w:p>
    <w:p>
      <w:pPr>
        <w:ind w:left="760" w:right="220" w:hanging="378"/>
        <w:spacing w:after="0" w:line="26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69" w:lineRule="exact"/>
        <w:rPr>
          <w:rFonts w:ascii="Times New Roman" w:cs="Times New Roman" w:eastAsia="Times New Roman" w:hAnsi="Times New Roman"/>
          <w:sz w:val="18"/>
          <w:szCs w:val="18"/>
          <w:color w:val="auto"/>
        </w:rPr>
      </w:pPr>
    </w:p>
    <w:p>
      <w:pPr>
        <w:ind w:left="760" w:right="120" w:hanging="378"/>
        <w:spacing w:after="0" w:line="28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6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current procedures to be followed by stockholders in submitting recommendations for director candidates can be found in Section 4.15 of our By-Laws.</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The Audit Committee is currently comprised of Messrs. Conacher and Mesdag and Ms. Ross. Each of the members of the Audit Committee is independent, as independence for Audit Committee members is defined under the rules of Nasdaq. Messrs. Conacher and Mesdag each qualifies as an audit committee financial expert under the rules of the SEC.</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https://investor.dxl.com.</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1" w:name="page12"/>
    <w:bookmarkEnd w:id="11"/>
    <w:p>
      <w:pPr>
        <w:ind w:right="100"/>
        <w:spacing w:after="0" w:line="254" w:lineRule="auto"/>
        <w:rPr>
          <w:sz w:val="20"/>
          <w:szCs w:val="20"/>
          <w:color w:val="auto"/>
        </w:rPr>
      </w:pPr>
      <w:r>
        <w:rPr>
          <w:rFonts w:ascii="Times New Roman" w:cs="Times New Roman" w:eastAsia="Times New Roman" w:hAnsi="Times New Roman"/>
          <w:sz w:val="18"/>
          <w:szCs w:val="18"/>
          <w:color w:val="auto"/>
        </w:rPr>
        <w:t>The purpose of the Audit Committee is to (i) assist the Board in fulfilling its oversight responsibilities to the stockholders, potential stockholders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to perform its responsibilities. During fiscal 2023, the Audit Committee met six times.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 Audit Committee, see the “</w:t>
      </w:r>
      <w:r>
        <w:rPr>
          <w:rFonts w:ascii="Times New Roman" w:cs="Times New Roman" w:eastAsia="Times New Roman" w:hAnsi="Times New Roman"/>
          <w:sz w:val="18"/>
          <w:szCs w:val="18"/>
          <w:i w:val="1"/>
          <w:iCs w:val="1"/>
          <w:color w:val="auto"/>
        </w:rPr>
        <w:t>Report of the Audit Committee</w:t>
      </w:r>
      <w:r>
        <w:rPr>
          <w:rFonts w:ascii="Times New Roman" w:cs="Times New Roman" w:eastAsia="Times New Roman" w:hAnsi="Times New Roman"/>
          <w:sz w:val="18"/>
          <w:szCs w:val="18"/>
          <w:color w:val="auto"/>
        </w:rPr>
        <w:t>” included elsewhere in this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five times during fiscal 2023. The current members of the Compensation Committee are Messrs. Mesdag, Boyle and Conacher, each of whom is “independent” under the rules of Nasdaq.</w:t>
      </w:r>
    </w:p>
    <w:p>
      <w:pPr>
        <w:spacing w:after="0" w:line="18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 xml:space="preserve">The Compensation Committee operates under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and Data Privacy Committee</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Mses. Bauza, Ross and Rubin. The Cybersecurity Committee met four times during fiscal 2023.</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its charter, our Cybersecurity Committee (i) assists our Board in fulfilling its risk oversight responsibilities with respect to the protection of the Company’s assets, including confidential, proprietary and personal information, reputation and goodwill in all forms; (ii) supervises and monitors the soundness of our cybersecurity and data protection strategies and practices; (iii) oversees and monitors our material compliance with applicable information security, privacy and data protection laws, industry standards and contractual requirements; (iv) promotes and furthers the integrity, adoption and coordination of our data security processes across the Company to help ensure that data and system security is a Company-wide business objective and priority; and (v) oversees our cybersecurity and data protection performance and the overall implementation of our cybersecurity and data protection strategy.</w:t>
      </w:r>
    </w:p>
    <w:p>
      <w:pPr>
        <w:spacing w:after="0" w:line="18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 xml:space="preserve">The Cybersecurity Committee operates under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believes that the Company and its stockholders are best served by maintaining flexibility to have any director serve as Chairperson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Corporate Governance Guidelines, if the Chairperson is not independent, the Board appoints an independent Lead Director.</w:t>
      </w:r>
    </w:p>
    <w:p>
      <w:pPr>
        <w:spacing w:after="0" w:line="20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human capital and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overall governance structure, director succession planning and our environmental, sustainability and social programs. Our Board committees report their findings to the full Board.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Our Company recognizes the importance of addressing and prioritizing environmental, social and governance (ESG) issues throughout our business. In fiscal 2021, we engaged with a third-party firm to assist us in the development of the Company's initial ESG strategy and initiatives. Our Sustainability Committee, consisting of a cross-disciplinary team from corporate management, reports to the Nominating and Corporate Governance Committee and, when appropriate, presents to our full Board. Our senior management team is working with our Sustainability Committee to develop short- and long-term ESG goals and a related action plan. Information regarding our current efforts, and our ongoing ESG initiatives can be found on our corporate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The information included in, referenced to, or otherwise accessible through our website, is not incorporated by reference 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part of, this document or any document unless expressly incorporated by reference therein.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Board has adopted Corporate Governance Guidelines that set forth our governance principles relating to, among other things, director independence, director qualifications and responsibilities, board structure and meetings, and management succession.</w:t>
      </w:r>
    </w:p>
    <w:p>
      <w:pPr>
        <w:spacing w:after="0" w:line="1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 xml:space="preserve">A copy of the Corporate Governance Guidelines can be found under “Corporate Governance – Charters &amp; Policies” on the Investor Relations page of our corporate website, which is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 Charters &amp; Policies” on the Investor Relations page of our corporate web site, which is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Each of Willem Mesdag, Jack Boyle and Lionel F. Conacher served as a member of the Compensation Committee during fiscal 2023, none of whom was at any time during fiscal 2023 or at any other time an officer or employee of our Company. During fiscal 2023, none of our executive officers served as a member of the board of directors or compensation committee of any other entity that had one or more executive officers serving as a member of our Board or Compensation Committee.</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with respect to the compensation paid to our non-employee directors.</w:t>
      </w:r>
    </w:p>
    <w:p>
      <w:pPr>
        <w:spacing w:after="0" w:line="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Non-Employee Director Compensation Plan, as amended to date (the "Director Plan"), sets forth the compensation to be paid to our non-employee directors, including in the form of equity. The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2016 Plan. The Director Plan also permits the Company’s non-employee directors to acquire shares of the Company’s common stock at fair market value by voluntarily electing to receive shares of common stock in lieu of cash fees for service as a director. In November 2023, the Director Plan was amended to permit directors the ability to select shares of deferred stock beginning in fiscal 2024. Any shares of deferred stock will be issued from the 2016 Plan.</w:t>
      </w:r>
    </w:p>
    <w:p>
      <w:pPr>
        <w:spacing w:after="0" w:line="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Director Plan is a stand-alone plan and is not a sub-plan under the 2016 Plan. Accordingly, shares issued under the Director Plan for voluntary elections to receive shares of common stock in lieu of cash fees do not reduce the shares available for issuance under the 2016 Plan. The maximum number of shares that can be issued in any quarter pursuant to the Director Plan is limited to 250,000 shares in the aggregate, with the shortfall paid in cash.</w:t>
      </w:r>
    </w:p>
    <w:p>
      <w:pPr>
        <w:spacing w:after="0" w:line="6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believe that our Director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plan as follows in fiscal 2023:</w:t>
      </w:r>
    </w:p>
    <w:p>
      <w:pPr>
        <w:spacing w:after="0" w:line="69"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received a quarterly retainer of $33,750;</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Lead Director, as applicable, received a quarterly retainer of $10,000;</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received a quarterly retainer of $5,000;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each other Board committee received a quarterly retainer of $2,500.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2023. Mr. Kanter is not included in the following table as he is a Named Executive Officer and, accordingly, received no compensation for his services as a director. Compensation earned by Mr. Kanter is included below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DIRECTOR COMPENSATION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3"/>
                <w:szCs w:val="13"/>
                <w:b w:val="1"/>
                <w:bCs w:val="1"/>
                <w:color w:val="auto"/>
              </w:rPr>
              <w:t>Paid in Cash</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8"/>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Lionel F. Conacher, Chairman</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195,000</w:t>
            </w:r>
          </w:p>
        </w:tc>
        <w:tc>
          <w:tcPr>
            <w:tcW w:w="100" w:type="dxa"/>
            <w:vAlign w:val="bottom"/>
            <w:shd w:val="clear" w:color="auto" w:fill="CFF0FC"/>
          </w:tcPr>
          <w:p>
            <w:pPr>
              <w:spacing w:after="0"/>
              <w:rPr>
                <w:sz w:val="20"/>
                <w:szCs w:val="20"/>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Carmen R. Bauza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80,996</w:t>
            </w:r>
          </w:p>
        </w:tc>
        <w:tc>
          <w:tcPr>
            <w:tcW w:w="24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134,996</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Jack Boyle</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72,484</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144,984</w:t>
            </w:r>
          </w:p>
        </w:tc>
        <w:tc>
          <w:tcPr>
            <w:tcW w:w="100" w:type="dxa"/>
            <w:vAlign w:val="bottom"/>
            <w:shd w:val="clear" w:color="auto" w:fill="CFF0FC"/>
          </w:tcPr>
          <w:p>
            <w:pPr>
              <w:spacing w:after="0"/>
              <w:rPr>
                <w:sz w:val="21"/>
                <w:szCs w:val="21"/>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Willem Mesdag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144,991</w:t>
            </w:r>
          </w:p>
        </w:tc>
        <w:tc>
          <w:tcPr>
            <w:tcW w:w="24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144,991</w:t>
            </w:r>
          </w:p>
        </w:tc>
        <w:tc>
          <w:tcPr>
            <w:tcW w:w="100" w:type="dxa"/>
            <w:vAlign w:val="bottom"/>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Ivy Ross</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67,495</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144,995</w:t>
            </w:r>
          </w:p>
        </w:tc>
        <w:tc>
          <w:tcPr>
            <w:tcW w:w="100" w:type="dxa"/>
            <w:vAlign w:val="bottom"/>
            <w:shd w:val="clear" w:color="auto" w:fill="CFF0FC"/>
          </w:tcPr>
          <w:p>
            <w:pPr>
              <w:spacing w:after="0"/>
              <w:rPr>
                <w:sz w:val="21"/>
                <w:szCs w:val="2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Elaine K. Rubin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77,620</w:t>
            </w:r>
          </w:p>
        </w:tc>
        <w:tc>
          <w:tcPr>
            <w:tcW w:w="24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134,995</w:t>
            </w:r>
          </w:p>
        </w:tc>
        <w:tc>
          <w:tcPr>
            <w:tcW w:w="100" w:type="dxa"/>
            <w:vAlign w:val="bottom"/>
          </w:tcPr>
          <w:p>
            <w:pPr>
              <w:spacing w:after="0"/>
              <w:rPr>
                <w:sz w:val="20"/>
                <w:szCs w:val="20"/>
                <w:color w:val="auto"/>
              </w:rPr>
            </w:pPr>
          </w:p>
        </w:tc>
      </w:tr>
    </w:tbl>
    <w:p>
      <w:pPr>
        <w:spacing w:after="0" w:line="273" w:lineRule="exact"/>
        <w:rPr>
          <w:sz w:val="20"/>
          <w:szCs w:val="20"/>
          <w:color w:val="auto"/>
        </w:rPr>
      </w:pPr>
    </w:p>
    <w:p>
      <w:pPr>
        <w:ind w:left="760" w:right="40" w:hanging="378"/>
        <w:spacing w:after="0" w:line="25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Mr. Mesdag elected to receive all compensation in unrestricted shares of common stock. Mr. Conacher elected to receive 100% of his compensation in cash. Mr. Boyle elected to receive 50% of his compensation in unrestricted shares of common stock and 50% in cash. Ms. Ross elected to receive 50% of her retainer in cash and 50% in unrestricted shares of common stock, with any chairperson fees in cash. Until Mses. Bauza and Rubin reach the required minimum ownership threshold, each is required to elect 60% of their respective retainer in unrestricted shares of common stock with the remainder elected in cash. The number of shares issued as payment for an earned director fee is determined by taking the director fee earned and dividing by the consolidated closing price of our common stock on the grant date, based on the closing price on the last trading day of the immediately prior fiscal quarter. Payments are made at the beginning of each quarter, with the grant date being the first business day of each respective quarter.</w:t>
      </w:r>
    </w:p>
    <w:p>
      <w:pPr>
        <w:spacing w:after="0" w:line="5"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compensation that was paid in the form of equity through the issuance of unrestricted shares of common stock. The fractional share value is forfeited.</w:t>
      </w:r>
    </w:p>
    <w:p>
      <w:pPr>
        <w:ind w:left="760" w:right="80" w:hanging="378"/>
        <w:spacing w:after="0" w:line="26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 grants to any of the directors in fiscal 2023. At February 3, 2024, Messrs. Boyle and Conacher each had outstanding stock options to purchase 15,000 shares of common stock.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4" w:name="page15"/>
    <w:bookmarkEnd w:id="1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This Compensation Discussion and Analysis provides a summary of our executive compensation philosophy and programs, and discusses the compensation paid to our Chief Executive Officer (“CEO”), our Chief Financial Officer (“CFO”) and certain of our other executive officers who served in fiscal 2023 (collectively, our “Named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2023 were:</w:t>
      </w:r>
    </w:p>
    <w:p>
      <w:pPr>
        <w:spacing w:after="0" w:line="225"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Harvey S. Kanter, President, CEO and Director</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 Stratton, Jr., Executive Vice President, CFO and Treasurer</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J. Gaeta, Chief Stores and Real Estate Officer</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S. Molloy, General Counsel and Secretary</w:t>
      </w:r>
    </w:p>
    <w:p>
      <w:pPr>
        <w:spacing w:after="0" w:line="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Surette, Chief Merchandising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2023 Financial and Executive Compensation Highlights</w:t>
      </w:r>
    </w:p>
    <w:p>
      <w:pPr>
        <w:spacing w:after="0" w:line="119"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color w:val="auto"/>
        </w:rPr>
        <w:t>Fiscal 2023 proved to be a challenging year as uncertainty about the economy grew during the year, directly impacting the apparel retail market. The resulting decrease in consumer discretionary spending negatively impacted customer traffic and, as a result, our sales performance fell short of our expectations.</w:t>
      </w:r>
    </w:p>
    <w:p>
      <w:pPr>
        <w:spacing w:after="0" w:line="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When we approved the plan for fiscal 2023, we had just completed two record years of sales and earnings and, while we expected our sales growth to slow slightly, we did not expect the slowdown in customer traffic that we began to see in the second quarter of fiscal 2023. Despite these headwinds, fiscal 2023 was the second highest year of sales in the history of our Company, only behind fiscal 2022. Furthermore, our operational discipline allowed us to maintain a solid gross margin, manage our operating expenses, resulting in $27.9 million of net income and an adjusted EBITDA margin (a non-GAAP measure) of 10.7%.</w:t>
      </w:r>
    </w:p>
    <w:p>
      <w:pPr>
        <w:spacing w:after="0" w:line="7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 significant accomplishment in fiscal 2023 was the development and finalization of our long-range plan. In connection with our long-range plan, we renegotiated Mr. Kanter's employment agreement, extending the initial term of the agreement until August 11, 2026. We believe that this was an important step to ensure Mr. Kanter will oversee the execution of our long-range plan.</w:t>
      </w:r>
    </w:p>
    <w:p>
      <w:pPr>
        <w:spacing w:after="0" w:line="6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believe that the compensation earned by our Named Executive Officers in fiscal 2023 was aligned with our operating performance. The following table shows total compensation earned and total realized pay for each of the Named Executive Officers (NEOs) in fiscal 2023 as compared to fiscal 2022: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r>
              <w:rPr>
                <w:rFonts w:ascii="Times New Roman" w:cs="Times New Roman" w:eastAsia="Times New Roman" w:hAnsi="Times New Roman"/>
                <w:sz w:val="24"/>
                <w:szCs w:val="24"/>
                <w:b w:val="1"/>
                <w:bCs w:val="1"/>
                <w:color w:val="auto"/>
                <w:vertAlign w:val="superscript"/>
              </w:rPr>
              <w:t>(1)</w:t>
            </w:r>
          </w:p>
        </w:tc>
        <w:tc>
          <w:tcPr>
            <w:tcW w:w="12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w w:val="96"/>
              </w:rPr>
              <w:t xml:space="preserve">Total Realized Pay </w:t>
            </w:r>
            <w:r>
              <w:rPr>
                <w:rFonts w:ascii="Times New Roman" w:cs="Times New Roman" w:eastAsia="Times New Roman" w:hAnsi="Times New Roman"/>
                <w:sz w:val="24"/>
                <w:szCs w:val="24"/>
                <w:b w:val="1"/>
                <w:bCs w:val="1"/>
                <w:color w:val="auto"/>
                <w:w w:val="96"/>
                <w:vertAlign w:val="superscript"/>
              </w:rPr>
              <w:t>(2)</w:t>
            </w:r>
          </w:p>
        </w:tc>
        <w:tc>
          <w:tcPr>
            <w:tcW w:w="10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r>
      <w:tr>
        <w:trPr>
          <w:trHeight w:val="234"/>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40" w:type="dxa"/>
            <w:vAlign w:val="bottom"/>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24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41.1 %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4,269,385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6,881,634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38"/>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1,048,280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1,153,866</w:t>
            </w:r>
          </w:p>
        </w:tc>
        <w:tc>
          <w:tcPr>
            <w:tcW w:w="240" w:type="dxa"/>
            <w:vAlign w:val="bottom"/>
          </w:tcPr>
          <w:p>
            <w:pPr>
              <w:spacing w:after="0"/>
              <w:rPr>
                <w:sz w:val="20"/>
                <w:szCs w:val="20"/>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1,124,903</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1,287,281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872,760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831,020</w:t>
            </w:r>
          </w:p>
        </w:tc>
        <w:tc>
          <w:tcPr>
            <w:tcW w:w="240" w:type="dxa"/>
            <w:vAlign w:val="bottom"/>
          </w:tcPr>
          <w:p>
            <w:pPr>
              <w:spacing w:after="0"/>
              <w:rPr>
                <w:sz w:val="21"/>
                <w:szCs w:val="21"/>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993,374</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899,072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948,334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1,014,167</w:t>
            </w:r>
          </w:p>
        </w:tc>
        <w:tc>
          <w:tcPr>
            <w:tcW w:w="240" w:type="dxa"/>
            <w:vAlign w:val="bottom"/>
          </w:tcPr>
          <w:p>
            <w:pPr>
              <w:spacing w:after="0"/>
              <w:rPr>
                <w:sz w:val="21"/>
                <w:szCs w:val="21"/>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1,320,125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1,088,916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21.2 %</w:t>
            </w: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847,626</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818,948</w:t>
            </w:r>
          </w:p>
        </w:tc>
        <w:tc>
          <w:tcPr>
            <w:tcW w:w="240" w:type="dxa"/>
            <w:vAlign w:val="bottom"/>
          </w:tcPr>
          <w:p>
            <w:pPr>
              <w:spacing w:after="0"/>
              <w:rPr>
                <w:sz w:val="21"/>
                <w:szCs w:val="21"/>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904,688</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850,290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5" w:lineRule="exact"/>
        <w:rPr>
          <w:sz w:val="20"/>
          <w:szCs w:val="20"/>
          <w:color w:val="auto"/>
        </w:rPr>
      </w:pPr>
    </w:p>
    <w:p>
      <w:pPr>
        <w:ind w:left="760" w:right="140" w:hanging="378"/>
        <w:spacing w:after="0" w:line="271"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reflects amounts as reported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The primary driver of the increase in total compensation in fiscal 2023 as compared to fiscal 2022 for Mr. Kanter was due to 573,000 performance stock units, with a grant date fair value of $2.4 million, that were granted to Mr. Kanter in connection with the extension of his employment agreement. See “</w:t>
      </w:r>
      <w:r>
        <w:rPr>
          <w:rFonts w:ascii="Times New Roman" w:cs="Times New Roman" w:eastAsia="Times New Roman" w:hAnsi="Times New Roman"/>
          <w:sz w:val="16"/>
          <w:szCs w:val="16"/>
          <w:i w:val="1"/>
          <w:iCs w:val="1"/>
          <w:color w:val="auto"/>
        </w:rPr>
        <w:t>Compensation Components and Fiscal 2023 Compensation Decisions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Employment Agreement - Harvey S. Kanter, Chief Executive Officer and Director</w:t>
      </w:r>
      <w:r>
        <w:rPr>
          <w:rFonts w:ascii="Times New Roman" w:cs="Times New Roman" w:eastAsia="Times New Roman" w:hAnsi="Times New Roman"/>
          <w:sz w:val="16"/>
          <w:szCs w:val="16"/>
          <w:color w:val="auto"/>
        </w:rPr>
        <w:t>” below for additional information regarding the performance award granted in 2023. Total compensation for all of our Named Executive Officers for fiscal 2023 reflect a decrease in the performance payout of the annual incentive plan, with Mr. Gaeta and Ms. Surette's total compensation increasing due to increases in their base salaries received in fiscal 2023.</w:t>
      </w:r>
    </w:p>
    <w:p>
      <w:pPr>
        <w:spacing w:after="0" w:line="74" w:lineRule="exact"/>
        <w:rPr>
          <w:rFonts w:ascii="Times New Roman" w:cs="Times New Roman" w:eastAsia="Times New Roman" w:hAnsi="Times New Roman"/>
          <w:sz w:val="16"/>
          <w:szCs w:val="16"/>
          <w:color w:val="auto"/>
        </w:rPr>
      </w:pPr>
    </w:p>
    <w:p>
      <w:pPr>
        <w:ind w:left="760" w:right="120" w:hanging="378"/>
        <w:spacing w:after="0" w:line="282"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realized pay is calculated as total compensation per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minus the value of equity awards granted, as reported in the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column and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column of that table, plus the value of any options exercised or stock awards that vested, as reflected in the “</w:t>
      </w:r>
      <w:r>
        <w:rPr>
          <w:rFonts w:ascii="Times New Roman" w:cs="Times New Roman" w:eastAsia="Times New Roman" w:hAnsi="Times New Roman"/>
          <w:sz w:val="16"/>
          <w:szCs w:val="16"/>
          <w:i w:val="1"/>
          <w:iCs w:val="1"/>
          <w:color w:val="auto"/>
        </w:rPr>
        <w:t>Option Exercises and Stock Vested</w:t>
      </w:r>
      <w:r>
        <w:rPr>
          <w:rFonts w:ascii="Times New Roman" w:cs="Times New Roman" w:eastAsia="Times New Roman" w:hAnsi="Times New Roman"/>
          <w:sz w:val="16"/>
          <w:szCs w:val="16"/>
          <w:color w:val="auto"/>
        </w:rPr>
        <w:t>” table for each of the respective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aligned with the interests of the Company’s stockholders.</w:t>
      </w:r>
    </w:p>
    <w:p>
      <w:pPr>
        <w:spacing w:after="0" w:line="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16" w:lineRule="exact"/>
        <w:rPr>
          <w:rFonts w:ascii="Times New Roman" w:cs="Times New Roman" w:eastAsia="Times New Roman" w:hAnsi="Times New Roman"/>
          <w:sz w:val="18"/>
          <w:szCs w:val="18"/>
          <w:color w:val="auto"/>
        </w:rPr>
      </w:pPr>
    </w:p>
    <w:p>
      <w:pPr>
        <w:ind w:left="780" w:right="460" w:hanging="263"/>
        <w:spacing w:after="0" w:line="281"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goals through a combination of cash and stock-based compensation; and</w:t>
      </w:r>
    </w:p>
    <w:p>
      <w:pPr>
        <w:spacing w:after="0" w:line="5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Direct Compensation, which consists of total cash compensation (base salary and annual performance-based cash incentive awards) plus long-term incentive awards. Every year, the Compensation Committee assesses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3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our executive officers with the interests of our stockholders.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3"/>
          </w:tcPr>
          <w:p>
            <w:pPr>
              <w:ind w:left="2360"/>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5900" w:type="dxa"/>
            <w:vAlign w:val="bottom"/>
            <w:gridSpan w:val="3"/>
          </w:tcPr>
          <w:p>
            <w:pPr>
              <w:ind w:left="2420"/>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34"/>
        </w:trPr>
        <w:tc>
          <w:tcPr>
            <w:tcW w:w="23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351"/>
        </w:trPr>
        <w:tc>
          <w:tcPr>
            <w:tcW w:w="5340" w:type="dxa"/>
            <w:vAlign w:val="bottom"/>
            <w:gridSpan w:val="3"/>
            <w:shd w:val="clear" w:color="auto" w:fill="CFF0FC"/>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Focus on performance-based pay</w:t>
            </w:r>
          </w:p>
        </w:tc>
        <w:tc>
          <w:tcPr>
            <w:tcW w:w="5900" w:type="dxa"/>
            <w:vAlign w:val="bottom"/>
            <w:gridSpan w:val="3"/>
            <w:shd w:val="clear" w:color="auto" w:fill="CFF0FC"/>
          </w:tcPr>
          <w:p>
            <w:pPr>
              <w:ind w:left="6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re-pricing of underwater options</w:t>
            </w:r>
          </w:p>
        </w:tc>
      </w:tr>
      <w:tr>
        <w:trPr>
          <w:trHeight w:val="344"/>
        </w:trPr>
        <w:tc>
          <w:tcPr>
            <w:tcW w:w="5340" w:type="dxa"/>
            <w:vAlign w:val="bottom"/>
            <w:gridSpan w:val="3"/>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Balance short-term and long-term incentives</w:t>
            </w:r>
          </w:p>
        </w:tc>
        <w:tc>
          <w:tcPr>
            <w:tcW w:w="5900" w:type="dxa"/>
            <w:vAlign w:val="bottom"/>
            <w:gridSpan w:val="3"/>
          </w:tcPr>
          <w:p>
            <w:pPr>
              <w:ind w:left="6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hedging or pledging of Company stock</w:t>
            </w:r>
          </w:p>
        </w:tc>
      </w:tr>
      <w:tr>
        <w:trPr>
          <w:trHeight w:val="357"/>
        </w:trPr>
        <w:tc>
          <w:tcPr>
            <w:tcW w:w="5340" w:type="dxa"/>
            <w:vAlign w:val="bottom"/>
            <w:gridSpan w:val="3"/>
            <w:shd w:val="clear" w:color="auto" w:fill="CFF0FC"/>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Use multiple targets for performance awards</w:t>
            </w:r>
          </w:p>
        </w:tc>
        <w:tc>
          <w:tcPr>
            <w:tcW w:w="5900" w:type="dxa"/>
            <w:vAlign w:val="bottom"/>
            <w:gridSpan w:val="3"/>
            <w:shd w:val="clear" w:color="auto" w:fill="CFF0FC"/>
          </w:tcPr>
          <w:p>
            <w:pPr>
              <w:ind w:left="6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tax gross-up on severance payments</w:t>
            </w:r>
          </w:p>
        </w:tc>
      </w:tr>
      <w:tr>
        <w:trPr>
          <w:trHeight w:val="344"/>
        </w:trPr>
        <w:tc>
          <w:tcPr>
            <w:tcW w:w="5340" w:type="dxa"/>
            <w:vAlign w:val="bottom"/>
            <w:gridSpan w:val="3"/>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Provide executives with very limited perquisites</w:t>
            </w:r>
          </w:p>
        </w:tc>
        <w:tc>
          <w:tcPr>
            <w:tcW w:w="5900" w:type="dxa"/>
            <w:vAlign w:val="bottom"/>
            <w:gridSpan w:val="3"/>
          </w:tcPr>
          <w:p>
            <w:pPr>
              <w:ind w:left="6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supplemental executive retirement plan</w:t>
            </w:r>
          </w:p>
        </w:tc>
      </w:tr>
      <w:tr>
        <w:trPr>
          <w:trHeight w:val="357"/>
        </w:trPr>
        <w:tc>
          <w:tcPr>
            <w:tcW w:w="5340" w:type="dxa"/>
            <w:vAlign w:val="bottom"/>
            <w:gridSpan w:val="3"/>
            <w:shd w:val="clear" w:color="auto" w:fill="CFF0FC"/>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Require “double-trigger” change-in-control provisions</w:t>
            </w:r>
          </w:p>
        </w:tc>
        <w:tc>
          <w:tcPr>
            <w:tcW w:w="242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r>
        <w:trPr>
          <w:trHeight w:val="319"/>
        </w:trPr>
        <w:tc>
          <w:tcPr>
            <w:tcW w:w="5340" w:type="dxa"/>
            <w:vAlign w:val="bottom"/>
            <w:gridSpan w:val="3"/>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Maintain a “clawback” policy covering incentive cash and</w:t>
            </w:r>
          </w:p>
        </w:tc>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1"/>
        </w:trPr>
        <w:tc>
          <w:tcPr>
            <w:tcW w:w="53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equity programs</w:t>
            </w:r>
          </w:p>
        </w:tc>
        <w:tc>
          <w:tcPr>
            <w:tcW w:w="2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57"/>
        </w:trPr>
        <w:tc>
          <w:tcPr>
            <w:tcW w:w="5340" w:type="dxa"/>
            <w:vAlign w:val="bottom"/>
            <w:gridSpan w:val="3"/>
            <w:shd w:val="clear" w:color="auto" w:fill="CFF0FC"/>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Seek to mitigate undue risk in compensation plans</w:t>
            </w:r>
          </w:p>
        </w:tc>
        <w:tc>
          <w:tcPr>
            <w:tcW w:w="242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r>
        <w:trPr>
          <w:trHeight w:val="337"/>
        </w:trPr>
        <w:tc>
          <w:tcPr>
            <w:tcW w:w="5340" w:type="dxa"/>
            <w:vAlign w:val="bottom"/>
            <w:gridSpan w:val="3"/>
          </w:tcPr>
          <w:p>
            <w:pPr>
              <w:ind w:left="1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Utilize an independent compensation consultant</w:t>
            </w:r>
          </w:p>
        </w:tc>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The Compensation Committee has the authority to retain any compensation consultant, legal counsel and/or other adviser to assist in carrying out its duties, including the review of compensation of our Named Executive Officers. The Compensation Committee may accept, reject or modify any recommendations by compensation consultants or other outside advisors.</w:t>
      </w:r>
    </w:p>
    <w:p>
      <w:pPr>
        <w:spacing w:after="0" w:line="6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Compensation Committee periodically consults with the Segal Group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2023, the Compensation Committee and Mr. Kanter agreed to extend the "initial term" of his employment agreement from April 1, 2025 to August 11, 2026. In connection with this extension, the Compensation Committee engaged Segal to review Mr. Kanter's base salary and total direct compensation as well as provide guidance on the terms, conditions and value of a performance award that served both as a retention award to extend his employment to August 2026 and satisfy the commitment in the employment agreement to grant Mr. Kanter a new performance award if the third tranche of his initial new-hire performance award did not vest. See “</w:t>
      </w:r>
      <w:r>
        <w:rPr>
          <w:rFonts w:ascii="Times New Roman" w:cs="Times New Roman" w:eastAsia="Times New Roman" w:hAnsi="Times New Roman"/>
          <w:sz w:val="18"/>
          <w:szCs w:val="18"/>
          <w:i w:val="1"/>
          <w:iCs w:val="1"/>
          <w:color w:val="auto"/>
        </w:rPr>
        <w:t>Compensation Components and Fiscal 2023 Compensation Decisions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Harvey S. Kanter, Chief Executive Officer and Director</w:t>
      </w:r>
      <w:r>
        <w:rPr>
          <w:rFonts w:ascii="Times New Roman" w:cs="Times New Roman" w:eastAsia="Times New Roman" w:hAnsi="Times New Roman"/>
          <w:sz w:val="18"/>
          <w:szCs w:val="18"/>
          <w:color w:val="auto"/>
        </w:rPr>
        <w:t>” below for additional information regarding the performance award granted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market insights from Segal, including information derived from published surveys on CEO compensation in retail companies with annual revenues of $500 million to $1.0 billion and trends in CEO compensation, there were no other changes to Mr. Kanter's compensation.</w:t>
      </w:r>
    </w:p>
    <w:p>
      <w:pPr>
        <w:spacing w:after="0" w:line="189"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8"/>
          <w:szCs w:val="18"/>
          <w:color w:val="auto"/>
        </w:rPr>
        <w:t>In March of 2023, the Compensation Committee also engaged Korn Ferry to review its peer group for purposes of reviewing and determining compensation decisions for fiscal 2023. The Compensation Committee has assessed Korn Ferry’s independence and has concluded that no conflict of interest exists with respect to the services that it performs.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Target Compensation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CEO Compensation</w:t>
      </w:r>
      <w:r>
        <w:rPr>
          <w:rFonts w:ascii="Times New Roman" w:cs="Times New Roman" w:eastAsia="Times New Roman" w:hAnsi="Times New Roman"/>
          <w:sz w:val="18"/>
          <w:szCs w:val="18"/>
          <w:color w:val="auto"/>
        </w:rPr>
        <w:t>. The Compensation Committee is responsible for determining the target compensation of our CEO. With respect to setting 2023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working with Segal, the Compensation Committee compared each element of the CEO’s Direct Compensation to published survey data and data from the Company’s peer group. The Compensation Committee’s objective was that total target compensation should approximate the median target compensation of the Company’s peer group. In addition, as discussed below, in August 2023, the Company extended its employment agreement with Mr. Kanter, which included a grant of a performance stock units.</w:t>
      </w:r>
    </w:p>
    <w:p>
      <w:pPr>
        <w:spacing w:after="0" w:line="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CEO makes recommendations regarding the compensation paid to our other Named Executive Officers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for its review and approval. Our Named Executive Officers other than the CEO are provided with a competitive base salary and an opportunity to earn performance awards each year, which are driven by our overall financial targets, and to participate in our equity incentive plans.</w:t>
      </w:r>
    </w:p>
    <w:p>
      <w:pPr>
        <w:spacing w:after="0" w:line="6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2022, Korn Ferry completed a study that evaluated all positions at our corporate office, from entry level to the CEO, and using their job leveling methodology, created a career framework of job levels based on scope, complexity, and responsibilities of each role. The CEO, together with the Chief Human Resources Officer, uses this framework and the respective job levels when evaluating the annual compensation paid to the other Named Executive Officers.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 Group</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2023 peer group were:</w:t>
      </w:r>
    </w:p>
    <w:p>
      <w:pPr>
        <w:spacing w:after="0" w:line="28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Big 5 Sporting Goods</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J.Jill, Inc.</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Vera Bradley</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Build-A-Bear Workshop, Inc.</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Kirkland’s, Inc.</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Vince Holding Corp.</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Cato Group</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Movado Group</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Zumiez, Inc.</w:t>
            </w: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Citi Trends</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Shoe Carnival</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Delta Apparel, Inc.</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Tile Shop Holdings</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Duluth Holding, Inc.</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Tilly’s Inc.</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3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develop an appropriate peer group, we considered domestic, publicly traded companies with a range of revenues and market capitalizations that may differ from those included by independent analysts such as Institutional Shareholder Services (ISS).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 As compared to our fiscal 2023 peers, we fell just below the median for revenues and slightly below the 85% percentile for market capitalization. Because our stock is so thinly traded, more weight was given to revenue than to market capitalization.</w:t>
      </w:r>
    </w:p>
    <w:p>
      <w:pPr>
        <w:spacing w:after="0" w:line="186"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In fiscal 2024, the Compensation Committee engaged Korn Ferry again to review its peer group for fiscal 2024. As a result of that review and based on the recommendations of Korn Ferry, the Company has added Rocky Brands to its fiscal 2024 peer group and removed Tile Shop Holdings because it is not in the apparel business and therefore may not be affected by the same trends that affect specialty retail apparel.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At our 2023 Annual Meeting, stockholders voted on a non-binding advisory proposal as to the frequency with which we should conduct an advisory vote on executive compensation (a "say-on-pay proposal"). At that meeting, and in accordance with the recommendation of our Board, 97.2% of votes cast voted for the “one-year” frequency for advisory votes on executive compensation. Therefore, we intend to hold an advisory “say-on-pay” vote every year until the next “say-on-pay” frequency vote by our stockholders which will be at our 2029 Annual Meeting.</w:t>
      </w:r>
    </w:p>
    <w:p>
      <w:pPr>
        <w:spacing w:after="0" w:line="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At our 2023 Annual Meeting, stockholders voted on a non-binding advisory vote on executive compensation as disclosed in the 2023 Proxy Statement. Of the votes cast at the 2023 Annual Meeting on the “say-on-pay” proposal, 98.9% voted in favor of the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7" w:name="page18"/>
    <w:bookmarkEnd w:id="17"/>
    <w:p>
      <w:pPr>
        <w:ind w:right="180"/>
        <w:spacing w:after="0" w:line="265" w:lineRule="auto"/>
        <w:rPr>
          <w:sz w:val="20"/>
          <w:szCs w:val="20"/>
          <w:color w:val="auto"/>
        </w:rPr>
      </w:pPr>
      <w:r>
        <w:rPr>
          <w:rFonts w:ascii="Times New Roman" w:cs="Times New Roman" w:eastAsia="Times New Roman" w:hAnsi="Times New Roman"/>
          <w:sz w:val="18"/>
          <w:szCs w:val="18"/>
          <w:color w:val="auto"/>
        </w:rPr>
        <w:t>proposal. The Compensation Committee considered the results of the 2023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our compensation programs do not provide incentives for unnecessary risk-taking by our employees. Our emphasis on performance-based annual and long-term incentive awards is designed to align executives with preserving and enhancing stockholder value. In addition, we use multiple objectives for our annual incentive plan (“AIP”), which limits the potential benefit from any single event of excessive risk-taking, and a cap on total payouts, as well as management processes in place for establishing key performance targets and monitoring our metrics. In addition, we have clawback policies in place relating to recoupment of compensation in the event of accounting restatements and misconduct of our executives, as described below under “Clawback Policies.” Based on these considerations, among others, we do not believe that our compensation policies and practices create risks that are likely to have a material adverse effect on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2023 Compensation Decisions</w:t>
      </w:r>
    </w:p>
    <w:p>
      <w:pPr>
        <w:spacing w:after="0" w:line="12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 2023 included base salary (“fixed compensation”), annual performance-based cash incentives under our AIP and long-term cash and/or equity incentives under our Long-Term Incentive Plan (“LTIP") (“at-risk compensation”). The annual weight of each component leads to the following allocation of potential compensation that each executive can earn. The CEO Target Compensation excludes the grant of performance stock units granted to Mr. Kanter in connection with the extension in August 2023 of his employment agreement, which served as a retention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401320</wp:posOffset>
            </wp:positionV>
            <wp:extent cx="6002020" cy="1550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2020" cy="155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15" w:lineRule="exact"/>
        <w:rPr>
          <w:sz w:val="20"/>
          <w:szCs w:val="20"/>
          <w:color w:val="auto"/>
        </w:rPr>
      </w:pPr>
    </w:p>
    <w:p>
      <w:pPr>
        <w:ind w:left="780" w:hanging="26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8" w:lineRule="exact"/>
        <w:rPr>
          <w:rFonts w:ascii="Times New Roman" w:cs="Times New Roman" w:eastAsia="Times New Roman" w:hAnsi="Times New Roman"/>
          <w:sz w:val="18"/>
          <w:szCs w:val="18"/>
          <w:color w:val="auto"/>
        </w:rPr>
      </w:pPr>
    </w:p>
    <w:p>
      <w:pPr>
        <w:ind w:left="760"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4" w:lineRule="exact"/>
        <w:rPr>
          <w:rFonts w:ascii="Times New Roman" w:cs="Times New Roman" w:eastAsia="Times New Roman" w:hAnsi="Times New Roman"/>
          <w:sz w:val="18"/>
          <w:szCs w:val="18"/>
          <w:color w:val="auto"/>
        </w:rPr>
      </w:pPr>
    </w:p>
    <w:p>
      <w:pPr>
        <w:ind w:left="7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be considered with respect to an individual’s promotion that may occur during the fiscal year, and any modifications in the individual's level of responsibility.</w:t>
      </w:r>
    </w:p>
    <w:p>
      <w:pPr>
        <w:spacing w:after="0" w:line="73" w:lineRule="exact"/>
        <w:rPr>
          <w:rFonts w:ascii="Times New Roman" w:cs="Times New Roman" w:eastAsia="Times New Roman" w:hAnsi="Times New Roman"/>
          <w:sz w:val="18"/>
          <w:szCs w:val="18"/>
          <w:color w:val="auto"/>
        </w:rPr>
      </w:pPr>
    </w:p>
    <w:p>
      <w:pPr>
        <w:ind w:left="760" w:right="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expects the CEO’s base salary to be at or near the peer group median, and to approximate 25%-33% of his target Direct Compensation. The base salary of our other Named Executive Officers is recommended by our CEO to the Compensation Committee for its review and approval, and targets the median of the peer group and published industry compensation surveys.</w:t>
      </w:r>
    </w:p>
    <w:p>
      <w:pPr>
        <w:spacing w:after="0" w:line="69" w:lineRule="exact"/>
        <w:rPr>
          <w:rFonts w:ascii="Times New Roman" w:cs="Times New Roman" w:eastAsia="Times New Roman" w:hAnsi="Times New Roman"/>
          <w:sz w:val="18"/>
          <w:szCs w:val="18"/>
          <w:color w:val="auto"/>
        </w:rPr>
      </w:pPr>
    </w:p>
    <w:p>
      <w:pPr>
        <w:ind w:left="760" w:right="3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Mr. Gaeta was named Chief Stores and Real Estate Officer, and his salary was increased from $325,000 to $400,000, and Ms. Surette's salary was adjusted from $350,000 to $375,000.</w:t>
      </w:r>
    </w:p>
    <w:p>
      <w:pPr>
        <w:spacing w:after="0" w:line="54"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fiscal 2023, Messrs. Stratton, Gaeta and Molloy and Ms. Surette each received a 3% merit increase.</w:t>
      </w:r>
    </w:p>
    <w:p>
      <w:pPr>
        <w:spacing w:after="0" w:line="222"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 (AIP)</w:t>
      </w:r>
    </w:p>
    <w:p>
      <w:pPr>
        <w:spacing w:after="0" w:line="226" w:lineRule="exact"/>
        <w:rPr>
          <w:rFonts w:ascii="Times New Roman" w:cs="Times New Roman" w:eastAsia="Times New Roman" w:hAnsi="Times New Roman"/>
          <w:sz w:val="18"/>
          <w:szCs w:val="18"/>
          <w:color w:val="auto"/>
        </w:rPr>
      </w:pPr>
    </w:p>
    <w:p>
      <w:pPr>
        <w:ind w:left="760"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The Company’s AIP is an annual performance-based incentive plan that provides a cash award to participants based on achievement of specified corporate, departmental and individual targets.</w:t>
      </w:r>
    </w:p>
    <w:p>
      <w:pPr>
        <w:spacing w:after="0" w:line="17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2023 AIP Awards</w:t>
      </w:r>
    </w:p>
    <w:p>
      <w:pPr>
        <w:spacing w:after="0" w:line="116" w:lineRule="exact"/>
        <w:rPr>
          <w:rFonts w:ascii="Times New Roman" w:cs="Times New Roman" w:eastAsia="Times New Roman" w:hAnsi="Times New Roman"/>
          <w:sz w:val="18"/>
          <w:szCs w:val="18"/>
          <w:color w:val="auto"/>
        </w:rPr>
      </w:pPr>
    </w:p>
    <w:p>
      <w:pPr>
        <w:ind w:left="7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2023, the Compensation Committee established the financial, operating and performance metrics for the 2023 AIP. Traditionally, the metrics for the AIP have been focused on the financial and operating performance of the Company in relation to our board-approved budget. However, given the significant uncertainty surrounding the U.S. economy, and the retail industry in particular, in order to keep employees engaged and motivated to achieve our strategic objectives should the macroeconomic situation deteriorate in 2023, the Compensation Committee added a second tier to the 2023 AIP program that was a relative measure, comparing the Company's financial performance in fiscal 2023 against the financial performance of its 2023 peer group, as listed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7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two-tier structure, the payout related to corporate or departmental targets accounted for 80% of the potential award and was determined based on the higher achievement of either TIER I (based on the Company’s approved financial plan) or TIER II (based on the relative financial performance of the Company to its 2023 peers).</w:t>
      </w:r>
    </w:p>
    <w:p>
      <w:pPr>
        <w:spacing w:after="0" w:line="69" w:lineRule="exact"/>
        <w:rPr>
          <w:rFonts w:ascii="Times New Roman" w:cs="Times New Roman" w:eastAsia="Times New Roman" w:hAnsi="Times New Roman"/>
          <w:sz w:val="18"/>
          <w:szCs w:val="18"/>
          <w:color w:val="auto"/>
        </w:rPr>
      </w:pPr>
    </w:p>
    <w:p>
      <w:pPr>
        <w:ind w:left="7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 Company performance metrics consisted of corporate targets for Sales and Adjusted EBITDA and departmental targets, if applicable, for Store Operations, Marketing &amp; Digital, and Merchandise/Planning and Allocation. Under TIER I, the Company’s financial performance metrics accounted for 80% of the potential award for Messrs. Kanter, Stratton and Molloy and 40% of the potential award for Mr. Gaeta and Ms. Surette. Mr. Gaeta’s performance metrics included specific store operation targets, and Ms. Surette's performance metrics included specific merchandising, planning and allocation targets, and accounted for 40% of their respective potential award. The performance metrics were derived from the Company’s annual operating plan for fiscal 2023. The Compensation Committee believed that sales and adjusted EBITDA continued to be the two most significant financial metrics for the 2023 AIP.</w:t>
      </w:r>
    </w:p>
    <w:p>
      <w:pPr>
        <w:spacing w:after="0" w:line="78" w:lineRule="exact"/>
        <w:rPr>
          <w:rFonts w:ascii="Times New Roman" w:cs="Times New Roman" w:eastAsia="Times New Roman" w:hAnsi="Times New Roman"/>
          <w:sz w:val="18"/>
          <w:szCs w:val="18"/>
          <w:color w:val="auto"/>
        </w:rPr>
      </w:pPr>
    </w:p>
    <w:p>
      <w:pPr>
        <w:ind w:left="7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Company performance metrics consisted of corporate targets for Comparable Sales and Adjusted EBITDA Margin, each accounting for 40% of the potential award for each participant. Our Comparable Sales and Adjusted EBITDA Margin results for fiscal 2023 were compared to our 2023 peer group on a quartile ranking. For each metric, if the Company ranked in (i) the top quartile, the payout would be 100%; (ii) the second quartile, the payout would be 75%; and (iii) the third quartile, the payout would be 50%. No payout would be earned if the Company finished in the fourth quartile.</w:t>
      </w:r>
    </w:p>
    <w:p>
      <w:pPr>
        <w:spacing w:after="0" w:line="74" w:lineRule="exact"/>
        <w:rPr>
          <w:rFonts w:ascii="Times New Roman" w:cs="Times New Roman" w:eastAsia="Times New Roman" w:hAnsi="Times New Roman"/>
          <w:sz w:val="18"/>
          <w:szCs w:val="18"/>
          <w:color w:val="auto"/>
        </w:rPr>
      </w:pPr>
    </w:p>
    <w:p>
      <w:pPr>
        <w:ind w:left="760" w:right="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metrics consisted of discretionary personal goals that accounted for the remaining 20% of the potential award for each of the Named Executive Officers under either TIER I or TIER II. See footnote 6 to the below table for a discussion of these individual targets.</w:t>
      </w:r>
    </w:p>
    <w:p>
      <w:pPr>
        <w:spacing w:after="0" w:line="54" w:lineRule="exact"/>
        <w:rPr>
          <w:rFonts w:ascii="Times New Roman" w:cs="Times New Roman" w:eastAsia="Times New Roman" w:hAnsi="Times New Roman"/>
          <w:sz w:val="18"/>
          <w:szCs w:val="18"/>
          <w:color w:val="auto"/>
        </w:rPr>
      </w:pPr>
    </w:p>
    <w:p>
      <w:pPr>
        <w:ind w:left="760" w:right="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Mr. Kanter’s target participation in the AIP was at 100% of his earned salary with the potential to earn up to 200% of the TIER I corporate targets and 100% of the TIER II corporate targets; Mr. Stratton's target participation was 60%</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19" w:name="page20"/>
    <w:bookmarkEnd w:id="19"/>
    <w:p>
      <w:pPr>
        <w:jc w:val="both"/>
        <w:ind w:left="20" w:right="280"/>
        <w:spacing w:after="0" w:line="258" w:lineRule="auto"/>
        <w:rPr>
          <w:sz w:val="20"/>
          <w:szCs w:val="20"/>
          <w:color w:val="auto"/>
        </w:rPr>
      </w:pPr>
      <w:r>
        <w:rPr>
          <w:rFonts w:ascii="Times New Roman" w:cs="Times New Roman" w:eastAsia="Times New Roman" w:hAnsi="Times New Roman"/>
          <w:sz w:val="18"/>
          <w:szCs w:val="18"/>
          <w:color w:val="auto"/>
        </w:rPr>
        <w:t>of his earned salary with the potential to earn up to 150% of the TIER I corporate targets and 100% of the TIER II corporate targets, and the target participation for Messrs. Molloy and Gaeta and Ms. Surette was 50% of their respective earned salaries with the potential to earn up to 150% of the TIER I corporate and departmental targets and 100% of the TIER II corporate targets. Mr. Kanter had the potential to earn up to 200% of his individual target and Messrs. Stratton, Molloy and Gaeta and Ms. Surette had the potential to earn up to 150% of their individual targets.</w:t>
      </w:r>
    </w:p>
    <w:p>
      <w:pPr>
        <w:spacing w:after="0" w:line="74"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8"/>
          <w:szCs w:val="18"/>
          <w:color w:val="auto"/>
        </w:rPr>
        <w:t>The 2023 AIP metrics were intended to be achievable, with an approximate 50% probability of achievement. The 2023 AIP performance metrics and actual results against these metrics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Weight for</w:t>
            </w:r>
          </w:p>
        </w:tc>
        <w:tc>
          <w:tcPr>
            <w:tcW w:w="78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Award</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Metric,</w:t>
            </w:r>
          </w:p>
        </w:tc>
        <w:tc>
          <w:tcPr>
            <w:tcW w:w="78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78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 Weight</w:t>
            </w:r>
          </w:p>
        </w:tc>
        <w:tc>
          <w:tcPr>
            <w:tcW w:w="6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Mr. Gaeta</w:t>
            </w:r>
          </w:p>
        </w:tc>
        <w:tc>
          <w:tcPr>
            <w:tcW w:w="1460" w:type="dxa"/>
            <w:vAlign w:val="bottom"/>
            <w:gridSpan w:val="6"/>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for Metric for Metric</w:t>
            </w:r>
          </w:p>
        </w:tc>
        <w:tc>
          <w:tcPr>
            <w:tcW w:w="22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3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Ms.</w:t>
            </w:r>
          </w:p>
        </w:tc>
        <w:tc>
          <w:tcPr>
            <w:tcW w:w="78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for Ms.</w:t>
            </w:r>
          </w:p>
        </w:tc>
        <w:tc>
          <w:tcPr>
            <w:tcW w:w="2260" w:type="dxa"/>
            <w:vAlign w:val="bottom"/>
            <w:gridSpan w:val="3"/>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96"/>
              </w:rPr>
              <w:t>Surette</w:t>
            </w:r>
          </w:p>
        </w:tc>
        <w:tc>
          <w:tcPr>
            <w:tcW w:w="200" w:type="dxa"/>
            <w:vAlign w:val="bottom"/>
          </w:tcPr>
          <w:p>
            <w:pPr>
              <w:spacing w:after="0"/>
              <w:rPr>
                <w:sz w:val="13"/>
                <w:szCs w:val="13"/>
                <w:color w:val="auto"/>
              </w:rPr>
            </w:pPr>
          </w:p>
        </w:tc>
        <w:tc>
          <w:tcPr>
            <w:tcW w:w="780" w:type="dxa"/>
            <w:vAlign w:val="bottom"/>
            <w:gridSpan w:val="3"/>
          </w:tcPr>
          <w:p>
            <w:pPr>
              <w:jc w:val="center"/>
              <w:ind w:left="8"/>
              <w:spacing w:after="0" w:line="159" w:lineRule="exact"/>
              <w:rPr>
                <w:sz w:val="20"/>
                <w:szCs w:val="20"/>
                <w:color w:val="auto"/>
              </w:rPr>
            </w:pPr>
            <w:r>
              <w:rPr>
                <w:rFonts w:ascii="Times New Roman" w:cs="Times New Roman" w:eastAsia="Times New Roman" w:hAnsi="Times New Roman"/>
                <w:sz w:val="14"/>
                <w:szCs w:val="14"/>
                <w:b w:val="1"/>
                <w:bCs w:val="1"/>
                <w:color w:val="auto"/>
                <w:w w:val="99"/>
              </w:rPr>
              <w:t>Mr. Gaeta</w:t>
            </w:r>
          </w:p>
        </w:tc>
        <w:tc>
          <w:tcPr>
            <w:tcW w:w="120" w:type="dxa"/>
            <w:vAlign w:val="bottom"/>
          </w:tcPr>
          <w:p>
            <w:pPr>
              <w:spacing w:after="0"/>
              <w:rPr>
                <w:sz w:val="13"/>
                <w:szCs w:val="13"/>
                <w:color w:val="auto"/>
              </w:rPr>
            </w:pPr>
          </w:p>
        </w:tc>
        <w:tc>
          <w:tcPr>
            <w:tcW w:w="56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Surette</w:t>
            </w:r>
          </w:p>
        </w:tc>
        <w:tc>
          <w:tcPr>
            <w:tcW w:w="540" w:type="dxa"/>
            <w:vAlign w:val="bottom"/>
          </w:tcPr>
          <w:p>
            <w:pPr>
              <w:spacing w:after="0"/>
              <w:rPr>
                <w:sz w:val="13"/>
                <w:szCs w:val="13"/>
                <w:color w:val="auto"/>
              </w:rPr>
            </w:pPr>
          </w:p>
        </w:tc>
        <w:tc>
          <w:tcPr>
            <w:tcW w:w="1720" w:type="dxa"/>
            <w:vAlign w:val="bottom"/>
            <w:gridSpan w:val="2"/>
          </w:tcPr>
          <w:p>
            <w:pPr>
              <w:jc w:val="center"/>
              <w:ind w:right="700"/>
              <w:spacing w:after="0" w:line="15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840" w:type="dxa"/>
            <w:vAlign w:val="bottom"/>
            <w:gridSpan w:val="3"/>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Target</w:t>
            </w:r>
          </w:p>
        </w:tc>
        <w:tc>
          <w:tcPr>
            <w:tcW w:w="200" w:type="dxa"/>
            <w:vAlign w:val="bottom"/>
          </w:tcPr>
          <w:p>
            <w:pPr>
              <w:spacing w:after="0"/>
              <w:rPr>
                <w:sz w:val="13"/>
                <w:szCs w:val="13"/>
                <w:color w:val="auto"/>
              </w:rPr>
            </w:pPr>
          </w:p>
        </w:tc>
        <w:tc>
          <w:tcPr>
            <w:tcW w:w="5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gridSpan w:val="3"/>
          </w:tcPr>
          <w:p>
            <w:pPr>
              <w:ind w:left="240"/>
              <w:spacing w:after="0" w:line="159"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660" w:type="dxa"/>
            <w:vAlign w:val="bottom"/>
            <w:gridSpan w:val="9"/>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 (1)</w:t>
            </w: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4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560" w:type="dxa"/>
            <w:vAlign w:val="bottom"/>
            <w:gridSpan w:val="2"/>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20" w:type="dxa"/>
            <w:vAlign w:val="bottom"/>
            <w:gridSpan w:val="3"/>
            <w:shd w:val="clear" w:color="auto" w:fill="CFF0FC"/>
          </w:tcPr>
          <w:p>
            <w:pPr>
              <w:ind w:left="160"/>
              <w:spacing w:after="0" w:line="137" w:lineRule="exact"/>
              <w:rPr>
                <w:sz w:val="20"/>
                <w:szCs w:val="20"/>
                <w:color w:val="auto"/>
              </w:rPr>
            </w:pPr>
            <w:r>
              <w:rPr>
                <w:rFonts w:ascii="Times New Roman" w:cs="Times New Roman" w:eastAsia="Times New Roman" w:hAnsi="Times New Roman"/>
                <w:sz w:val="14"/>
                <w:szCs w:val="14"/>
                <w:color w:val="auto"/>
              </w:rPr>
              <w:t>Sales</w:t>
            </w:r>
          </w:p>
        </w:tc>
        <w:tc>
          <w:tcPr>
            <w:tcW w:w="680" w:type="dxa"/>
            <w:vAlign w:val="bottom"/>
            <w:gridSpan w:val="3"/>
            <w:shd w:val="clear" w:color="auto" w:fill="CFF0FC"/>
          </w:tcPr>
          <w:p>
            <w:pPr>
              <w:jc w:val="center"/>
              <w:ind w:left="148"/>
              <w:spacing w:after="0" w:line="137"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center"/>
              <w:ind w:left="6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ind w:left="100"/>
              <w:spacing w:after="0" w:line="137"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FF0FC"/>
          </w:tcPr>
          <w:p>
            <w:pPr>
              <w:spacing w:after="0"/>
              <w:rPr>
                <w:sz w:val="11"/>
                <w:szCs w:val="11"/>
                <w:color w:val="auto"/>
              </w:rPr>
            </w:pPr>
          </w:p>
        </w:tc>
        <w:tc>
          <w:tcPr>
            <w:tcW w:w="2260" w:type="dxa"/>
            <w:vAlign w:val="bottom"/>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640" w:type="dxa"/>
            <w:vAlign w:val="bottom"/>
            <w:gridSpan w:val="2"/>
            <w:shd w:val="clear" w:color="auto" w:fill="CFF0FC"/>
          </w:tcPr>
          <w:p>
            <w:pPr>
              <w:jc w:val="center"/>
              <w:ind w:left="148"/>
              <w:spacing w:after="0" w:line="137" w:lineRule="exact"/>
              <w:rPr>
                <w:sz w:val="20"/>
                <w:szCs w:val="20"/>
                <w:color w:val="auto"/>
              </w:rPr>
            </w:pPr>
            <w:r>
              <w:rPr>
                <w:rFonts w:ascii="Times New Roman" w:cs="Times New Roman" w:eastAsia="Times New Roman" w:hAnsi="Times New Roman"/>
                <w:sz w:val="14"/>
                <w:szCs w:val="14"/>
                <w:color w:val="auto"/>
                <w:w w:val="98"/>
              </w:rPr>
              <w:t>$576.9</w:t>
            </w:r>
          </w:p>
        </w:tc>
        <w:tc>
          <w:tcPr>
            <w:tcW w:w="2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$521.8</w:t>
            </w: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7" w:lineRule="exact"/>
              <w:rPr>
                <w:sz w:val="20"/>
                <w:szCs w:val="20"/>
                <w:color w:val="auto"/>
              </w:rPr>
            </w:pPr>
            <w:r>
              <w:rPr>
                <w:rFonts w:ascii="Times New Roman" w:cs="Times New Roman" w:eastAsia="Times New Roman" w:hAnsi="Times New Roman"/>
                <w:sz w:val="14"/>
                <w:szCs w:val="14"/>
                <w:color w:val="auto"/>
              </w:rPr>
              <w:t>0.0%</w:t>
            </w: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60" w:type="dxa"/>
            <w:vAlign w:val="bottom"/>
            <w:gridSpan w:val="2"/>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4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3"/>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color w:val="auto"/>
              </w:rPr>
              <w:t>payout at 95.3% of target and</w:t>
            </w:r>
          </w:p>
        </w:tc>
        <w:tc>
          <w:tcPr>
            <w:tcW w:w="840" w:type="dxa"/>
            <w:vAlign w:val="bottom"/>
            <w:gridSpan w:val="3"/>
            <w:shd w:val="clear" w:color="auto" w:fill="CFF0FC"/>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20" w:type="dxa"/>
            <w:vAlign w:val="bottom"/>
            <w:gridSpan w:val="3"/>
            <w:shd w:val="clear" w:color="auto" w:fill="CFF0FC"/>
          </w:tcPr>
          <w:p>
            <w:pPr>
              <w:ind w:left="20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6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150%  payout  at  100.5%  of</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6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6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Kanter  who  is  eligible  for  a</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6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maximum  payout  of  200%  at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100.5% of target.</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5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4"/>
                <w:szCs w:val="14"/>
                <w:color w:val="auto"/>
              </w:rPr>
              <w:t>Adjusted</w:t>
            </w:r>
          </w:p>
        </w:tc>
        <w:tc>
          <w:tcPr>
            <w:tcW w:w="680" w:type="dxa"/>
            <w:vAlign w:val="bottom"/>
            <w:gridSpan w:val="3"/>
          </w:tcPr>
          <w:p>
            <w:pPr>
              <w:jc w:val="center"/>
              <w:ind w:left="148"/>
              <w:spacing w:after="0" w:line="137"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1"/>
                <w:szCs w:val="11"/>
                <w:color w:val="auto"/>
              </w:rPr>
            </w:pPr>
          </w:p>
        </w:tc>
        <w:tc>
          <w:tcPr>
            <w:tcW w:w="740" w:type="dxa"/>
            <w:vAlign w:val="bottom"/>
            <w:gridSpan w:val="2"/>
          </w:tcPr>
          <w:p>
            <w:pPr>
              <w:jc w:val="center"/>
              <w:ind w:left="6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40" w:type="dxa"/>
            <w:vAlign w:val="bottom"/>
          </w:tcPr>
          <w:p>
            <w:pPr>
              <w:spacing w:after="0"/>
              <w:rPr>
                <w:sz w:val="11"/>
                <w:szCs w:val="11"/>
                <w:color w:val="auto"/>
              </w:rPr>
            </w:pPr>
          </w:p>
        </w:tc>
        <w:tc>
          <w:tcPr>
            <w:tcW w:w="580" w:type="dxa"/>
            <w:vAlign w:val="bottom"/>
            <w:gridSpan w:val="2"/>
          </w:tcPr>
          <w:p>
            <w:pPr>
              <w:jc w:val="center"/>
              <w:ind w:left="48"/>
              <w:spacing w:after="0" w:line="137"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1"/>
                <w:szCs w:val="11"/>
                <w:color w:val="auto"/>
              </w:rPr>
            </w:pPr>
          </w:p>
        </w:tc>
        <w:tc>
          <w:tcPr>
            <w:tcW w:w="226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64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4"/>
                <w:szCs w:val="14"/>
                <w:color w:val="auto"/>
              </w:rPr>
              <w:t>$74.8</w:t>
            </w:r>
          </w:p>
        </w:tc>
        <w:tc>
          <w:tcPr>
            <w:tcW w:w="200" w:type="dxa"/>
            <w:vAlign w:val="bottom"/>
          </w:tcPr>
          <w:p>
            <w:pPr>
              <w:spacing w:after="0"/>
              <w:rPr>
                <w:sz w:val="11"/>
                <w:szCs w:val="11"/>
                <w:color w:val="auto"/>
              </w:rPr>
            </w:pPr>
          </w:p>
        </w:tc>
        <w:tc>
          <w:tcPr>
            <w:tcW w:w="600" w:type="dxa"/>
            <w:vAlign w:val="bottom"/>
            <w:gridSpan w:val="2"/>
          </w:tcPr>
          <w:p>
            <w:pPr>
              <w:jc w:val="center"/>
              <w:ind w:left="128"/>
              <w:spacing w:after="0" w:line="137"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4"/>
                <w:szCs w:val="14"/>
                <w:color w:val="auto"/>
              </w:rPr>
              <w:t>0.0%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6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220" w:type="dxa"/>
            <w:vAlign w:val="bottom"/>
            <w:gridSpan w:val="3"/>
          </w:tcPr>
          <w:p>
            <w:pPr>
              <w:ind w:left="160"/>
              <w:spacing w:after="0" w:line="151" w:lineRule="exact"/>
              <w:rPr>
                <w:sz w:val="20"/>
                <w:szCs w:val="20"/>
                <w:color w:val="auto"/>
              </w:rPr>
            </w:pPr>
            <w:r>
              <w:rPr>
                <w:rFonts w:ascii="Times New Roman" w:cs="Times New Roman" w:eastAsia="Times New Roman" w:hAnsi="Times New Roman"/>
                <w:sz w:val="14"/>
                <w:szCs w:val="14"/>
                <w:color w:val="auto"/>
              </w:rPr>
              <w:t>EBITDA (2)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color w:val="auto"/>
              </w:rPr>
              <w:t>payout at 91.6% of target and</w:t>
            </w:r>
          </w:p>
        </w:tc>
        <w:tc>
          <w:tcPr>
            <w:tcW w:w="840" w:type="dxa"/>
            <w:vAlign w:val="bottom"/>
            <w:gridSpan w:val="3"/>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20" w:type="dxa"/>
            <w:vAlign w:val="bottom"/>
            <w:gridSpan w:val="3"/>
          </w:tcPr>
          <w:p>
            <w:pPr>
              <w:ind w:left="20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150% payout at 102.3% of target,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with the exception of Mr. Kanter</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who is eligible for a maximum</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payout of 200% at 102.3% of</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560" w:type="dxa"/>
            <w:vAlign w:val="bottom"/>
            <w:gridSpan w:val="2"/>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Departmental Goals, if</w:t>
            </w:r>
          </w:p>
        </w:tc>
        <w:tc>
          <w:tcPr>
            <w:tcW w:w="1220" w:type="dxa"/>
            <w:vAlign w:val="bottom"/>
            <w:gridSpan w:val="3"/>
            <w:shd w:val="clear" w:color="auto" w:fill="CFF0FC"/>
          </w:tcPr>
          <w:p>
            <w:pPr>
              <w:ind w:left="160"/>
              <w:spacing w:after="0" w:line="137" w:lineRule="exact"/>
              <w:rPr>
                <w:sz w:val="20"/>
                <w:szCs w:val="20"/>
                <w:color w:val="auto"/>
              </w:rPr>
            </w:pPr>
            <w:r>
              <w:rPr>
                <w:rFonts w:ascii="Times New Roman" w:cs="Times New Roman" w:eastAsia="Times New Roman" w:hAnsi="Times New Roman"/>
                <w:sz w:val="14"/>
                <w:szCs w:val="14"/>
                <w:color w:val="auto"/>
              </w:rPr>
              <w:t>Store Operations</w:t>
            </w:r>
          </w:p>
        </w:tc>
        <w:tc>
          <w:tcPr>
            <w:tcW w:w="680" w:type="dxa"/>
            <w:vAlign w:val="bottom"/>
            <w:gridSpan w:val="3"/>
            <w:shd w:val="clear" w:color="auto" w:fill="CFF0FC"/>
          </w:tcPr>
          <w:p>
            <w:pPr>
              <w:jc w:val="center"/>
              <w:ind w:left="148"/>
              <w:spacing w:after="0" w:line="13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center"/>
              <w:ind w:left="68"/>
              <w:spacing w:after="0" w:line="137" w:lineRule="exact"/>
              <w:rPr>
                <w:sz w:val="20"/>
                <w:szCs w:val="20"/>
                <w:color w:val="auto"/>
              </w:rPr>
            </w:pPr>
            <w:r>
              <w:rPr>
                <w:rFonts w:ascii="Times New Roman" w:cs="Times New Roman" w:eastAsia="Times New Roman" w:hAnsi="Times New Roman"/>
                <w:sz w:val="14"/>
                <w:szCs w:val="14"/>
                <w:color w:val="auto"/>
                <w:w w:val="99"/>
              </w:rPr>
              <w:t>40.0%</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center"/>
              <w:ind w:left="48"/>
              <w:spacing w:after="0" w:line="13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2260" w:type="dxa"/>
            <w:vAlign w:val="bottom"/>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color w:val="auto"/>
              </w:rPr>
              <w:t>Includes payroll as a percentage of</w:t>
            </w:r>
          </w:p>
        </w:tc>
        <w:tc>
          <w:tcPr>
            <w:tcW w:w="640" w:type="dxa"/>
            <w:vAlign w:val="bottom"/>
            <w:gridSpan w:val="2"/>
            <w:shd w:val="clear" w:color="auto" w:fill="CFF0FC"/>
          </w:tcPr>
          <w:p>
            <w:pPr>
              <w:jc w:val="center"/>
              <w:ind w:left="148"/>
              <w:spacing w:after="0" w:line="137"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center"/>
              <w:ind w:left="128"/>
              <w:spacing w:after="0" w:line="137" w:lineRule="exact"/>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line="137"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60" w:type="dxa"/>
            <w:vAlign w:val="bottom"/>
            <w:gridSpan w:val="2"/>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4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60" w:type="dxa"/>
            <w:vAlign w:val="bottom"/>
            <w:gridSpan w:val="3"/>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color w:val="auto"/>
              </w:rPr>
              <w:t>sales target, net promoter score</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target and store conversion target.</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20" w:type="dxa"/>
            <w:vAlign w:val="bottom"/>
            <w:gridSpan w:val="3"/>
          </w:tcPr>
          <w:p>
            <w:pPr>
              <w:ind w:left="160"/>
              <w:spacing w:after="0" w:line="139" w:lineRule="exact"/>
              <w:rPr>
                <w:sz w:val="20"/>
                <w:szCs w:val="20"/>
                <w:color w:val="auto"/>
              </w:rPr>
            </w:pPr>
            <w:r>
              <w:rPr>
                <w:rFonts w:ascii="Times New Roman" w:cs="Times New Roman" w:eastAsia="Times New Roman" w:hAnsi="Times New Roman"/>
                <w:sz w:val="14"/>
                <w:szCs w:val="14"/>
                <w:color w:val="auto"/>
              </w:rPr>
              <w:t>Merchandise,</w:t>
            </w:r>
          </w:p>
        </w:tc>
        <w:tc>
          <w:tcPr>
            <w:tcW w:w="680" w:type="dxa"/>
            <w:vAlign w:val="bottom"/>
            <w:gridSpan w:val="3"/>
          </w:tcPr>
          <w:p>
            <w:pPr>
              <w:jc w:val="center"/>
              <w:ind w:left="148"/>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2"/>
                <w:szCs w:val="12"/>
                <w:color w:val="auto"/>
              </w:rPr>
            </w:pPr>
          </w:p>
        </w:tc>
        <w:tc>
          <w:tcPr>
            <w:tcW w:w="58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2"/>
                <w:szCs w:val="12"/>
                <w:color w:val="auto"/>
              </w:rPr>
            </w:pPr>
          </w:p>
        </w:tc>
        <w:tc>
          <w:tcPr>
            <w:tcW w:w="22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Includes targets for sales by</w:t>
            </w:r>
          </w:p>
        </w:tc>
        <w:tc>
          <w:tcPr>
            <w:tcW w:w="640" w:type="dxa"/>
            <w:vAlign w:val="bottom"/>
            <w:gridSpan w:val="2"/>
          </w:tcPr>
          <w:p>
            <w:pPr>
              <w:jc w:val="center"/>
              <w:ind w:left="148"/>
              <w:spacing w:after="0" w:line="13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600" w:type="dxa"/>
            <w:vAlign w:val="bottom"/>
            <w:gridSpan w:val="2"/>
          </w:tcPr>
          <w:p>
            <w:pPr>
              <w:jc w:val="center"/>
              <w:ind w:left="128"/>
              <w:spacing w:after="0" w:line="139" w:lineRule="exact"/>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Planning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category, gross margin rates by</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Allocation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category, inventory turnover and</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store conversion target.</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TIER II - Company’s Financial Performance Measured Against the Company's 2023 Peers (1)</w:t>
      </w:r>
    </w:p>
    <w:p>
      <w:pPr>
        <w:sectPr>
          <w:pgSz w:w="11900" w:h="16838" w:orient="portrait"/>
          <w:cols w:equalWidth="0" w:num="1">
            <w:col w:w="10480"/>
          </w:cols>
          <w:pgMar w:left="1060" w:top="1092" w:right="359" w:bottom="1440" w:gutter="0" w:footer="0" w:header="0"/>
        </w:sectPr>
      </w:pP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1</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6"/>
        </w:trPr>
        <w:tc>
          <w:tcPr>
            <w:tcW w:w="1480" w:type="dxa"/>
            <w:vAlign w:val="bottom"/>
          </w:tcPr>
          <w:p>
            <w:pPr>
              <w:spacing w:after="0"/>
              <w:rPr>
                <w:sz w:val="16"/>
                <w:szCs w:val="16"/>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(4)</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86"/>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2</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Adjusted</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48"/>
        </w:trPr>
        <w:tc>
          <w:tcPr>
            <w:tcW w:w="1480" w:type="dxa"/>
            <w:vAlign w:val="bottom"/>
          </w:tcPr>
          <w:p>
            <w:pPr>
              <w:spacing w:after="0"/>
              <w:rPr>
                <w:sz w:val="12"/>
                <w:szCs w:val="12"/>
                <w:color w:val="auto"/>
              </w:rPr>
            </w:pPr>
          </w:p>
        </w:tc>
        <w:tc>
          <w:tcPr>
            <w:tcW w:w="1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EBITDA Margin</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86"/>
        </w:trPr>
        <w:tc>
          <w:tcPr>
            <w:tcW w:w="1480" w:type="dxa"/>
            <w:vAlign w:val="bottom"/>
          </w:tcPr>
          <w:p>
            <w:pPr>
              <w:spacing w:after="0"/>
              <w:rPr>
                <w:sz w:val="16"/>
                <w:szCs w:val="16"/>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-599440</wp:posOffset>
            </wp:positionV>
            <wp:extent cx="6198870" cy="299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8870" cy="2997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93345</wp:posOffset>
            </wp:positionV>
            <wp:extent cx="6198870" cy="11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887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Top Quartile 100%; 2nd Quartile</w:t>
            </w:r>
          </w:p>
        </w:tc>
        <w:tc>
          <w:tcPr>
            <w:tcW w:w="9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7"/>
              </w:rPr>
              <w:t>Top</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2nd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3rd Quartile 50%; 4th</w:t>
            </w:r>
          </w:p>
        </w:tc>
        <w:tc>
          <w:tcPr>
            <w:tcW w:w="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r>
      <w:tr>
        <w:trPr>
          <w:trHeight w:val="175"/>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Quartile no payout.</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Top Quartile 100%; 2nd Quartile</w:t>
            </w:r>
          </w:p>
        </w:tc>
        <w:tc>
          <w:tcPr>
            <w:tcW w:w="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Top</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Top</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3rd Quartile 50%; 4th</w:t>
            </w:r>
          </w:p>
        </w:tc>
        <w:tc>
          <w:tcPr>
            <w:tcW w:w="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r>
      <w:tr>
        <w:trPr>
          <w:trHeight w:val="186"/>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Quartile no payout.</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4980" w:space="160"/>
            <w:col w:w="5340"/>
          </w:cols>
          <w:pgMar w:left="1060" w:top="1092" w:right="359" w:bottom="1440" w:gutter="0" w:footer="0" w:header="0"/>
          <w:type w:val="continuous"/>
        </w:sectPr>
      </w:pP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INDIVIDUAL PERFORMANCE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198870"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8870" cy="111125"/>
                    </a:xfrm>
                    <a:prstGeom prst="rect">
                      <a:avLst/>
                    </a:prstGeom>
                    <a:noFill/>
                  </pic:spPr>
                </pic:pic>
              </a:graphicData>
            </a:graphic>
          </wp:anchor>
        </w:drawing>
      </w:r>
    </w:p>
    <w:p>
      <w:pPr>
        <w:spacing w:after="0" w:line="270" w:lineRule="exact"/>
        <w:rPr>
          <w:sz w:val="20"/>
          <w:szCs w:val="20"/>
          <w:color w:val="auto"/>
        </w:rPr>
      </w:pPr>
    </w:p>
    <w:p>
      <w:pPr>
        <w:jc w:val="right"/>
        <w:ind w:right="55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60" w:top="1092" w:right="359" w:bottom="1440" w:gutter="0" w:footer="0" w:header="0"/>
          <w:type w:val="continuous"/>
        </w:sectPr>
      </w:pPr>
    </w:p>
    <w:bookmarkStart w:id="20" w:name="page21"/>
    <w:bookmarkEnd w:id="20"/>
    <w:tbl>
      <w:tblPr>
        <w:tblLayout w:type="fixed"/>
        <w:tblInd w:w="76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Targets</w:t>
            </w:r>
          </w:p>
        </w:tc>
        <w:tc>
          <w:tcPr>
            <w:tcW w:w="1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Discretionary-</w:t>
            </w: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20.0%</w:t>
            </w: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20.0%  Discretionary, at target, based upon</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w:t>
            </w:r>
          </w:p>
        </w:tc>
        <w:tc>
          <w:tcPr>
            <w:tcW w:w="8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7"/>
              </w:rPr>
              <w:t>Varied by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r>
      <w:tr>
        <w:trPr>
          <w:trHeight w:val="148"/>
        </w:trPr>
        <w:tc>
          <w:tcPr>
            <w:tcW w:w="1420" w:type="dxa"/>
            <w:vAlign w:val="bottom"/>
          </w:tcPr>
          <w:p>
            <w:pPr>
              <w:spacing w:after="0"/>
              <w:rPr>
                <w:sz w:val="12"/>
                <w:szCs w:val="12"/>
                <w:color w:val="auto"/>
              </w:rPr>
            </w:pPr>
          </w:p>
        </w:tc>
        <w:tc>
          <w:tcPr>
            <w:tcW w:w="1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individual performance, were</w:t>
            </w:r>
          </w:p>
        </w:tc>
        <w:tc>
          <w:tcPr>
            <w:tcW w:w="700" w:type="dxa"/>
            <w:vAlign w:val="bottom"/>
          </w:tcPr>
          <w:p>
            <w:pPr>
              <w:spacing w:after="0"/>
              <w:rPr>
                <w:sz w:val="12"/>
                <w:szCs w:val="12"/>
                <w:color w:val="auto"/>
              </w:rPr>
            </w:pPr>
          </w:p>
        </w:tc>
        <w:tc>
          <w:tcPr>
            <w:tcW w:w="80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NEO</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(30% for Mr.</w:t>
            </w:r>
          </w:p>
        </w:tc>
      </w:tr>
      <w:tr>
        <w:trPr>
          <w:trHeight w:val="164"/>
        </w:trPr>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evaluated by the CEO (except with</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Kanter)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-286385</wp:posOffset>
            </wp:positionV>
            <wp:extent cx="6198870" cy="1147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98870" cy="1147445"/>
                    </a:xfrm>
                    <a:prstGeom prst="rect">
                      <a:avLst/>
                    </a:prstGeom>
                    <a:noFill/>
                  </pic:spPr>
                </pic:pic>
              </a:graphicData>
            </a:graphic>
          </wp:anchor>
        </w:drawing>
      </w:r>
    </w:p>
    <w:p>
      <w:pPr>
        <w:ind w:left="5880"/>
        <w:spacing w:after="0" w:line="221" w:lineRule="auto"/>
        <w:rPr>
          <w:sz w:val="20"/>
          <w:szCs w:val="20"/>
          <w:color w:val="auto"/>
        </w:rPr>
      </w:pPr>
      <w:r>
        <w:rPr>
          <w:rFonts w:ascii="Times New Roman" w:cs="Times New Roman" w:eastAsia="Times New Roman" w:hAnsi="Times New Roman"/>
          <w:sz w:val="14"/>
          <w:szCs w:val="14"/>
          <w:color w:val="auto"/>
        </w:rPr>
        <w:t>respect to the CEO whose</w:t>
      </w:r>
    </w:p>
    <w:p>
      <w:pPr>
        <w:ind w:left="5880"/>
        <w:spacing w:after="0" w:line="221" w:lineRule="auto"/>
        <w:rPr>
          <w:sz w:val="20"/>
          <w:szCs w:val="20"/>
          <w:color w:val="auto"/>
        </w:rPr>
      </w:pPr>
      <w:r>
        <w:rPr>
          <w:rFonts w:ascii="Times New Roman" w:cs="Times New Roman" w:eastAsia="Times New Roman" w:hAnsi="Times New Roman"/>
          <w:sz w:val="14"/>
          <w:szCs w:val="14"/>
          <w:color w:val="auto"/>
        </w:rPr>
        <w:t>individual performance was</w:t>
      </w:r>
    </w:p>
    <w:p>
      <w:pPr>
        <w:ind w:left="5880"/>
        <w:spacing w:after="0" w:line="221" w:lineRule="auto"/>
        <w:rPr>
          <w:sz w:val="20"/>
          <w:szCs w:val="20"/>
          <w:color w:val="auto"/>
        </w:rPr>
      </w:pPr>
      <w:r>
        <w:rPr>
          <w:rFonts w:ascii="Times New Roman" w:cs="Times New Roman" w:eastAsia="Times New Roman" w:hAnsi="Times New Roman"/>
          <w:sz w:val="14"/>
          <w:szCs w:val="14"/>
          <w:color w:val="auto"/>
        </w:rPr>
        <w:t>evaluated by the Compensation</w:t>
      </w:r>
    </w:p>
    <w:p>
      <w:pPr>
        <w:ind w:left="5880"/>
        <w:spacing w:after="0" w:line="221" w:lineRule="auto"/>
        <w:rPr>
          <w:sz w:val="20"/>
          <w:szCs w:val="20"/>
          <w:color w:val="auto"/>
        </w:rPr>
      </w:pPr>
      <w:r>
        <w:rPr>
          <w:rFonts w:ascii="Times New Roman" w:cs="Times New Roman" w:eastAsia="Times New Roman" w:hAnsi="Times New Roman"/>
          <w:sz w:val="14"/>
          <w:szCs w:val="14"/>
          <w:color w:val="auto"/>
        </w:rPr>
        <w:t>Committee). Participants were</w:t>
      </w:r>
    </w:p>
    <w:p>
      <w:pPr>
        <w:ind w:left="58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880"/>
        <w:spacing w:after="0" w:line="221" w:lineRule="auto"/>
        <w:rPr>
          <w:sz w:val="20"/>
          <w:szCs w:val="20"/>
          <w:color w:val="auto"/>
        </w:rPr>
      </w:pPr>
      <w:r>
        <w:rPr>
          <w:rFonts w:ascii="Times New Roman" w:cs="Times New Roman" w:eastAsia="Times New Roman" w:hAnsi="Times New Roman"/>
          <w:sz w:val="14"/>
          <w:szCs w:val="14"/>
          <w:color w:val="auto"/>
        </w:rPr>
        <w:t>award up to 30%, with the</w:t>
      </w:r>
    </w:p>
    <w:p>
      <w:pPr>
        <w:ind w:left="5880"/>
        <w:spacing w:after="0" w:line="221" w:lineRule="auto"/>
        <w:rPr>
          <w:sz w:val="20"/>
          <w:szCs w:val="20"/>
          <w:color w:val="auto"/>
        </w:rPr>
      </w:pPr>
      <w:r>
        <w:rPr>
          <w:rFonts w:ascii="Times New Roman" w:cs="Times New Roman" w:eastAsia="Times New Roman" w:hAnsi="Times New Roman"/>
          <w:sz w:val="14"/>
          <w:szCs w:val="14"/>
          <w:color w:val="auto"/>
        </w:rPr>
        <w:t>exception of Mr. Kanter who was</w:t>
      </w:r>
    </w:p>
    <w:p>
      <w:pPr>
        <w:ind w:left="5880"/>
        <w:spacing w:after="0" w:line="222"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880"/>
        <w:spacing w:after="0"/>
        <w:rPr>
          <w:sz w:val="20"/>
          <w:szCs w:val="20"/>
          <w:color w:val="auto"/>
        </w:rPr>
      </w:pPr>
      <w:r>
        <w:rPr>
          <w:rFonts w:ascii="Times New Roman" w:cs="Times New Roman" w:eastAsia="Times New Roman" w:hAnsi="Times New Roman"/>
          <w:sz w:val="14"/>
          <w:szCs w:val="14"/>
          <w:color w:val="auto"/>
        </w:rPr>
        <w:t>award up to 40%.</w:t>
      </w:r>
    </w:p>
    <w:p>
      <w:pPr>
        <w:spacing w:after="0" w:line="200" w:lineRule="exact"/>
        <w:rPr>
          <w:sz w:val="20"/>
          <w:szCs w:val="20"/>
          <w:color w:val="auto"/>
        </w:rPr>
      </w:pPr>
    </w:p>
    <w:p>
      <w:pPr>
        <w:spacing w:after="0" w:line="216" w:lineRule="exact"/>
        <w:rPr>
          <w:sz w:val="20"/>
          <w:szCs w:val="20"/>
          <w:color w:val="auto"/>
        </w:rPr>
      </w:pPr>
    </w:p>
    <w:p>
      <w:pPr>
        <w:ind w:left="1780" w:hanging="368"/>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achieve the Corporate Metrics under TIER I but did achieve the Corporate Metrics under TIER II.</w:t>
      </w:r>
    </w:p>
    <w:p>
      <w:pPr>
        <w:spacing w:after="0" w:line="203" w:lineRule="exact"/>
        <w:rPr>
          <w:rFonts w:ascii="Times New Roman" w:cs="Times New Roman" w:eastAsia="Times New Roman" w:hAnsi="Times New Roman"/>
          <w:sz w:val="14"/>
          <w:szCs w:val="14"/>
          <w:color w:val="auto"/>
        </w:rPr>
      </w:pPr>
    </w:p>
    <w:p>
      <w:pPr>
        <w:ind w:left="1780" w:right="140" w:hanging="368"/>
        <w:spacing w:after="0" w:line="258"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calculated as earnings before interest, taxes and depreciation and amortization, adjusted for the loss from the termination of retirement plans and asset impairment (gain), if any.</w:t>
      </w:r>
    </w:p>
    <w:p>
      <w:pPr>
        <w:spacing w:after="0" w:line="166" w:lineRule="exact"/>
        <w:rPr>
          <w:rFonts w:ascii="Times New Roman" w:cs="Times New Roman" w:eastAsia="Times New Roman" w:hAnsi="Times New Roman"/>
          <w:sz w:val="14"/>
          <w:szCs w:val="14"/>
          <w:color w:val="auto"/>
        </w:rPr>
      </w:pPr>
    </w:p>
    <w:p>
      <w:pPr>
        <w:ind w:left="1780" w:right="40" w:hanging="368"/>
        <w:spacing w:after="0" w:line="230"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for store net promoter score for fiscal 2023 was 75 and the actual net promoter score achieved was 78 for fiscal 2023. The Company does not publicly disclose its store conversion rates, sales by category, inventory turn, payroll as a percentage of sales, or gross margin by category. Any discussion of conversion rates, store payroll as a percentage of sales, and inventory turnover is limited to the percentage and/or dollar increase or decrease over a comparable period. The actual performance for these metrics was as follows: store conversion: 150% of target; store payroll as a percentage of sales: 82.8% of target; sales by category: below threshold (0%); inventory turn as a percentage of sales: 150% of target; and gross margin by category: 95.9% of target. If there had not been an award under TIER II, Mr. Gaeta and Ms. Surette would have been entitled to an award payout under TIER I for these metrics.</w:t>
      </w:r>
    </w:p>
    <w:p>
      <w:pPr>
        <w:spacing w:after="0" w:line="180" w:lineRule="exact"/>
        <w:rPr>
          <w:rFonts w:ascii="Times New Roman" w:cs="Times New Roman" w:eastAsia="Times New Roman" w:hAnsi="Times New Roman"/>
          <w:sz w:val="14"/>
          <w:szCs w:val="14"/>
          <w:color w:val="auto"/>
        </w:rPr>
      </w:pPr>
    </w:p>
    <w:p>
      <w:pPr>
        <w:ind w:left="1780" w:right="180" w:hanging="368"/>
        <w:spacing w:after="0" w:line="239"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peer has its own calculation for comparable sales as it relates to treatment of new stores, remodeled stores or closed stores. For purposes of this metric, however, the Company relied on each peer's reported comparable sales results. For a few peers that do not report comparable sales, the Company used total sales and considered store openings/closings.</w:t>
      </w:r>
    </w:p>
    <w:p>
      <w:pPr>
        <w:spacing w:after="0" w:line="179" w:lineRule="exact"/>
        <w:rPr>
          <w:rFonts w:ascii="Times New Roman" w:cs="Times New Roman" w:eastAsia="Times New Roman" w:hAnsi="Times New Roman"/>
          <w:sz w:val="14"/>
          <w:szCs w:val="14"/>
          <w:color w:val="auto"/>
        </w:rPr>
      </w:pPr>
    </w:p>
    <w:p>
      <w:pPr>
        <w:ind w:left="1780" w:right="60" w:hanging="368"/>
        <w:spacing w:after="0" w:line="235"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for all peers on a basis consistent with how the Company defines adjusted EBITDA margin, which is earnings before interest, taxes, depreciation and amortization and adjusted for any impairment (gain) of assets, restructuring and severance charges and other non-recurring items, such as the Company's loss from the termination of its frozen pension plans. Adjusted EBITDA margin was then calculated by dividing Adjusted EBITDA by total sales as reported.</w:t>
      </w:r>
    </w:p>
    <w:p>
      <w:pPr>
        <w:spacing w:after="0" w:line="178" w:lineRule="exact"/>
        <w:rPr>
          <w:rFonts w:ascii="Times New Roman" w:cs="Times New Roman" w:eastAsia="Times New Roman" w:hAnsi="Times New Roman"/>
          <w:sz w:val="14"/>
          <w:szCs w:val="14"/>
          <w:color w:val="auto"/>
        </w:rPr>
      </w:pPr>
    </w:p>
    <w:p>
      <w:pPr>
        <w:ind w:left="1780" w:right="20" w:hanging="368"/>
        <w:spacing w:after="0" w:line="228"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Molloy and Gaeta and Ms. Surette, which are approved by the CEO, consisted of a combination of quantifiable goals specific to their respective corporate function. Mr. Molloy’s personal goals were tied to ensuring strong corporate governance, legal and ethical compliance, and legal support and guidance throughout the organization. Mr. Gaeta’s personal goals were directly tied to the Company's stores achieving their metrics as well as team development. Ms. Surette's personal goals were strategic and tied to inventory management to maximize sales and gross margin growth, new business initiatives, brand awareness and team development. The personal goals for our CFO were quantifiable and were tied directly to the Company's performance, as well as team development and professional development of staff. Our CEO’s personal goals were tied to the Company's current performance and rollout of a long-term strategic plan.</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As a result of achieving the performance targets under TIER II for fiscal 2023 pursuant to the 2023 AIP, as shown above, in April 2024 the</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Compensation Committee approved cash bonus payouts to our NEOs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Payout at</w:t>
            </w:r>
          </w:p>
        </w:tc>
        <w:tc>
          <w:tcPr>
            <w:tcW w:w="320" w:type="dxa"/>
            <w:vAlign w:val="bottom"/>
          </w:tcPr>
          <w:p>
            <w:pPr>
              <w:spacing w:after="0"/>
              <w:rPr>
                <w:sz w:val="18"/>
                <w:szCs w:val="18"/>
                <w:color w:val="auto"/>
              </w:rPr>
            </w:pPr>
          </w:p>
        </w:tc>
        <w:tc>
          <w:tcPr>
            <w:tcW w:w="2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2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320" w:type="dxa"/>
            <w:vAlign w:val="bottom"/>
          </w:tcPr>
          <w:p>
            <w:pPr>
              <w:spacing w:after="0"/>
              <w:rPr>
                <w:sz w:val="11"/>
                <w:szCs w:val="11"/>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26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Cash Payout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210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866,346</w:t>
            </w:r>
          </w:p>
        </w:tc>
        <w:tc>
          <w:tcPr>
            <w:tcW w:w="28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248,896</w:t>
            </w:r>
          </w:p>
        </w:tc>
        <w:tc>
          <w:tcPr>
            <w:tcW w:w="2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90 %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195,914</w:t>
            </w:r>
          </w:p>
        </w:tc>
        <w:tc>
          <w:tcPr>
            <w:tcW w:w="28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95 %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196,712</w:t>
            </w:r>
          </w:p>
        </w:tc>
        <w:tc>
          <w:tcPr>
            <w:tcW w:w="2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95 %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188,289</w:t>
            </w:r>
          </w:p>
        </w:tc>
        <w:tc>
          <w:tcPr>
            <w:tcW w:w="28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90 %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2024 AIP</w:t>
            </w: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8"/>
          <w:szCs w:val="18"/>
          <w:color w:val="auto"/>
        </w:rPr>
        <w:t>On April 1, 2024, the Compensation Committee established the financial, operating and performance metrics for the 2024 AIP. Given the continued uncertainty surrounding the U.S. economy and reduced consumer discretionary spending, the Compensation Committee believed that the two-tier approach used in fiscal 2023 provided the appropriate balance to keep employees engaged and motivated to achieve our strategic objectives. Similar to the 2023 AIP, the Compensation Committee added a second tier to the 2024 AIP program that would be a relative measure, comparing the Company's financial</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color w:val="auto"/>
        </w:rPr>
        <w:t>performance in fiscal 2024 against the financial performance of its 2024 peer group, as discussed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Under this two-tier structure, the payout related to corporate or departmental targets, if any, will be determined based on the higher achievement of either TIER I (based on the Company’s approved financial plan) or TIER II (based on the relative financial performance of the Company to its 2024 peers). The maximum payout under TIER I remains 150% (200% for Mr. Kanter); however, the maximum payout under TIER II is capped at 100%.</w:t>
      </w:r>
    </w:p>
    <w:p>
      <w:pPr>
        <w:spacing w:after="0" w:line="74" w:lineRule="exact"/>
        <w:rPr>
          <w:sz w:val="20"/>
          <w:szCs w:val="20"/>
          <w:color w:val="auto"/>
        </w:rPr>
      </w:pPr>
    </w:p>
    <w:p>
      <w:pPr>
        <w:ind w:left="20" w:right="40"/>
        <w:spacing w:after="0" w:line="276" w:lineRule="auto"/>
        <w:rPr>
          <w:sz w:val="20"/>
          <w:szCs w:val="20"/>
          <w:color w:val="auto"/>
        </w:rPr>
      </w:pPr>
      <w:r>
        <w:rPr>
          <w:rFonts w:ascii="Times New Roman" w:cs="Times New Roman" w:eastAsia="Times New Roman" w:hAnsi="Times New Roman"/>
          <w:sz w:val="17"/>
          <w:szCs w:val="17"/>
          <w:color w:val="auto"/>
        </w:rPr>
        <w:t>TIER I Company performance metrics are structured in the same manner as our historical AIPs and consist of corporate targets for Sales and Adjusted EBITDA with departmental targets for Store Operations, Marketing &amp; Digital, and Merchandise/Planning and Allocation. Under TIER I, the Company’s financial performance metrics account for 80% of the potential award for Messrs. Kanter, Stratton and Molloy and 40% of the potential award for Mr. Gaeta and Ms. Surette. Mr. Gaeta’s performance metrics include specific store operation targets, and Ms. Surette's performance metrics include specific merchandising, planning and allocation targets, and account for 40% of their respective TIER I targets.</w:t>
      </w:r>
    </w:p>
    <w:p>
      <w:pPr>
        <w:spacing w:after="0" w:line="63" w:lineRule="exact"/>
        <w:rPr>
          <w:sz w:val="20"/>
          <w:szCs w:val="20"/>
          <w:color w:val="auto"/>
        </w:rPr>
      </w:pPr>
    </w:p>
    <w:p>
      <w:pPr>
        <w:ind w:left="20" w:right="120"/>
        <w:spacing w:after="0" w:line="258" w:lineRule="auto"/>
        <w:rPr>
          <w:sz w:val="20"/>
          <w:szCs w:val="20"/>
          <w:color w:val="auto"/>
        </w:rPr>
      </w:pPr>
      <w:r>
        <w:rPr>
          <w:rFonts w:ascii="Times New Roman" w:cs="Times New Roman" w:eastAsia="Times New Roman" w:hAnsi="Times New Roman"/>
          <w:sz w:val="18"/>
          <w:szCs w:val="18"/>
          <w:color w:val="auto"/>
        </w:rPr>
        <w:t>TIER II Company performance metrics consist of corporate targets for Comparable Sales and Adjusted EBITDA Margin, each accounting for 40% of the potential award for each participant. Our Comparable Sales and Adjusted EBITDA Margin results for fiscal 2024 will be compared to our 2024 peer group on a quartile ranking. For each metric, if the Company ranks in (i) the top quartile, the payout would be 100%; (ii) the second quartile, the payout would be 75%; and (iii) the third quartile, the payout would be 50%. No payout will be earned if the Company finishes in the fourth quartile.</w:t>
      </w:r>
    </w:p>
    <w:p>
      <w:pPr>
        <w:spacing w:after="0" w:line="74" w:lineRule="exact"/>
        <w:rPr>
          <w:sz w:val="20"/>
          <w:szCs w:val="20"/>
          <w:color w:val="auto"/>
        </w:rPr>
      </w:pPr>
    </w:p>
    <w:p>
      <w:pPr>
        <w:jc w:val="both"/>
        <w:ind w:left="20" w:right="140"/>
        <w:spacing w:after="0" w:line="265" w:lineRule="auto"/>
        <w:rPr>
          <w:sz w:val="20"/>
          <w:szCs w:val="20"/>
          <w:color w:val="auto"/>
        </w:rPr>
      </w:pPr>
      <w:r>
        <w:rPr>
          <w:rFonts w:ascii="Times New Roman" w:cs="Times New Roman" w:eastAsia="Times New Roman" w:hAnsi="Times New Roman"/>
          <w:sz w:val="18"/>
          <w:szCs w:val="18"/>
          <w:color w:val="auto"/>
        </w:rPr>
        <w:t>Individual performance targets consisting of discretionary personal goals account for the remaining 20% of the potential award for each of the Named Executive Officers under either TIER I or TIER II. Mr. Kanter has the potential to earn up to 200% of his individual target and Messrs. Stratton, Molloy and Gaeta and Ms. Surette have the potential to earn up to 150% of their individual targets.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2024 AIP performance metrics approved by the Compensation Committee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Metric, other</w:t>
            </w:r>
          </w:p>
        </w:tc>
        <w:tc>
          <w:tcPr>
            <w:tcW w:w="1000" w:type="dxa"/>
            <w:vAlign w:val="bottom"/>
            <w:gridSpan w:val="5"/>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Mr. Gaeta</w:t>
            </w:r>
          </w:p>
        </w:tc>
        <w:tc>
          <w:tcPr>
            <w:tcW w:w="1000" w:type="dxa"/>
            <w:vAlign w:val="bottom"/>
            <w:gridSpan w:val="5"/>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2980" w:type="dxa"/>
            <w:vAlign w:val="bottom"/>
            <w:gridSpan w:val="4"/>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and Ms.</w:t>
            </w:r>
          </w:p>
        </w:tc>
        <w:tc>
          <w:tcPr>
            <w:tcW w:w="1000" w:type="dxa"/>
            <w:vAlign w:val="bottom"/>
            <w:gridSpan w:val="5"/>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Metric for Mr.</w:t>
            </w:r>
          </w:p>
        </w:tc>
        <w:tc>
          <w:tcPr>
            <w:tcW w:w="9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Metric for</w:t>
            </w:r>
          </w:p>
        </w:tc>
        <w:tc>
          <w:tcPr>
            <w:tcW w:w="2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Metric</w:t>
            </w:r>
          </w:p>
        </w:tc>
        <w:tc>
          <w:tcPr>
            <w:tcW w:w="340" w:type="dxa"/>
            <w:vAlign w:val="bottom"/>
          </w:tcPr>
          <w:p>
            <w:pPr>
              <w:spacing w:after="0"/>
              <w:rPr>
                <w:sz w:val="11"/>
                <w:szCs w:val="11"/>
                <w:color w:val="auto"/>
              </w:rPr>
            </w:pPr>
          </w:p>
        </w:tc>
        <w:tc>
          <w:tcPr>
            <w:tcW w:w="7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Surette</w:t>
            </w:r>
          </w:p>
        </w:tc>
        <w:tc>
          <w:tcPr>
            <w:tcW w:w="340" w:type="dxa"/>
            <w:vAlign w:val="bottom"/>
          </w:tcPr>
          <w:p>
            <w:pPr>
              <w:spacing w:after="0"/>
              <w:rPr>
                <w:sz w:val="11"/>
                <w:szCs w:val="11"/>
                <w:color w:val="auto"/>
              </w:rPr>
            </w:pPr>
          </w:p>
        </w:tc>
        <w:tc>
          <w:tcPr>
            <w:tcW w:w="400" w:type="dxa"/>
            <w:vAlign w:val="bottom"/>
            <w:gridSpan w:val="3"/>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Gaeta</w:t>
            </w:r>
          </w:p>
        </w:tc>
        <w:tc>
          <w:tcPr>
            <w:tcW w:w="260" w:type="dxa"/>
            <w:vAlign w:val="bottom"/>
            <w:tcBorders>
              <w:top w:val="single" w:sz="8" w:color="auto"/>
            </w:tcBorders>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Ms. Surette</w:t>
            </w:r>
          </w:p>
        </w:tc>
        <w:tc>
          <w:tcPr>
            <w:tcW w:w="2980" w:type="dxa"/>
            <w:vAlign w:val="bottom"/>
            <w:gridSpan w:val="4"/>
          </w:tcPr>
          <w:p>
            <w:pPr>
              <w:ind w:left="940"/>
              <w:spacing w:after="0" w:line="12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155"/>
        </w:trPr>
        <w:tc>
          <w:tcPr>
            <w:tcW w:w="276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w:t>
            </w:r>
          </w:p>
        </w:tc>
        <w:tc>
          <w:tcPr>
            <w:tcW w:w="32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46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760" w:type="dxa"/>
            <w:vAlign w:val="bottom"/>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40" w:type="dxa"/>
            <w:vAlign w:val="bottom"/>
            <w:gridSpan w:val="3"/>
            <w:shd w:val="clear" w:color="auto" w:fill="CFF0FC"/>
          </w:tcPr>
          <w:p>
            <w:pPr>
              <w:ind w:left="40"/>
              <w:spacing w:after="0" w:line="137" w:lineRule="exact"/>
              <w:rPr>
                <w:sz w:val="20"/>
                <w:szCs w:val="20"/>
                <w:color w:val="auto"/>
              </w:rPr>
            </w:pPr>
            <w:r>
              <w:rPr>
                <w:rFonts w:ascii="Times New Roman" w:cs="Times New Roman" w:eastAsia="Times New Roman" w:hAnsi="Times New Roman"/>
                <w:sz w:val="14"/>
                <w:szCs w:val="14"/>
                <w:color w:val="auto"/>
              </w:rPr>
              <w:t>Sales (52-week</w:t>
            </w:r>
          </w:p>
        </w:tc>
        <w:tc>
          <w:tcPr>
            <w:tcW w:w="800" w:type="dxa"/>
            <w:vAlign w:val="bottom"/>
            <w:gridSpan w:val="2"/>
            <w:shd w:val="clear" w:color="auto" w:fill="CFF0FC"/>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shd w:val="clear" w:color="auto" w:fill="CFF0FC"/>
          </w:tcPr>
          <w:p>
            <w:pPr>
              <w:spacing w:after="0"/>
              <w:rPr>
                <w:sz w:val="11"/>
                <w:szCs w:val="11"/>
                <w:color w:val="auto"/>
              </w:rPr>
            </w:pPr>
          </w:p>
        </w:tc>
        <w:tc>
          <w:tcPr>
            <w:tcW w:w="740" w:type="dxa"/>
            <w:vAlign w:val="bottom"/>
            <w:gridSpan w:val="4"/>
            <w:shd w:val="clear" w:color="auto" w:fill="CFF0FC"/>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2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7" w:lineRule="exact"/>
              <w:rPr>
                <w:sz w:val="20"/>
                <w:szCs w:val="20"/>
                <w:color w:val="auto"/>
              </w:rPr>
            </w:pPr>
            <w:r>
              <w:rPr>
                <w:rFonts w:ascii="Times New Roman" w:cs="Times New Roman" w:eastAsia="Times New Roman" w:hAnsi="Times New Roman"/>
                <w:sz w:val="14"/>
                <w:szCs w:val="14"/>
                <w:color w:val="auto"/>
              </w:rPr>
              <w:t>20.0%</w:t>
            </w:r>
          </w:p>
        </w:tc>
        <w:tc>
          <w:tcPr>
            <w:tcW w:w="6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60"/>
              <w:spacing w:after="0" w:line="137"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0"/>
        </w:trPr>
        <w:tc>
          <w:tcPr>
            <w:tcW w:w="2760" w:type="dxa"/>
            <w:vAlign w:val="bottom"/>
            <w:gridSpan w:val="3"/>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1040" w:type="dxa"/>
            <w:vAlign w:val="bottom"/>
            <w:gridSpan w:val="3"/>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rPr>
              <w:t>year)</w:t>
            </w:r>
          </w:p>
        </w:tc>
        <w:tc>
          <w:tcPr>
            <w:tcW w:w="3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980" w:type="dxa"/>
            <w:vAlign w:val="bottom"/>
            <w:gridSpan w:val="4"/>
            <w:shd w:val="clear" w:color="auto" w:fill="CFF0FC"/>
          </w:tcPr>
          <w:p>
            <w:pPr>
              <w:ind w:left="60"/>
              <w:spacing w:after="0" w:line="151" w:lineRule="exact"/>
              <w:rPr>
                <w:sz w:val="20"/>
                <w:szCs w:val="20"/>
                <w:color w:val="auto"/>
              </w:rPr>
            </w:pPr>
            <w:r>
              <w:rPr>
                <w:rFonts w:ascii="Times New Roman" w:cs="Times New Roman" w:eastAsia="Times New Roman" w:hAnsi="Times New Roman"/>
                <w:sz w:val="14"/>
                <w:szCs w:val="14"/>
                <w:color w:val="auto"/>
              </w:rPr>
              <w:t>97.2% of target and 150% payout at 101.8%</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of target, with the exception of Mr. Kanter</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who is eligible for a maximum payout of</w:t>
            </w: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98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200% at 101.8% of target.</w:t>
            </w:r>
          </w:p>
        </w:tc>
        <w:tc>
          <w:tcPr>
            <w:tcW w:w="0" w:type="dxa"/>
            <w:vAlign w:val="bottom"/>
          </w:tcPr>
          <w:p>
            <w:pPr>
              <w:spacing w:after="0"/>
              <w:rPr>
                <w:sz w:val="1"/>
                <w:szCs w:val="1"/>
                <w:color w:val="auto"/>
              </w:rPr>
            </w:pPr>
          </w:p>
        </w:tc>
      </w:tr>
      <w:tr>
        <w:trPr>
          <w:trHeight w:val="147"/>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6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4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4"/>
                <w:szCs w:val="14"/>
                <w:color w:val="auto"/>
              </w:rPr>
              <w:t>Adjusted</w:t>
            </w:r>
          </w:p>
        </w:tc>
        <w:tc>
          <w:tcPr>
            <w:tcW w:w="800" w:type="dxa"/>
            <w:vAlign w:val="bottom"/>
            <w:gridSpan w:val="2"/>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tcPr>
          <w:p>
            <w:pPr>
              <w:spacing w:after="0"/>
              <w:rPr>
                <w:sz w:val="11"/>
                <w:szCs w:val="11"/>
                <w:color w:val="auto"/>
              </w:rPr>
            </w:pPr>
          </w:p>
        </w:tc>
        <w:tc>
          <w:tcPr>
            <w:tcW w:w="740" w:type="dxa"/>
            <w:vAlign w:val="bottom"/>
            <w:gridSpan w:val="4"/>
          </w:tcPr>
          <w:p>
            <w:pPr>
              <w:jc w:val="center"/>
              <w:ind w:left="26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260" w:type="dxa"/>
            <w:vAlign w:val="bottom"/>
          </w:tcPr>
          <w:p>
            <w:pPr>
              <w:spacing w:after="0"/>
              <w:rPr>
                <w:sz w:val="11"/>
                <w:szCs w:val="11"/>
                <w:color w:val="auto"/>
              </w:rPr>
            </w:pPr>
          </w:p>
        </w:tc>
        <w:tc>
          <w:tcPr>
            <w:tcW w:w="840" w:type="dxa"/>
            <w:vAlign w:val="bottom"/>
            <w:gridSpan w:val="2"/>
          </w:tcPr>
          <w:p>
            <w:pPr>
              <w:jc w:val="center"/>
              <w:ind w:left="48"/>
              <w:spacing w:after="0" w:line="137" w:lineRule="exact"/>
              <w:rPr>
                <w:sz w:val="20"/>
                <w:szCs w:val="20"/>
                <w:color w:val="auto"/>
              </w:rPr>
            </w:pPr>
            <w:r>
              <w:rPr>
                <w:rFonts w:ascii="Times New Roman" w:cs="Times New Roman" w:eastAsia="Times New Roman" w:hAnsi="Times New Roman"/>
                <w:sz w:val="14"/>
                <w:szCs w:val="14"/>
                <w:color w:val="auto"/>
                <w:w w:val="99"/>
              </w:rPr>
              <w:t>20.0%</w:t>
            </w:r>
          </w:p>
        </w:tc>
        <w:tc>
          <w:tcPr>
            <w:tcW w:w="60" w:type="dxa"/>
            <w:vAlign w:val="bottom"/>
          </w:tcPr>
          <w:p>
            <w:pPr>
              <w:spacing w:after="0"/>
              <w:rPr>
                <w:sz w:val="11"/>
                <w:szCs w:val="11"/>
                <w:color w:val="auto"/>
              </w:rPr>
            </w:pPr>
          </w:p>
        </w:tc>
        <w:tc>
          <w:tcPr>
            <w:tcW w:w="2980" w:type="dxa"/>
            <w:vAlign w:val="bottom"/>
            <w:gridSpan w:val="4"/>
          </w:tcPr>
          <w:p>
            <w:pPr>
              <w:ind w:left="60"/>
              <w:spacing w:after="0" w:line="137"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0"/>
        </w:trPr>
        <w:tc>
          <w:tcPr>
            <w:tcW w:w="276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0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rPr>
              <w:t>EBITDA</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4"/>
          </w:tcPr>
          <w:p>
            <w:pPr>
              <w:ind w:left="60"/>
              <w:spacing w:after="0" w:line="151" w:lineRule="exact"/>
              <w:rPr>
                <w:sz w:val="20"/>
                <w:szCs w:val="20"/>
                <w:color w:val="auto"/>
              </w:rPr>
            </w:pPr>
            <w:r>
              <w:rPr>
                <w:rFonts w:ascii="Times New Roman" w:cs="Times New Roman" w:eastAsia="Times New Roman" w:hAnsi="Times New Roman"/>
                <w:sz w:val="14"/>
                <w:szCs w:val="14"/>
                <w:color w:val="auto"/>
              </w:rPr>
              <w:t>86.5% of target and 150% payout at 108.1%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 200% at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108.1% of target.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6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Departmental Goals, if applicable</w:t>
            </w:r>
          </w:p>
        </w:tc>
        <w:tc>
          <w:tcPr>
            <w:tcW w:w="1040" w:type="dxa"/>
            <w:vAlign w:val="bottom"/>
            <w:gridSpan w:val="3"/>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Store</w:t>
            </w:r>
          </w:p>
        </w:tc>
        <w:tc>
          <w:tcPr>
            <w:tcW w:w="800" w:type="dxa"/>
            <w:vAlign w:val="bottom"/>
            <w:gridSpan w:val="2"/>
            <w:shd w:val="clear" w:color="auto" w:fill="CFF0FC"/>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740" w:type="dxa"/>
            <w:vAlign w:val="bottom"/>
            <w:gridSpan w:val="4"/>
            <w:shd w:val="clear" w:color="auto" w:fill="CFF0FC"/>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39" w:lineRule="exact"/>
              <w:rPr>
                <w:sz w:val="20"/>
                <w:szCs w:val="20"/>
                <w:color w:val="auto"/>
              </w:rPr>
            </w:pPr>
            <w:r>
              <w:rPr>
                <w:rFonts w:ascii="Times New Roman" w:cs="Times New Roman" w:eastAsia="Times New Roman" w:hAnsi="Times New Roman"/>
                <w:sz w:val="14"/>
                <w:szCs w:val="14"/>
                <w:color w:val="auto"/>
              </w:rPr>
              <w:t>Includes payroll as a percentage of sales target,</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Operations</w:t>
            </w: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promoter score target and store conversion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target.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Merchandise,</w:t>
            </w:r>
          </w:p>
        </w:tc>
        <w:tc>
          <w:tcPr>
            <w:tcW w:w="800" w:type="dxa"/>
            <w:vAlign w:val="bottom"/>
            <w:gridSpan w:val="2"/>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80" w:type="dxa"/>
            <w:vAlign w:val="bottom"/>
            <w:gridSpan w:val="2"/>
          </w:tcPr>
          <w:p>
            <w:pPr>
              <w:jc w:val="center"/>
              <w:ind w:left="328"/>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60" w:type="dxa"/>
            <w:vAlign w:val="bottom"/>
          </w:tcPr>
          <w:p>
            <w:pPr>
              <w:spacing w:after="0"/>
              <w:rPr>
                <w:sz w:val="12"/>
                <w:szCs w:val="12"/>
                <w:color w:val="auto"/>
              </w:rPr>
            </w:pPr>
          </w:p>
        </w:tc>
        <w:tc>
          <w:tcPr>
            <w:tcW w:w="28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Includes targets for sales by category, gross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Planning and</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margin rates by category, inventory turnover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Allocation</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and store conversion target.</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39" w:lineRule="exact"/>
              <w:rPr>
                <w:sz w:val="20"/>
                <w:szCs w:val="20"/>
                <w:color w:val="auto"/>
              </w:rPr>
            </w:pPr>
            <w:r>
              <w:rPr>
                <w:rFonts w:ascii="Times New Roman" w:cs="Times New Roman" w:eastAsia="Times New Roman" w:hAnsi="Times New Roman"/>
                <w:sz w:val="14"/>
                <w:szCs w:val="14"/>
                <w:color w:val="auto"/>
              </w:rPr>
              <w:t>Departmental goals payouts range from 50% to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150% dependent upon achievement of the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various targets.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900" w:type="dxa"/>
            <w:vAlign w:val="bottom"/>
            <w:gridSpan w:val="1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TIER II - Company's Financial Performance Measured Against the Company's 2024 Peers</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6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Corporate - Target 1</w:t>
            </w:r>
          </w:p>
        </w:tc>
        <w:tc>
          <w:tcPr>
            <w:tcW w:w="1040" w:type="dxa"/>
            <w:vAlign w:val="bottom"/>
            <w:gridSpan w:val="3"/>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Comparable</w:t>
            </w:r>
          </w:p>
        </w:tc>
        <w:tc>
          <w:tcPr>
            <w:tcW w:w="800" w:type="dxa"/>
            <w:vAlign w:val="bottom"/>
            <w:gridSpan w:val="2"/>
            <w:shd w:val="clear" w:color="auto" w:fill="CFF0FC"/>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shd w:val="clear" w:color="auto" w:fill="CFF0FC"/>
          </w:tcPr>
          <w:p>
            <w:pPr>
              <w:spacing w:after="0"/>
              <w:rPr>
                <w:sz w:val="12"/>
                <w:szCs w:val="12"/>
                <w:color w:val="auto"/>
              </w:rPr>
            </w:pPr>
          </w:p>
        </w:tc>
        <w:tc>
          <w:tcPr>
            <w:tcW w:w="740" w:type="dxa"/>
            <w:vAlign w:val="bottom"/>
            <w:gridSpan w:val="4"/>
            <w:shd w:val="clear" w:color="auto" w:fill="CFF0FC"/>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6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60"/>
              <w:spacing w:after="0" w:line="139" w:lineRule="exact"/>
              <w:rPr>
                <w:sz w:val="20"/>
                <w:szCs w:val="20"/>
                <w:color w:val="auto"/>
              </w:rPr>
            </w:pPr>
            <w:r>
              <w:rPr>
                <w:rFonts w:ascii="Times New Roman" w:cs="Times New Roman" w:eastAsia="Times New Roman" w:hAnsi="Times New Roman"/>
                <w:sz w:val="14"/>
                <w:szCs w:val="14"/>
                <w:color w:val="auto"/>
              </w:rPr>
              <w:t>Top Quartile 100%; 2nd Quartile 75%; 3rd</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4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Sales</w:t>
            </w: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Quartile 50%; 4th Quartile no payout.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Corporate - Target 2</w:t>
            </w:r>
          </w:p>
        </w:tc>
        <w:tc>
          <w:tcPr>
            <w:tcW w:w="104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color w:val="auto"/>
              </w:rPr>
              <w:t>Adjusted</w:t>
            </w:r>
          </w:p>
        </w:tc>
        <w:tc>
          <w:tcPr>
            <w:tcW w:w="800" w:type="dxa"/>
            <w:vAlign w:val="bottom"/>
            <w:gridSpan w:val="2"/>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tcPr>
          <w:p>
            <w:pPr>
              <w:spacing w:after="0"/>
              <w:rPr>
                <w:sz w:val="12"/>
                <w:szCs w:val="12"/>
                <w:color w:val="auto"/>
              </w:rPr>
            </w:pPr>
          </w:p>
        </w:tc>
        <w:tc>
          <w:tcPr>
            <w:tcW w:w="740" w:type="dxa"/>
            <w:vAlign w:val="bottom"/>
            <w:gridSpan w:val="4"/>
          </w:tcPr>
          <w:p>
            <w:pPr>
              <w:jc w:val="center"/>
              <w:ind w:left="26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260" w:type="dxa"/>
            <w:vAlign w:val="bottom"/>
          </w:tcPr>
          <w:p>
            <w:pPr>
              <w:spacing w:after="0"/>
              <w:rPr>
                <w:sz w:val="12"/>
                <w:szCs w:val="12"/>
                <w:color w:val="auto"/>
              </w:rPr>
            </w:pPr>
          </w:p>
        </w:tc>
        <w:tc>
          <w:tcPr>
            <w:tcW w:w="8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40.0%</w:t>
            </w:r>
          </w:p>
        </w:tc>
        <w:tc>
          <w:tcPr>
            <w:tcW w:w="60" w:type="dxa"/>
            <w:vAlign w:val="bottom"/>
          </w:tcPr>
          <w:p>
            <w:pPr>
              <w:spacing w:after="0"/>
              <w:rPr>
                <w:sz w:val="12"/>
                <w:szCs w:val="12"/>
                <w:color w:val="auto"/>
              </w:rPr>
            </w:pPr>
          </w:p>
        </w:tc>
        <w:tc>
          <w:tcPr>
            <w:tcW w:w="28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Top Quartile 100%; 2nd Quartile 75%; 3rd</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Quartile 50%; 4th Quartile no payout.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Margin</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60" w:top="1090" w:right="379"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678815</wp:posOffset>
            </wp:positionH>
            <wp:positionV relativeFrom="page">
              <wp:posOffset>636905</wp:posOffset>
            </wp:positionV>
            <wp:extent cx="613092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30925" cy="222885"/>
                    </a:xfrm>
                    <a:prstGeom prst="rect">
                      <a:avLst/>
                    </a:prstGeom>
                    <a:noFill/>
                  </pic:spPr>
                </pic:pic>
              </a:graphicData>
            </a:graphic>
          </wp:anchor>
        </w:drawing>
        <w:t>INDIVIDUAL PERFORMANCE</w:t>
      </w:r>
    </w:p>
    <w:p>
      <w:pPr>
        <w:spacing w:after="0" w:line="17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Targets</w:t>
            </w:r>
          </w:p>
        </w:tc>
        <w:tc>
          <w:tcPr>
            <w:tcW w:w="19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Discretionary-</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20.0%</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20.0%</w:t>
            </w:r>
          </w:p>
        </w:tc>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Discretionary, at target, based upon individual</w:t>
            </w:r>
          </w:p>
        </w:tc>
      </w:tr>
      <w:tr>
        <w:trPr>
          <w:trHeight w:val="148"/>
        </w:trPr>
        <w:tc>
          <w:tcPr>
            <w:tcW w:w="1960" w:type="dxa"/>
            <w:vAlign w:val="bottom"/>
          </w:tcPr>
          <w:p>
            <w:pPr>
              <w:spacing w:after="0"/>
              <w:rPr>
                <w:sz w:val="12"/>
                <w:szCs w:val="12"/>
                <w:color w:val="auto"/>
              </w:rPr>
            </w:pPr>
          </w:p>
        </w:tc>
        <w:tc>
          <w:tcPr>
            <w:tcW w:w="19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performance, as evaluated by the CEO (except</w:t>
            </w:r>
          </w:p>
        </w:tc>
      </w:tr>
      <w:tr>
        <w:trPr>
          <w:trHeight w:val="148"/>
        </w:trPr>
        <w:tc>
          <w:tcPr>
            <w:tcW w:w="19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with respect to the CEO whose individual</w:t>
            </w:r>
          </w:p>
        </w:tc>
      </w:tr>
      <w:tr>
        <w:trPr>
          <w:trHeight w:val="148"/>
        </w:trPr>
        <w:tc>
          <w:tcPr>
            <w:tcW w:w="19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performance will be evaluated by the</w:t>
            </w:r>
          </w:p>
        </w:tc>
      </w:tr>
      <w:tr>
        <w:trPr>
          <w:trHeight w:val="164"/>
        </w:trPr>
        <w:tc>
          <w:tcPr>
            <w:tcW w:w="1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 Committee). Participants 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-474345</wp:posOffset>
            </wp:positionV>
            <wp:extent cx="6130925" cy="864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0925" cy="864870"/>
                    </a:xfrm>
                    <a:prstGeom prst="rect">
                      <a:avLst/>
                    </a:prstGeom>
                    <a:noFill/>
                  </pic:spPr>
                </pic:pic>
              </a:graphicData>
            </a:graphic>
          </wp:anchor>
        </w:drawing>
      </w:r>
    </w:p>
    <w:p>
      <w:pPr>
        <w:ind w:left="760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600"/>
        <w:spacing w:after="0" w:line="221" w:lineRule="auto"/>
        <w:rPr>
          <w:sz w:val="20"/>
          <w:szCs w:val="20"/>
          <w:color w:val="auto"/>
        </w:rPr>
      </w:pPr>
      <w:r>
        <w:rPr>
          <w:rFonts w:ascii="Times New Roman" w:cs="Times New Roman" w:eastAsia="Times New Roman" w:hAnsi="Times New Roman"/>
          <w:sz w:val="14"/>
          <w:szCs w:val="14"/>
          <w:color w:val="auto"/>
        </w:rPr>
        <w:t>30%, with the exception of Mr. Kanter who is</w:t>
      </w:r>
    </w:p>
    <w:p>
      <w:pPr>
        <w:ind w:left="760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600"/>
        <w:spacing w:after="0"/>
        <w:rPr>
          <w:sz w:val="20"/>
          <w:szCs w:val="20"/>
          <w:color w:val="auto"/>
        </w:rPr>
      </w:pPr>
      <w:r>
        <w:rPr>
          <w:rFonts w:ascii="Times New Roman" w:cs="Times New Roman" w:eastAsia="Times New Roman" w:hAnsi="Times New Roman"/>
          <w:sz w:val="14"/>
          <w:szCs w:val="14"/>
          <w:color w:val="auto"/>
        </w:rPr>
        <w:t>40%.</w:t>
      </w:r>
    </w:p>
    <w:p>
      <w:pPr>
        <w:spacing w:after="0" w:line="200" w:lineRule="exact"/>
        <w:rPr>
          <w:sz w:val="20"/>
          <w:szCs w:val="20"/>
          <w:color w:val="auto"/>
        </w:rPr>
      </w:pPr>
    </w:p>
    <w:p>
      <w:pPr>
        <w:spacing w:after="0" w:line="396"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8"/>
          <w:szCs w:val="18"/>
          <w:color w:val="auto"/>
        </w:rPr>
        <w:t>The above targets for each metric in TIER I were derived from the Company’s annual operating plan and budget for the 2024 fiscal year, and are intended to be achievable, with an approximate 50% probability of achievement. The likelihood of achieving the 2024 targets reflects the challenges inherent in achieving the goals and objectives of an ambitious operating plan, given the continuing uncertainty with respect to the economy, higher costs, and consumer discretionary spending. The Compensation Committee's adoption of the TIER II plan is to ensure that all participants in the AIP will be motivated in fiscal 2024.</w:t>
      </w:r>
    </w:p>
    <w:p>
      <w:pPr>
        <w:spacing w:after="0" w:line="182" w:lineRule="exact"/>
        <w:rPr>
          <w:sz w:val="20"/>
          <w:szCs w:val="20"/>
          <w:color w:val="auto"/>
        </w:rPr>
      </w:pPr>
    </w:p>
    <w:p>
      <w:pPr>
        <w:ind w:left="760" w:right="300"/>
        <w:spacing w:after="0" w:line="281" w:lineRule="auto"/>
        <w:rPr>
          <w:sz w:val="20"/>
          <w:szCs w:val="20"/>
          <w:color w:val="auto"/>
        </w:rPr>
      </w:pPr>
      <w:r>
        <w:rPr>
          <w:rFonts w:ascii="Times New Roman" w:cs="Times New Roman" w:eastAsia="Times New Roman" w:hAnsi="Times New Roman"/>
          <w:sz w:val="18"/>
          <w:szCs w:val="18"/>
          <w:color w:val="auto"/>
        </w:rPr>
        <w:t>For fiscal 2024, Mr. Kanter will continue to participate at 100% of his salary, Mr. Stratton will continue to participate at 60% of his salary, and Messrs. Molloy and Gaeta and Ms. Surette will continue to participate at 50% of their respective salaries.</w:t>
      </w:r>
    </w:p>
    <w:p>
      <w:pPr>
        <w:spacing w:after="0" w:line="161" w:lineRule="exact"/>
        <w:rPr>
          <w:sz w:val="20"/>
          <w:szCs w:val="20"/>
          <w:color w:val="auto"/>
        </w:rPr>
      </w:pPr>
    </w:p>
    <w:p>
      <w:pPr>
        <w:ind w:left="780" w:hanging="264"/>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 (LTIP)</w:t>
      </w:r>
    </w:p>
    <w:p>
      <w:pPr>
        <w:spacing w:after="0" w:line="118" w:lineRule="exact"/>
        <w:rPr>
          <w:rFonts w:ascii="Times New Roman" w:cs="Times New Roman" w:eastAsia="Times New Roman" w:hAnsi="Times New Roman"/>
          <w:sz w:val="18"/>
          <w:szCs w:val="18"/>
          <w:color w:val="auto"/>
        </w:rPr>
      </w:pPr>
    </w:p>
    <w:p>
      <w:pPr>
        <w:ind w:left="76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long-term incentive plan is designed to ensure that the interests of our executives are aligned with those of our stockholders to create sustainable shareholder value and to promote executive retention. Awards under the LTIP consist of a combination of time-based and performance-based awards for which payouts may consist of cash or equity or a combination of both. The performance-based portion of the LTIP is based on financial metric(s) measured over a three-year performance cycle. All equity awards granted under the LTIP are issued from the Company’s stockholder-approved 2016 Incentive Compensation Plan, as amended (the “2016 Plan”). Participants in the LTIP are eligible to receive awards based on their “Target Cash Value,” which is defined as the participant’s annual base salary multiplied by his or her LTIP percentage. Under each LTIP, 50% of each participant’s Target Cash Value is subject to time-based vesting and 50% is subject to performance-based vesting.</w:t>
      </w:r>
    </w:p>
    <w:p>
      <w:pPr>
        <w:spacing w:after="0" w:line="81" w:lineRule="exact"/>
        <w:rPr>
          <w:rFonts w:ascii="Times New Roman" w:cs="Times New Roman" w:eastAsia="Times New Roman" w:hAnsi="Times New Roman"/>
          <w:sz w:val="18"/>
          <w:szCs w:val="18"/>
          <w:color w:val="auto"/>
        </w:rPr>
      </w:pPr>
    </w:p>
    <w:p>
      <w:pPr>
        <w:ind w:left="760" w:right="12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beginning with the 2022-2024 LTIP, the LTIPs include a Structured Retirement provision, which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the participant must terminate employment after meeting the age and service requirements set forth in the LTIP; the Compensation Committee must confirm through proper corporate action that the participant has met all of the succession planning objectives set by the Compensation Committee for the participant; the participant must continue to work until the date required by the Compensation Committee (which may not be more than 60 days after the Compensation Committee confirms that the objectives have been met); and the participant must execute a release of claims in favor of the Company. The final determination as to whether the requirements of a Structured Retirement have been met is in the sole discretion of the Compensation Committee. </w:t>
      </w:r>
      <w:r>
        <w:rPr>
          <w:rFonts w:ascii="Times New Roman" w:cs="Times New Roman" w:eastAsia="Times New Roman" w:hAnsi="Times New Roman"/>
          <w:sz w:val="18"/>
          <w:szCs w:val="18"/>
          <w:i w:val="1"/>
          <w:iCs w:val="1"/>
          <w:u w:val="single" w:color="auto"/>
          <w:color w:val="auto"/>
        </w:rPr>
        <w:t>2021-2023 LTIP</w:t>
      </w:r>
    </w:p>
    <w:p>
      <w:pPr>
        <w:spacing w:after="0" w:line="69" w:lineRule="exact"/>
        <w:rPr>
          <w:rFonts w:ascii="Times New Roman" w:cs="Times New Roman" w:eastAsia="Times New Roman" w:hAnsi="Times New Roman"/>
          <w:sz w:val="18"/>
          <w:szCs w:val="18"/>
          <w:color w:val="auto"/>
        </w:rPr>
      </w:pPr>
    </w:p>
    <w:p>
      <w:pPr>
        <w:ind w:left="760"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Company’s 2021-2023 LTIP ended on February 3, 2024. The time-based awards under the 2021-2023 LTIP were granted in a combination of 25% stock options and 75% cash that vested over four years, with the last tranche vesting on April 1, 2025.</w:t>
      </w:r>
    </w:p>
    <w:p>
      <w:pPr>
        <w:spacing w:after="0" w:line="54" w:lineRule="exact"/>
        <w:rPr>
          <w:rFonts w:ascii="Times New Roman" w:cs="Times New Roman" w:eastAsia="Times New Roman" w:hAnsi="Times New Roman"/>
          <w:sz w:val="18"/>
          <w:szCs w:val="18"/>
          <w:color w:val="auto"/>
        </w:rPr>
      </w:pPr>
    </w:p>
    <w:p>
      <w:pPr>
        <w:ind w:left="760" w:right="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target, established by the Compensation Committee on March 8, 2021, was a three-year relative TSR as compared to the Company’s 2021 peer group, and the actual performance achieved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ind w:left="980"/>
              <w:spacing w:after="0"/>
              <w:rPr>
                <w:sz w:val="20"/>
                <w:szCs w:val="20"/>
                <w:color w:val="auto"/>
              </w:rPr>
            </w:pPr>
            <w:r>
              <w:rPr>
                <w:rFonts w:ascii="Times New Roman" w:cs="Times New Roman" w:eastAsia="Times New Roman" w:hAnsi="Times New Roman"/>
                <w:sz w:val="18"/>
                <w:szCs w:val="18"/>
                <w:i w:val="1"/>
                <w:iCs w:val="1"/>
                <w:color w:val="auto"/>
              </w:rPr>
              <w:t>2021-2023 LTIP Performance Period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35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Metric</w:t>
            </w:r>
          </w:p>
        </w:tc>
        <w:tc>
          <w:tcPr>
            <w:tcW w:w="120" w:type="dxa"/>
            <w:vAlign w:val="bottom"/>
          </w:tcPr>
          <w:p>
            <w:pPr>
              <w:spacing w:after="0"/>
              <w:rPr>
                <w:sz w:val="24"/>
                <w:szCs w:val="24"/>
                <w:color w:val="auto"/>
              </w:rPr>
            </w:pPr>
          </w:p>
        </w:tc>
        <w:tc>
          <w:tcPr>
            <w:tcW w:w="44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Potential Payout</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Actual</w:t>
            </w:r>
          </w:p>
        </w:tc>
        <w:tc>
          <w:tcPr>
            <w:tcW w:w="100" w:type="dxa"/>
            <w:vAlign w:val="bottom"/>
          </w:tcPr>
          <w:p>
            <w:pPr>
              <w:spacing w:after="0"/>
              <w:rPr>
                <w:sz w:val="24"/>
                <w:szCs w:val="24"/>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Payout %</w:t>
            </w:r>
          </w:p>
        </w:tc>
        <w:tc>
          <w:tcPr>
            <w:tcW w:w="0" w:type="dxa"/>
            <w:vAlign w:val="bottom"/>
          </w:tcPr>
          <w:p>
            <w:pPr>
              <w:spacing w:after="0"/>
              <w:rPr>
                <w:sz w:val="1"/>
                <w:szCs w:val="1"/>
                <w:color w:val="auto"/>
              </w:rPr>
            </w:pPr>
          </w:p>
        </w:tc>
      </w:tr>
      <w:tr>
        <w:trPr>
          <w:trHeight w:val="175"/>
        </w:trPr>
        <w:tc>
          <w:tcPr>
            <w:tcW w:w="354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3-yr. relative total shareholder return as compared to</w:t>
            </w:r>
          </w:p>
        </w:tc>
        <w:tc>
          <w:tcPr>
            <w:tcW w:w="120" w:type="dxa"/>
            <w:vAlign w:val="bottom"/>
          </w:tcPr>
          <w:p>
            <w:pPr>
              <w:spacing w:after="0"/>
              <w:rPr>
                <w:sz w:val="15"/>
                <w:szCs w:val="15"/>
                <w:color w:val="auto"/>
              </w:rPr>
            </w:pPr>
          </w:p>
        </w:tc>
        <w:tc>
          <w:tcPr>
            <w:tcW w:w="442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100% payout at target (2nd quartile), with 50% payout (3rd</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1st</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2021 disclosed proxy peers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quartile) and 150% payout (1st quartile). No payout in the 4th</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quartile.</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2nd quartile</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quartile</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553"/>
        </w:trPr>
        <w:tc>
          <w:tcPr>
            <w:tcW w:w="3540" w:type="dxa"/>
            <w:vAlign w:val="bottom"/>
          </w:tcPr>
          <w:p>
            <w:pPr>
              <w:spacing w:after="0"/>
              <w:rPr>
                <w:sz w:val="24"/>
                <w:szCs w:val="24"/>
                <w:color w:val="auto"/>
              </w:rPr>
            </w:pPr>
          </w:p>
        </w:tc>
        <w:tc>
          <w:tcPr>
            <w:tcW w:w="4540" w:type="dxa"/>
            <w:vAlign w:val="bottom"/>
            <w:gridSpan w:val="2"/>
          </w:tcPr>
          <w:p>
            <w:pPr>
              <w:jc w:val="right"/>
              <w:ind w:right="2276"/>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-1240790</wp:posOffset>
            </wp:positionV>
            <wp:extent cx="7132320" cy="402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67" w:right="279" w:bottom="1440" w:gutter="0" w:footer="0" w:header="0"/>
        </w:sectPr>
      </w:pPr>
    </w:p>
    <w:bookmarkStart w:id="23" w:name="page24"/>
    <w:bookmarkEnd w:id="23"/>
    <w:p>
      <w:pPr>
        <w:ind w:left="760" w:hanging="3"/>
        <w:spacing w:after="0" w:line="258" w:lineRule="auto"/>
        <w:tabs>
          <w:tab w:leader="none" w:pos="98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2021 disclosed proxy peers, the three-year relative total shareholder return was calculated as the percentage change in the 30-day trailing volume-weighted average closing stock price at January 29, 2021 and February 2, 2024, adjusted for any dividends paid.</w:t>
      </w:r>
    </w:p>
    <w:p>
      <w:pPr>
        <w:spacing w:after="0" w:line="63" w:lineRule="exact"/>
        <w:rPr>
          <w:sz w:val="20"/>
          <w:szCs w:val="20"/>
          <w:color w:val="auto"/>
        </w:rPr>
      </w:pPr>
    </w:p>
    <w:p>
      <w:pPr>
        <w:jc w:val="both"/>
        <w:ind w:left="760"/>
        <w:spacing w:after="0" w:line="260" w:lineRule="auto"/>
        <w:rPr>
          <w:sz w:val="20"/>
          <w:szCs w:val="20"/>
          <w:color w:val="auto"/>
        </w:rPr>
      </w:pPr>
      <w:r>
        <w:rPr>
          <w:rFonts w:ascii="Times New Roman" w:cs="Times New Roman" w:eastAsia="Times New Roman" w:hAnsi="Times New Roman"/>
          <w:sz w:val="18"/>
          <w:szCs w:val="18"/>
          <w:color w:val="auto"/>
        </w:rPr>
        <w:t>Based on the above achievement, subsequent to the end of fiscal 2023, the Compensation Committee approved a performance award, with an effective grant date of April 1, 2024, totaling $3.0 million, to be payable in cash, subject to further vesting through August 31, 2024. In an effort to preserve share availability under the 2016 Plan, given the low stock price, the Compensation Committee believed the use of cash awards was more prudent than awarding shares.</w:t>
      </w:r>
    </w:p>
    <w:p>
      <w:pPr>
        <w:spacing w:after="0" w:line="74" w:lineRule="exact"/>
        <w:rPr>
          <w:sz w:val="20"/>
          <w:szCs w:val="20"/>
          <w:color w:val="auto"/>
        </w:rPr>
      </w:pPr>
    </w:p>
    <w:p>
      <w:pPr>
        <w:jc w:val="both"/>
        <w:ind w:left="760"/>
        <w:spacing w:after="0" w:line="265" w:lineRule="auto"/>
        <w:rPr>
          <w:sz w:val="20"/>
          <w:szCs w:val="20"/>
          <w:color w:val="auto"/>
        </w:rPr>
      </w:pPr>
      <w:r>
        <w:rPr>
          <w:rFonts w:ascii="Times New Roman" w:cs="Times New Roman" w:eastAsia="Times New Roman" w:hAnsi="Times New Roman"/>
          <w:sz w:val="18"/>
          <w:szCs w:val="18"/>
          <w:color w:val="auto"/>
        </w:rPr>
        <w:t>Approximately $1.6 million of the $3.0 million of the 2021-2023 LTIP cash award was earned by the Named Executive Officers. The following is a summary of the cash awards granted to our Named Executive Officers on April 1, 2024 as a result of achieving the performance metrics under the 2021-2023 LTIP: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40" w:type="dxa"/>
            <w:vAlign w:val="bottom"/>
          </w:tcPr>
          <w:p>
            <w:pPr>
              <w:ind w:left="37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0" w:type="dxa"/>
            <w:vAlign w:val="bottom"/>
          </w:tcPr>
          <w:p>
            <w:pPr>
              <w:spacing w:after="0"/>
              <w:rPr>
                <w:sz w:val="15"/>
                <w:szCs w:val="15"/>
                <w:color w:val="auto"/>
              </w:rPr>
            </w:pPr>
          </w:p>
        </w:tc>
        <w:tc>
          <w:tcPr>
            <w:tcW w:w="30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Total Performance-Based Cash Award</w:t>
            </w:r>
          </w:p>
        </w:tc>
      </w:tr>
      <w:tr>
        <w:trPr>
          <w:trHeight w:val="243"/>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937,125</w:t>
            </w: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207,375</w:t>
            </w: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154,875</w:t>
            </w: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196,875</w:t>
            </w: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2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149,625</w:t>
            </w:r>
          </w:p>
        </w:tc>
      </w:tr>
    </w:tbl>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2022-2024 LTIP and 2023-2025 LTIP</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the 2022-2024 LTIP and 2023-2025 LTIP in effect, but not completed, during fiscal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LTIPs</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2022-2024</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2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2023-2025</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FF0FC"/>
          </w:tcPr>
          <w:p>
            <w:pPr>
              <w:spacing w:after="0"/>
              <w:rPr>
                <w:sz w:val="19"/>
                <w:szCs w:val="19"/>
                <w:color w:val="auto"/>
              </w:rPr>
            </w:pPr>
          </w:p>
        </w:tc>
        <w:tc>
          <w:tcPr>
            <w:tcW w:w="3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date</w:t>
            </w:r>
          </w:p>
        </w:tc>
        <w:tc>
          <w:tcPr>
            <w:tcW w:w="22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380" w:type="dxa"/>
            <w:vAlign w:val="bottom"/>
            <w:tcBorders>
              <w:top w:val="single" w:sz="8" w:color="auto"/>
            </w:tcBorders>
            <w:gridSpan w:val="6"/>
            <w:shd w:val="clear" w:color="auto" w:fill="CFF0FC"/>
          </w:tcPr>
          <w:p>
            <w:pPr>
              <w:jc w:val="center"/>
              <w:ind w:right="1440"/>
              <w:spacing w:after="0"/>
              <w:rPr>
                <w:sz w:val="20"/>
                <w:szCs w:val="20"/>
                <w:color w:val="auto"/>
              </w:rPr>
            </w:pPr>
            <w:r>
              <w:rPr>
                <w:rFonts w:ascii="Times New Roman" w:cs="Times New Roman" w:eastAsia="Times New Roman" w:hAnsi="Times New Roman"/>
                <w:sz w:val="16"/>
                <w:szCs w:val="16"/>
                <w:color w:val="auto"/>
              </w:rPr>
              <w:t>April 9, 2022</w:t>
            </w:r>
          </w:p>
        </w:tc>
        <w:tc>
          <w:tcPr>
            <w:tcW w:w="24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460" w:type="dxa"/>
            <w:vAlign w:val="bottom"/>
            <w:tcBorders>
              <w:top w:val="single" w:sz="8" w:color="auto"/>
            </w:tcBorders>
            <w:gridSpan w:val="6"/>
            <w:shd w:val="clear" w:color="auto" w:fill="CFF0FC"/>
          </w:tcPr>
          <w:p>
            <w:pPr>
              <w:jc w:val="center"/>
              <w:ind w:right="1400"/>
              <w:spacing w:after="0"/>
              <w:rPr>
                <w:sz w:val="20"/>
                <w:szCs w:val="20"/>
                <w:color w:val="auto"/>
              </w:rPr>
            </w:pPr>
            <w:r>
              <w:rPr>
                <w:rFonts w:ascii="Times New Roman" w:cs="Times New Roman" w:eastAsia="Times New Roman" w:hAnsi="Times New Roman"/>
                <w:sz w:val="16"/>
                <w:szCs w:val="16"/>
                <w:color w:val="auto"/>
              </w:rPr>
              <w:t>May 1, 2023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8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color w:val="auto"/>
              </w:rPr>
              <w:t>3yrs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6"/>
          </w:tcPr>
          <w:p>
            <w:pPr>
              <w:jc w:val="center"/>
              <w:ind w:right="1380"/>
              <w:spacing w:after="0"/>
              <w:rPr>
                <w:sz w:val="20"/>
                <w:szCs w:val="20"/>
                <w:color w:val="auto"/>
              </w:rPr>
            </w:pPr>
            <w:r>
              <w:rPr>
                <w:rFonts w:ascii="Times New Roman" w:cs="Times New Roman" w:eastAsia="Times New Roman" w:hAnsi="Times New Roman"/>
                <w:sz w:val="16"/>
                <w:szCs w:val="16"/>
                <w:color w:val="auto"/>
              </w:rPr>
              <w:t>3yrs</w:t>
            </w: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End of Performance Period</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0" w:type="dxa"/>
            <w:vAlign w:val="bottom"/>
            <w:gridSpan w:val="8"/>
            <w:shd w:val="clear" w:color="auto" w:fill="CFF0FC"/>
          </w:tcPr>
          <w:p>
            <w:pPr>
              <w:jc w:val="center"/>
              <w:ind w:right="1220"/>
              <w:spacing w:after="0"/>
              <w:rPr>
                <w:sz w:val="20"/>
                <w:szCs w:val="20"/>
                <w:color w:val="auto"/>
              </w:rPr>
            </w:pPr>
            <w:r>
              <w:rPr>
                <w:rFonts w:ascii="Times New Roman" w:cs="Times New Roman" w:eastAsia="Times New Roman" w:hAnsi="Times New Roman"/>
                <w:sz w:val="16"/>
                <w:szCs w:val="16"/>
                <w:color w:val="auto"/>
              </w:rPr>
              <w:t>February 1, 2025</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20" w:type="dxa"/>
            <w:vAlign w:val="bottom"/>
            <w:gridSpan w:val="7"/>
            <w:shd w:val="clear" w:color="auto" w:fill="CFF0FC"/>
          </w:tcPr>
          <w:p>
            <w:pPr>
              <w:jc w:val="center"/>
              <w:ind w:right="1220"/>
              <w:spacing w:after="0"/>
              <w:rPr>
                <w:sz w:val="20"/>
                <w:szCs w:val="20"/>
                <w:color w:val="auto"/>
              </w:rPr>
            </w:pPr>
            <w:r>
              <w:rPr>
                <w:rFonts w:ascii="Times New Roman" w:cs="Times New Roman" w:eastAsia="Times New Roman" w:hAnsi="Times New Roman"/>
                <w:sz w:val="16"/>
                <w:szCs w:val="16"/>
                <w:color w:val="auto"/>
              </w:rPr>
              <w:t>January 31,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Target cash value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9"/>
          </w:tcPr>
          <w:p>
            <w:pPr>
              <w:jc w:val="center"/>
              <w:ind w:right="76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8"/>
          </w:tcPr>
          <w:p>
            <w:pPr>
              <w:jc w:val="center"/>
              <w:ind w:right="76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color w:val="auto"/>
                <w:w w:val="99"/>
              </w:rPr>
              <w:t>Time-Based</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Performance-Based</w:t>
            </w:r>
          </w:p>
        </w:tc>
        <w:tc>
          <w:tcPr>
            <w:tcW w:w="240" w:type="dxa"/>
            <w:vAlign w:val="bottom"/>
          </w:tcPr>
          <w:p>
            <w:pPr>
              <w:spacing w:after="0"/>
              <w:rPr>
                <w:sz w:val="16"/>
                <w:szCs w:val="16"/>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9"/>
              </w:rPr>
              <w:t>Time-Based</w:t>
            </w:r>
          </w:p>
        </w:tc>
        <w:tc>
          <w:tcPr>
            <w:tcW w:w="18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Performance-Based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Allocation of Target Cash Value</w:t>
            </w:r>
          </w:p>
        </w:tc>
        <w:tc>
          <w:tcPr>
            <w:tcW w:w="1420" w:type="dxa"/>
            <w:vAlign w:val="bottom"/>
            <w:gridSpan w:val="4"/>
            <w:shd w:val="clear" w:color="auto" w:fill="CFF0FC"/>
          </w:tcPr>
          <w:p>
            <w:pPr>
              <w:jc w:val="center"/>
              <w:ind w:left="87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center"/>
              <w:ind w:left="91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at effective date:</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RSUs, Cash or a</w:t>
            </w:r>
          </w:p>
        </w:tc>
        <w:tc>
          <w:tcPr>
            <w:tcW w:w="240" w:type="dxa"/>
            <w:vAlign w:val="bottom"/>
          </w:tcPr>
          <w:p>
            <w:pPr>
              <w:spacing w:after="0"/>
              <w:rPr>
                <w:sz w:val="17"/>
                <w:szCs w:val="17"/>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at effective date: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RSUs, Cash or 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 type</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rPr>
              <w:t>50% RSUs</w:t>
            </w:r>
          </w:p>
        </w:tc>
        <w:tc>
          <w:tcPr>
            <w:tcW w:w="480" w:type="dxa"/>
            <w:vAlign w:val="bottom"/>
          </w:tcPr>
          <w:p>
            <w:pPr>
              <w:spacing w:after="0"/>
              <w:rPr>
                <w:sz w:val="17"/>
                <w:szCs w:val="17"/>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combination thereof, when</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gridSpan w:val="4"/>
          </w:tcPr>
          <w:p>
            <w:pPr>
              <w:jc w:val="center"/>
              <w:ind w:right="539"/>
              <w:spacing w:after="0"/>
              <w:rPr>
                <w:sz w:val="20"/>
                <w:szCs w:val="20"/>
                <w:color w:val="auto"/>
              </w:rPr>
            </w:pPr>
            <w:r>
              <w:rPr>
                <w:rFonts w:ascii="Times New Roman" w:cs="Times New Roman" w:eastAsia="Times New Roman" w:hAnsi="Times New Roman"/>
                <w:sz w:val="16"/>
                <w:szCs w:val="16"/>
                <w:color w:val="auto"/>
              </w:rPr>
              <w:t>50% RSUs</w:t>
            </w: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combination thereof, when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color w:val="auto"/>
              </w:rPr>
              <w:t>50% Cash</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earned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4"/>
          </w:tcPr>
          <w:p>
            <w:pPr>
              <w:jc w:val="center"/>
              <w:ind w:right="519"/>
              <w:spacing w:after="0"/>
              <w:rPr>
                <w:sz w:val="20"/>
                <w:szCs w:val="20"/>
                <w:color w:val="auto"/>
              </w:rPr>
            </w:pPr>
            <w:r>
              <w:rPr>
                <w:rFonts w:ascii="Times New Roman" w:cs="Times New Roman" w:eastAsia="Times New Roman" w:hAnsi="Times New Roman"/>
                <w:sz w:val="16"/>
                <w:szCs w:val="16"/>
                <w:color w:val="auto"/>
              </w:rPr>
              <w:t>50% Cash</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earned</w:t>
            </w: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9, 2023</w:t>
            </w: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May 1, 2024</w:t>
            </w: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31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period</w:t>
            </w: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2024</w:t>
            </w:r>
          </w:p>
        </w:tc>
        <w:tc>
          <w:tcPr>
            <w:tcW w:w="48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April 1, 2025</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0" w:type="dxa"/>
            <w:vAlign w:val="bottom"/>
          </w:tcPr>
          <w:p>
            <w:pPr>
              <w:spacing w:after="0"/>
              <w:rPr>
                <w:sz w:val="1"/>
                <w:szCs w:val="1"/>
                <w:color w:val="auto"/>
              </w:rPr>
            </w:pPr>
          </w:p>
        </w:tc>
      </w:tr>
      <w:tr>
        <w:trPr>
          <w:trHeight w:val="102"/>
        </w:trPr>
        <w:tc>
          <w:tcPr>
            <w:tcW w:w="20" w:type="dxa"/>
            <w:vAlign w:val="bottom"/>
            <w:shd w:val="clear" w:color="auto" w:fill="CFF0FC"/>
          </w:tcPr>
          <w:p>
            <w:pPr>
              <w:spacing w:after="0"/>
              <w:rPr>
                <w:sz w:val="8"/>
                <w:szCs w:val="8"/>
                <w:color w:val="auto"/>
              </w:rPr>
            </w:pPr>
          </w:p>
        </w:tc>
        <w:tc>
          <w:tcPr>
            <w:tcW w:w="312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2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480" w:type="dxa"/>
            <w:vAlign w:val="bottom"/>
            <w:shd w:val="clear" w:color="auto" w:fill="CFF0FC"/>
          </w:tcPr>
          <w:p>
            <w:pPr>
              <w:spacing w:after="0"/>
              <w:rPr>
                <w:sz w:val="8"/>
                <w:szCs w:val="8"/>
                <w:color w:val="auto"/>
              </w:rPr>
            </w:pPr>
          </w:p>
        </w:tc>
        <w:tc>
          <w:tcPr>
            <w:tcW w:w="1900" w:type="dxa"/>
            <w:vAlign w:val="bottom"/>
            <w:gridSpan w:val="5"/>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240" w:type="dxa"/>
            <w:vAlign w:val="bottom"/>
            <w:shd w:val="clear" w:color="auto" w:fill="CFF0FC"/>
          </w:tcPr>
          <w:p>
            <w:pPr>
              <w:spacing w:after="0"/>
              <w:rPr>
                <w:sz w:val="8"/>
                <w:szCs w:val="8"/>
                <w:color w:val="auto"/>
              </w:rPr>
            </w:pPr>
          </w:p>
        </w:tc>
        <w:tc>
          <w:tcPr>
            <w:tcW w:w="1980" w:type="dxa"/>
            <w:vAlign w:val="bottom"/>
            <w:gridSpan w:val="5"/>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April 1, 2026</w:t>
            </w:r>
          </w:p>
        </w:tc>
        <w:tc>
          <w:tcPr>
            <w:tcW w:w="1860" w:type="dxa"/>
            <w:vAlign w:val="bottom"/>
            <w:gridSpan w:val="5"/>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0" w:type="dxa"/>
            <w:vAlign w:val="bottom"/>
          </w:tcPr>
          <w:p>
            <w:pPr>
              <w:spacing w:after="0"/>
              <w:rPr>
                <w:sz w:val="1"/>
                <w:szCs w:val="1"/>
                <w:color w:val="auto"/>
              </w:rPr>
            </w:pPr>
          </w:p>
        </w:tc>
      </w:tr>
      <w:tr>
        <w:trPr>
          <w:trHeight w:val="100"/>
        </w:trPr>
        <w:tc>
          <w:tcPr>
            <w:tcW w:w="20" w:type="dxa"/>
            <w:vAlign w:val="bottom"/>
            <w:shd w:val="clear" w:color="auto" w:fill="CFF0FC"/>
          </w:tcPr>
          <w:p>
            <w:pPr>
              <w:spacing w:after="0"/>
              <w:rPr>
                <w:sz w:val="8"/>
                <w:szCs w:val="8"/>
                <w:color w:val="auto"/>
              </w:rPr>
            </w:pPr>
          </w:p>
        </w:tc>
        <w:tc>
          <w:tcPr>
            <w:tcW w:w="1620" w:type="dxa"/>
            <w:vAlign w:val="bottom"/>
            <w:shd w:val="clear" w:color="auto" w:fill="CFF0FC"/>
          </w:tcPr>
          <w:p>
            <w:pPr>
              <w:spacing w:after="0"/>
              <w:rPr>
                <w:sz w:val="8"/>
                <w:szCs w:val="8"/>
                <w:color w:val="auto"/>
              </w:rPr>
            </w:pPr>
          </w:p>
        </w:tc>
        <w:tc>
          <w:tcPr>
            <w:tcW w:w="1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20" w:type="dxa"/>
            <w:vAlign w:val="bottom"/>
            <w:gridSpan w:val="5"/>
            <w:vMerge w:val="continue"/>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900" w:type="dxa"/>
            <w:vAlign w:val="bottom"/>
            <w:gridSpan w:val="5"/>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980" w:type="dxa"/>
            <w:vAlign w:val="bottom"/>
            <w:gridSpan w:val="5"/>
            <w:vMerge w:val="continue"/>
            <w:shd w:val="clear" w:color="auto" w:fill="CFF0FC"/>
          </w:tcPr>
          <w:p>
            <w:pPr>
              <w:spacing w:after="0"/>
              <w:rPr>
                <w:sz w:val="8"/>
                <w:szCs w:val="8"/>
                <w:color w:val="auto"/>
              </w:rPr>
            </w:pPr>
          </w:p>
        </w:tc>
        <w:tc>
          <w:tcPr>
            <w:tcW w:w="1860" w:type="dxa"/>
            <w:vAlign w:val="bottom"/>
            <w:gridSpan w:val="5"/>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480" w:type="dxa"/>
            <w:vAlign w:val="bottom"/>
            <w:shd w:val="clear" w:color="auto" w:fill="CFF0FC"/>
          </w:tcPr>
          <w:p>
            <w:pPr>
              <w:spacing w:after="0"/>
              <w:rPr>
                <w:sz w:val="19"/>
                <w:szCs w:val="19"/>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August 31, 2025</w:t>
            </w:r>
          </w:p>
        </w:tc>
        <w:tc>
          <w:tcPr>
            <w:tcW w:w="240" w:type="dxa"/>
            <w:vAlign w:val="bottom"/>
            <w:shd w:val="clear" w:color="auto" w:fill="CFF0FC"/>
          </w:tcPr>
          <w:p>
            <w:pPr>
              <w:spacing w:after="0"/>
              <w:rPr>
                <w:sz w:val="19"/>
                <w:szCs w:val="19"/>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April 1, 2027</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31, 2026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Targets (1):</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9"/>
              </w:rPr>
              <w:t>Target:</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Min/Max Payout:</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gridSpan w:val="4"/>
          </w:tcPr>
          <w:p>
            <w:pPr>
              <w:jc w:val="center"/>
              <w:ind w:right="519"/>
              <w:spacing w:after="0"/>
              <w:rPr>
                <w:sz w:val="20"/>
                <w:szCs w:val="20"/>
                <w:color w:val="auto"/>
              </w:rPr>
            </w:pPr>
            <w:r>
              <w:rPr>
                <w:rFonts w:ascii="Times New Roman" w:cs="Times New Roman" w:eastAsia="Times New Roman" w:hAnsi="Times New Roman"/>
                <w:sz w:val="16"/>
                <w:szCs w:val="16"/>
                <w:color w:val="auto"/>
                <w:w w:val="99"/>
              </w:rPr>
              <w:t>Target: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Min/Max Payout: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3-yr. relative total</w:t>
            </w:r>
          </w:p>
        </w:tc>
        <w:tc>
          <w:tcPr>
            <w:tcW w:w="48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100% payout at target (2nd</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3-yr. relative total shareholder</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 payout at target (2nd</w:t>
            </w: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 return as</w:t>
            </w:r>
          </w:p>
        </w:tc>
        <w:tc>
          <w:tcPr>
            <w:tcW w:w="48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quartile), with 50% payout</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as compared to 2023</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quartile), with 50% payout</w:t>
            </w: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2022 disclosed</w:t>
            </w: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(3rd quartile) and 150%</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disclosed proxy peers (3)</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(3rd quartile) and 150%</w:t>
            </w: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(2)</w:t>
            </w:r>
          </w:p>
        </w:tc>
        <w:tc>
          <w:tcPr>
            <w:tcW w:w="48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payout (1st quartile). No</w:t>
            </w:r>
          </w:p>
        </w:tc>
        <w:tc>
          <w:tcPr>
            <w:tcW w:w="24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 weight)</w:t>
            </w: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payout (1st quartile). No</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480" w:type="dxa"/>
            <w:vAlign w:val="bottom"/>
            <w:shd w:val="clear" w:color="auto" w:fill="CFF0FC"/>
          </w:tcPr>
          <w:p>
            <w:pPr>
              <w:spacing w:after="0"/>
              <w:rPr>
                <w:sz w:val="19"/>
                <w:szCs w:val="19"/>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020" w:right="700" w:hanging="504"/>
        <w:spacing w:after="0" w:line="258"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established just one performance metric, “Three-Year Relative Total Shareholder Return”, for both LTIPs and believed that this metric appropriately aligned management with the interests of our stockholders.</w:t>
      </w:r>
    </w:p>
    <w:p>
      <w:pPr>
        <w:spacing w:after="0" w:line="58" w:lineRule="exact"/>
        <w:rPr>
          <w:rFonts w:ascii="Times New Roman" w:cs="Times New Roman" w:eastAsia="Times New Roman" w:hAnsi="Times New Roman"/>
          <w:sz w:val="14"/>
          <w:szCs w:val="14"/>
          <w:color w:val="auto"/>
        </w:rPr>
      </w:pPr>
    </w:p>
    <w:p>
      <w:pPr>
        <w:ind w:left="1020" w:right="260" w:hanging="504"/>
        <w:spacing w:after="0" w:line="258"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2022 disclosed proxy peers, the three-year relative total shareholder return will be calculated as the percentage change in the 30-day trailing volume-weighted average closing stock price at January 28, 2022 and January 31, 2025, adjusted for any dividends paid.</w:t>
      </w:r>
    </w:p>
    <w:p>
      <w:pPr>
        <w:spacing w:after="0" w:line="58" w:lineRule="exact"/>
        <w:rPr>
          <w:rFonts w:ascii="Times New Roman" w:cs="Times New Roman" w:eastAsia="Times New Roman" w:hAnsi="Times New Roman"/>
          <w:sz w:val="14"/>
          <w:szCs w:val="14"/>
          <w:color w:val="auto"/>
        </w:rPr>
      </w:pPr>
    </w:p>
    <w:p>
      <w:pPr>
        <w:ind w:left="1020" w:right="260" w:hanging="504"/>
        <w:spacing w:after="0" w:line="258"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2023 disclosed proxy peers, the three-year relative total shareholder return will be calculated as the percentage change in the 30-day trailing volume-weighted average closing stock price at January 27, 2023 and January 30, 2026, adjusted for any dividends paid.</w:t>
      </w:r>
    </w:p>
    <w:p>
      <w:pPr>
        <w:spacing w:after="0" w:line="63" w:lineRule="exact"/>
        <w:rPr>
          <w:sz w:val="20"/>
          <w:szCs w:val="20"/>
          <w:color w:val="auto"/>
        </w:rPr>
      </w:pPr>
    </w:p>
    <w:p>
      <w:pPr>
        <w:ind w:left="940"/>
        <w:spacing w:after="0" w:line="281" w:lineRule="auto"/>
        <w:rPr>
          <w:sz w:val="20"/>
          <w:szCs w:val="20"/>
          <w:color w:val="auto"/>
        </w:rPr>
      </w:pPr>
      <w:r>
        <w:rPr>
          <w:rFonts w:ascii="Times New Roman" w:cs="Times New Roman" w:eastAsia="Times New Roman" w:hAnsi="Times New Roman"/>
          <w:sz w:val="18"/>
          <w:szCs w:val="18"/>
          <w:color w:val="auto"/>
        </w:rPr>
        <w:t>At the time of establishing the performance targets, the Compensation Committee believed that the single performance metric of a Three-Year Relative Total Shareholder Return reflected the Company’s primary objective of earnings growth and driving shareholder return.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4" w:name="page25"/>
    <w:bookmarkEnd w:id="24"/>
    <w:p>
      <w:pPr>
        <w:ind w:left="940"/>
        <w:spacing w:after="0"/>
        <w:rPr>
          <w:sz w:val="20"/>
          <w:szCs w:val="20"/>
          <w:color w:val="auto"/>
        </w:rPr>
      </w:pPr>
      <w:r>
        <w:rPr>
          <w:rFonts w:ascii="Times New Roman" w:cs="Times New Roman" w:eastAsia="Times New Roman" w:hAnsi="Times New Roman"/>
          <w:sz w:val="18"/>
          <w:szCs w:val="18"/>
          <w:color w:val="auto"/>
        </w:rPr>
        <w:t>The following table illustrates the components of the LTIPs with the respective vesting dates, illustrating that the time-based portion of the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LTIP acts as a retention tool:</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Approval date</w:t>
            </w:r>
          </w:p>
        </w:tc>
        <w:tc>
          <w:tcPr>
            <w:tcW w:w="120" w:type="dxa"/>
            <w:vAlign w:val="bottom"/>
          </w:tcPr>
          <w:p>
            <w:pPr>
              <w:spacing w:after="0"/>
              <w:rPr>
                <w:sz w:val="16"/>
                <w:szCs w:val="16"/>
                <w:color w:val="auto"/>
              </w:rPr>
            </w:pPr>
          </w:p>
        </w:tc>
        <w:tc>
          <w:tcPr>
            <w:tcW w:w="47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Performance Period</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award</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2024</w:t>
            </w:r>
          </w:p>
        </w:tc>
        <w:tc>
          <w:tcPr>
            <w:tcW w:w="66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Pr>
          <w:p>
            <w:pPr>
              <w:spacing w:after="0"/>
              <w:rPr>
                <w:sz w:val="16"/>
                <w:szCs w:val="16"/>
                <w:color w:val="auto"/>
              </w:rPr>
            </w:pPr>
          </w:p>
        </w:tc>
        <w:tc>
          <w:tcPr>
            <w:tcW w:w="8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2026</w:t>
            </w: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6"/>
                <w:szCs w:val="16"/>
                <w:color w:val="auto"/>
              </w:rPr>
            </w:pPr>
          </w:p>
        </w:tc>
      </w:tr>
      <w:tr>
        <w:trPr>
          <w:trHeight w:val="169"/>
        </w:trPr>
        <w:tc>
          <w:tcPr>
            <w:tcW w:w="1160" w:type="dxa"/>
            <w:vAlign w:val="bottom"/>
            <w:tcBorders>
              <w:top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4/9/2022</w:t>
            </w:r>
          </w:p>
        </w:tc>
        <w:tc>
          <w:tcPr>
            <w:tcW w:w="120" w:type="dxa"/>
            <w:vAlign w:val="bottom"/>
            <w:shd w:val="clear" w:color="auto" w:fill="CFF0FC"/>
          </w:tcPr>
          <w:p>
            <w:pPr>
              <w:spacing w:after="0"/>
              <w:rPr>
                <w:sz w:val="14"/>
                <w:szCs w:val="14"/>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2022-2024 LTIP</w:t>
            </w:r>
          </w:p>
        </w:tc>
        <w:tc>
          <w:tcPr>
            <w:tcW w:w="120" w:type="dxa"/>
            <w:vAlign w:val="bottom"/>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0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FF0FC"/>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116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5/1/2023</w:t>
            </w:r>
          </w:p>
        </w:tc>
        <w:tc>
          <w:tcPr>
            <w:tcW w:w="120" w:type="dxa"/>
            <w:vAlign w:val="bottom"/>
            <w:shd w:val="clear" w:color="auto" w:fill="CFF0FC"/>
          </w:tcPr>
          <w:p>
            <w:pPr>
              <w:spacing w:after="0"/>
              <w:rPr>
                <w:sz w:val="15"/>
                <w:szCs w:val="15"/>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2023-2025 LTIP</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r>
      <w:tr>
        <w:trPr>
          <w:trHeight w:val="175"/>
        </w:trPr>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0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rPr>
              <w:t>—</w:t>
            </w:r>
          </w:p>
        </w:tc>
      </w:tr>
    </w:tbl>
    <w:p>
      <w:pPr>
        <w:spacing w:after="0" w:line="85" w:lineRule="exact"/>
        <w:rPr>
          <w:sz w:val="20"/>
          <w:szCs w:val="20"/>
          <w:color w:val="auto"/>
        </w:rPr>
      </w:pPr>
    </w:p>
    <w:p>
      <w:pPr>
        <w:ind w:left="1040" w:hanging="373"/>
        <w:spacing w:after="0"/>
        <w:tabs>
          <w:tab w:leader="none" w:pos="1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 on April 1 following the end of the first year of the performance period or one year from the date of grant, whichever is later.</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2024-2026 LTIP</w:t>
      </w:r>
    </w:p>
    <w:p>
      <w:pPr>
        <w:spacing w:after="0" w:line="117"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8"/>
          <w:szCs w:val="18"/>
          <w:color w:val="auto"/>
        </w:rPr>
        <w:t>Effective April 1, 2024, the Compensation Committee established and approved the metric for the 2024-2026 LTIP. Consistent with the past four years, the Compensation Committee established a 3-year relative total shareholder return ("TSR") as the only metric under the 2024-2026 LTIP. The Compensation Committee believes that the selection of a relative total TSR against the Company’s 2024 peers (see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 aligns the interests of the LTIP participants with the interests of the Company’s stockholders. The Compensation Committee granted the time-based awards for the 2024-2026 LTIP in a combination of 50% restricted stock units and 50% cash.</w:t>
      </w:r>
    </w:p>
    <w:p>
      <w:pPr>
        <w:spacing w:after="0" w:line="72" w:lineRule="exact"/>
        <w:rPr>
          <w:sz w:val="20"/>
          <w:szCs w:val="20"/>
          <w:color w:val="auto"/>
        </w:rPr>
      </w:pPr>
    </w:p>
    <w:p>
      <w:pPr>
        <w:ind w:left="780" w:hanging="26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18" w:lineRule="exact"/>
        <w:rPr>
          <w:rFonts w:ascii="Times New Roman" w:cs="Times New Roman" w:eastAsia="Times New Roman" w:hAnsi="Times New Roman"/>
          <w:sz w:val="18"/>
          <w:szCs w:val="18"/>
          <w:color w:val="auto"/>
        </w:rPr>
      </w:pPr>
    </w:p>
    <w:p>
      <w:pPr>
        <w:ind w:left="7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discretionary cash or equity awards were granted to our Named Executive Officers in fiscal 2023. In August 2023, as further described below under “Employment Agreement - Harvey S. Kanter, Chief Executive Officer and Director,” we entered into an amendment to Mr. Kanter’s employment agreement to extend its term until August 2026. In connection with the extension, the Compensation Committee engaged Segal to review Mr. Kanter's base salary and total direct compensation as well as provide guidance on the terms, conditions and value of a performance award. The Compensation Committee approved a grant of 573,000 performance stock units ("PSUs"). Similar to Mr. Kanter's previous PSUs, the PSUs will vest, if at all, in nine installments, when the trailing 30-day volume-weighted average closing price of a share of our common stock meets or exceeds $6.50, $6.75, $7.00, $7.25, $7.50, $7.75, $8.00, $8.25 and $8.50, respectively, subject to a minimum one-year vesting from the date of grant. Any unvested PSUs will expire on August 11, 2026.</w:t>
      </w:r>
    </w:p>
    <w:p>
      <w:pPr>
        <w:spacing w:after="0" w:line="7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8" w:lineRule="exact"/>
        <w:rPr>
          <w:rFonts w:ascii="Times New Roman" w:cs="Times New Roman" w:eastAsia="Times New Roman" w:hAnsi="Times New Roman"/>
          <w:sz w:val="18"/>
          <w:szCs w:val="18"/>
          <w:color w:val="auto"/>
        </w:rPr>
      </w:pPr>
    </w:p>
    <w:p>
      <w:pPr>
        <w:ind w:left="780"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54" w:lineRule="exact"/>
        <w:rPr>
          <w:rFonts w:ascii="Times New Roman" w:cs="Times New Roman" w:eastAsia="Times New Roman" w:hAnsi="Times New Roman"/>
          <w:sz w:val="18"/>
          <w:szCs w:val="18"/>
          <w:color w:val="auto"/>
        </w:rPr>
      </w:pPr>
    </w:p>
    <w:p>
      <w:pPr>
        <w:ind w:left="780" w:right="2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that are generally available to all of our eligible employees.</w:t>
      </w:r>
    </w:p>
    <w:p>
      <w:pPr>
        <w:spacing w:after="0" w:line="54" w:lineRule="exact"/>
        <w:rPr>
          <w:rFonts w:ascii="Times New Roman" w:cs="Times New Roman" w:eastAsia="Times New Roman" w:hAnsi="Times New Roman"/>
          <w:sz w:val="18"/>
          <w:szCs w:val="18"/>
          <w:color w:val="auto"/>
        </w:rPr>
      </w:pPr>
    </w:p>
    <w:p>
      <w:pPr>
        <w:ind w:left="7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our 401(k) Plan, and after one year of employment are eligible for a Company match. Under the 401(k) Plan, the Company offers a qualified automatic contribution arrangement (“QACA”) with the Company matching 100% of the first 1% of deferred compensation and 50% of the next 5% (with a maximum contribution of 3.5% of eligible compensation).</w:t>
      </w:r>
    </w:p>
    <w:p>
      <w:pPr>
        <w:spacing w:after="0" w:line="73" w:lineRule="exact"/>
        <w:rPr>
          <w:rFonts w:ascii="Times New Roman" w:cs="Times New Roman" w:eastAsia="Times New Roman" w:hAnsi="Times New Roman"/>
          <w:sz w:val="18"/>
          <w:szCs w:val="18"/>
          <w:color w:val="auto"/>
        </w:rPr>
      </w:pPr>
    </w:p>
    <w:p>
      <w:pPr>
        <w:ind w:left="78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following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Our employment agreements do not contain any tax gross-ups pursuant to Section 280(g) of the Internal Revenue Code.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spacing w:after="0" w:line="200" w:lineRule="exact"/>
        <w:rPr>
          <w:sz w:val="20"/>
          <w:szCs w:val="20"/>
          <w:color w:val="auto"/>
        </w:rPr>
      </w:pP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5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Willem Mesdag, Chair</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Jack Boyle</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26" w:name="page27"/>
    <w:bookmarkEnd w:id="26"/>
    <w:p>
      <w:pPr>
        <w:ind w:right="1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Summary Compensation Table. </w:t>
      </w:r>
      <w:r>
        <w:rPr>
          <w:rFonts w:ascii="Times New Roman" w:cs="Times New Roman" w:eastAsia="Times New Roman" w:hAnsi="Times New Roman"/>
          <w:sz w:val="18"/>
          <w:szCs w:val="18"/>
          <w:color w:val="auto"/>
        </w:rPr>
        <w:t>The following Summary Compensation Table sets forth certain information regarding compensation paid or accrued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our Named Executive Officers for fiscal 2023.</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3"/>
                <w:szCs w:val="13"/>
                <w:b w:val="1"/>
                <w:bCs w:val="1"/>
                <w:color w:val="auto"/>
              </w:rPr>
              <w:t>Option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20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9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tcPr>
          <w:p>
            <w:pPr>
              <w:spacing w:after="0"/>
              <w:rPr>
                <w:sz w:val="15"/>
                <w:szCs w:val="15"/>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 (1) (2)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 (1)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5"/>
                <w:szCs w:val="15"/>
                <w:color w:val="auto"/>
              </w:rPr>
            </w:pPr>
          </w:p>
        </w:tc>
      </w:tr>
      <w:tr>
        <w:trPr>
          <w:trHeight w:val="16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Harvey S. Kanter</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866,346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2,765,938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2,167,112</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159,627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5,959,023</w:t>
            </w:r>
          </w:p>
        </w:tc>
        <w:tc>
          <w:tcPr>
            <w:tcW w:w="100" w:type="dxa"/>
            <w:vAlign w:val="bottom"/>
            <w:shd w:val="clear" w:color="auto" w:fill="CFF0FC"/>
          </w:tcPr>
          <w:p>
            <w:pPr>
              <w:spacing w:after="0"/>
              <w:rPr>
                <w:sz w:val="14"/>
                <w:szCs w:val="14"/>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President and Chief Executive</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830,539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829,813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2,402,969</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158,560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4,221,881</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Officer</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73,500</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443,260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207,035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2,069,448</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88,035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3,616,278</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Peter H. Stratton, Jr.</w:t>
            </w: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514,760</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1,048,280</w:t>
            </w:r>
          </w:p>
        </w:tc>
        <w:tc>
          <w:tcPr>
            <w:tcW w:w="100" w:type="dxa"/>
            <w:vAlign w:val="bottom"/>
          </w:tcPr>
          <w:p>
            <w:pPr>
              <w:spacing w:after="0"/>
              <w:rPr>
                <w:sz w:val="14"/>
                <w:szCs w:val="14"/>
                <w:color w:val="auto"/>
              </w:rPr>
            </w:pPr>
          </w:p>
        </w:tc>
      </w:tr>
      <w:tr>
        <w:trPr>
          <w:trHeight w:val="175"/>
        </w:trPr>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Executive Vice President, Chief</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405,846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195,263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526,585</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1,153,866</w:t>
            </w:r>
          </w:p>
        </w:tc>
        <w:tc>
          <w:tcPr>
            <w:tcW w:w="100" w:type="dxa"/>
            <w:vAlign w:val="bottom"/>
          </w:tcPr>
          <w:p>
            <w:pPr>
              <w:spacing w:after="0"/>
              <w:rPr>
                <w:sz w:val="15"/>
                <w:szCs w:val="15"/>
                <w:color w:val="auto"/>
              </w:rPr>
            </w:pPr>
          </w:p>
        </w:tc>
      </w:tr>
      <w:tr>
        <w:trPr>
          <w:trHeight w:val="186"/>
        </w:trPr>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98,088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458,525</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1,068,604</w:t>
            </w:r>
          </w:p>
        </w:tc>
        <w:tc>
          <w:tcPr>
            <w:tcW w:w="100" w:type="dxa"/>
            <w:vAlign w:val="bottom"/>
          </w:tcPr>
          <w:p>
            <w:pPr>
              <w:spacing w:after="0"/>
              <w:rPr>
                <w:sz w:val="16"/>
                <w:szCs w:val="16"/>
                <w:color w:val="auto"/>
              </w:rPr>
            </w:pPr>
          </w:p>
        </w:tc>
      </w:tr>
      <w:tr>
        <w:trPr>
          <w:trHeight w:val="174"/>
        </w:trPr>
        <w:tc>
          <w:tcPr>
            <w:tcW w:w="256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Anthony J. Gaeta</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391,827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56,872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400,383</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872,760</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Stores and Real Estate</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322,115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134,310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352,030</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22,565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831,020</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Officer</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29,500</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73,256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38,281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267,217</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22,040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725,294</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S. Molloy</w:t>
            </w: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458,060</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948,334</w:t>
            </w:r>
          </w:p>
        </w:tc>
        <w:tc>
          <w:tcPr>
            <w:tcW w:w="100" w:type="dxa"/>
            <w:vAlign w:val="bottom"/>
          </w:tcPr>
          <w:p>
            <w:pPr>
              <w:spacing w:after="0"/>
              <w:rPr>
                <w:sz w:val="14"/>
                <w:szCs w:val="14"/>
                <w:color w:val="auto"/>
              </w:rPr>
            </w:pPr>
          </w:p>
        </w:tc>
      </w:tr>
      <w:tr>
        <w:trPr>
          <w:trHeight w:val="175"/>
        </w:trPr>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Counsel and Secretary</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165,988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434,942</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1,014,167</w:t>
            </w:r>
          </w:p>
        </w:tc>
        <w:tc>
          <w:tcPr>
            <w:tcW w:w="100" w:type="dxa"/>
            <w:vAlign w:val="bottom"/>
          </w:tcPr>
          <w:p>
            <w:pPr>
              <w:spacing w:after="0"/>
              <w:rPr>
                <w:sz w:val="15"/>
                <w:szCs w:val="15"/>
                <w:color w:val="auto"/>
              </w:rPr>
            </w:pPr>
          </w:p>
        </w:tc>
      </w:tr>
      <w:tr>
        <w:trPr>
          <w:trHeight w:val="186"/>
        </w:trPr>
        <w:tc>
          <w:tcPr>
            <w:tcW w:w="2560" w:type="dxa"/>
            <w:vAlign w:val="bottom"/>
          </w:tcPr>
          <w:p>
            <w:pPr>
              <w:spacing w:after="0"/>
              <w:rPr>
                <w:sz w:val="16"/>
                <w:szCs w:val="16"/>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397,809</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980,419</w:t>
            </w:r>
          </w:p>
        </w:tc>
        <w:tc>
          <w:tcPr>
            <w:tcW w:w="100" w:type="dxa"/>
            <w:vAlign w:val="bottom"/>
          </w:tcPr>
          <w:p>
            <w:pPr>
              <w:spacing w:after="0"/>
              <w:rPr>
                <w:sz w:val="16"/>
                <w:szCs w:val="16"/>
                <w:color w:val="auto"/>
              </w:rPr>
            </w:pPr>
          </w:p>
        </w:tc>
      </w:tr>
      <w:tr>
        <w:trPr>
          <w:trHeight w:val="174"/>
        </w:trPr>
        <w:tc>
          <w:tcPr>
            <w:tcW w:w="256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Allison Surette</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376,577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61,249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376,464</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847,626</w:t>
            </w:r>
          </w:p>
        </w:tc>
        <w:tc>
          <w:tcPr>
            <w:tcW w:w="100" w:type="dxa"/>
            <w:vAlign w:val="bottom"/>
            <w:shd w:val="clear" w:color="auto" w:fill="CFF0FC"/>
          </w:tcPr>
          <w:p>
            <w:pPr>
              <w:spacing w:after="0"/>
              <w:rPr>
                <w:sz w:val="15"/>
                <w:szCs w:val="15"/>
                <w:color w:val="auto"/>
              </w:rPr>
            </w:pPr>
          </w:p>
        </w:tc>
      </w:tr>
      <w:tr>
        <w:trPr>
          <w:trHeight w:val="175"/>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Merchandise Officer</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311,558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129,763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346,156</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818,948</w:t>
            </w:r>
          </w:p>
        </w:tc>
        <w:tc>
          <w:tcPr>
            <w:tcW w:w="100" w:type="dxa"/>
            <w:vAlign w:val="bottom"/>
            <w:shd w:val="clear" w:color="auto" w:fill="CFF0FC"/>
          </w:tcPr>
          <w:p>
            <w:pPr>
              <w:spacing w:after="0"/>
              <w:rPr>
                <w:sz w:val="15"/>
                <w:szCs w:val="15"/>
                <w:color w:val="auto"/>
              </w:rPr>
            </w:pPr>
          </w:p>
        </w:tc>
      </w:tr>
    </w:tbl>
    <w:p>
      <w:pPr>
        <w:spacing w:after="0" w:line="310" w:lineRule="exact"/>
        <w:rPr>
          <w:sz w:val="20"/>
          <w:szCs w:val="20"/>
          <w:color w:val="auto"/>
        </w:rPr>
      </w:pPr>
    </w:p>
    <w:p>
      <w:pPr>
        <w:ind w:left="1020" w:right="40" w:hanging="504"/>
        <w:spacing w:after="0" w:line="272" w:lineRule="auto"/>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was estimated as of the date of grant using a Black-Scholes valuation model. The fair value of the performance stock units, with a market condition, was valued as of the date of grant using a Monte Carlo model. Additional information regarding the assumptions used to estimate the fair value of all awards is included in Note A and Note I to Consolidated Financial Statements contained in our Annual Report on Form 10-K for the fiscal year ended February 3, 2024.</w:t>
      </w:r>
    </w:p>
    <w:p>
      <w:pPr>
        <w:spacing w:after="0" w:line="74" w:lineRule="exact"/>
        <w:rPr>
          <w:rFonts w:ascii="Times New Roman" w:cs="Times New Roman" w:eastAsia="Times New Roman" w:hAnsi="Times New Roman"/>
          <w:sz w:val="16"/>
          <w:szCs w:val="16"/>
          <w:color w:val="auto"/>
        </w:rPr>
      </w:pPr>
    </w:p>
    <w:p>
      <w:pPr>
        <w:ind w:left="1020" w:right="320" w:hanging="504"/>
        <w:spacing w:after="0" w:line="300" w:lineRule="auto"/>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table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below for a breakdown of 2023 amounts reflected in this column. The value of stock awards granted to Mr. Kanter in fiscal 2023 include the value of 573,000 performance stock units granted to Mr. Kanter in connection with the extension of his employment agreement.</w:t>
      </w:r>
    </w:p>
    <w:p>
      <w:pPr>
        <w:spacing w:after="0" w:line="54" w:lineRule="exact"/>
        <w:rPr>
          <w:rFonts w:ascii="Times New Roman" w:cs="Times New Roman" w:eastAsia="Times New Roman" w:hAnsi="Times New Roman"/>
          <w:sz w:val="16"/>
          <w:szCs w:val="16"/>
          <w:color w:val="auto"/>
        </w:rPr>
      </w:pPr>
    </w:p>
    <w:p>
      <w:pPr>
        <w:ind w:left="1020" w:right="8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under the 2023-2025 LTIP was determined based on the probable outcome of the performance conditions as of the service-inception date. Because the achievement of the performance targets under the 2023-2025 LTIP was not deemed probable as of the service-inception date, no value was attributed to the performance-based portion of these awards. In addition, performance-based compensation is a liability-based award until earned, at which time it can be settled in a combination of cash and/or equity. The following reflects the fair value of the performance-based equity portion of the 2023-2025 LTIP assuming 50% of the award is settled in equity and that the payout achieved is the highest level of performance for each of the Named Executive Officers:</w:t>
      </w:r>
    </w:p>
    <w:p>
      <w:pPr>
        <w:spacing w:after="0" w:line="93" w:lineRule="exact"/>
        <w:rPr>
          <w:sz w:val="20"/>
          <w:szCs w:val="20"/>
          <w:color w:val="auto"/>
        </w:rPr>
      </w:pPr>
    </w:p>
    <w:tbl>
      <w:tblPr>
        <w:tblLayout w:type="fixed"/>
        <w:tblInd w:w="2600" w:type="dxa"/>
        <w:tblCellMar>
          <w:top w:w="0" w:type="dxa"/>
          <w:left w:w="0" w:type="dxa"/>
          <w:bottom w:w="0" w:type="dxa"/>
          <w:right w:w="0" w:type="dxa"/>
        </w:tblCellMar>
      </w:tblPr>
      <w:tr>
        <w:trPr>
          <w:trHeight w:val="243"/>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02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541,875</w:t>
            </w:r>
          </w:p>
        </w:tc>
      </w:t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0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137,363</w:t>
            </w:r>
          </w:p>
        </w:tc>
      </w:tr>
      <w:tr>
        <w:trPr>
          <w:trHeight w:val="247"/>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02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85,313</w:t>
            </w:r>
          </w:p>
        </w:tc>
      </w:t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0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101,325</w:t>
            </w:r>
          </w:p>
        </w:tc>
      </w:tr>
      <w:tr>
        <w:trPr>
          <w:trHeight w:val="27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202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91,875</w:t>
            </w:r>
          </w:p>
        </w:tc>
      </w:tr>
    </w:tbl>
    <w:p>
      <w:pPr>
        <w:spacing w:after="0" w:line="94" w:lineRule="exact"/>
        <w:rPr>
          <w:sz w:val="20"/>
          <w:szCs w:val="20"/>
          <w:color w:val="auto"/>
        </w:rPr>
      </w:pPr>
    </w:p>
    <w:p>
      <w:pPr>
        <w:ind w:left="1020" w:right="60" w:hanging="504"/>
        <w:spacing w:after="0" w:line="275"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2023 AIP, cash earned under the performance-based component of the 2021-2023 LTIP, the fourth tranche of time-vested cash of the 2019-2021 LTIP, the third tranche of time-vested cash under the 2020-2022 LTIP, the second tranche of time-vested cash under the 2021-2023 LTIP and the first tranche of time-vested cash under the 2022-2024 LTIP. See table “</w:t>
      </w:r>
      <w:r>
        <w:rPr>
          <w:rFonts w:ascii="Times New Roman" w:cs="Times New Roman" w:eastAsia="Times New Roman" w:hAnsi="Times New Roman"/>
          <w:sz w:val="16"/>
          <w:szCs w:val="16"/>
          <w:i w:val="1"/>
          <w:iCs w:val="1"/>
          <w:color w:val="auto"/>
        </w:rPr>
        <w:t>2023 Non-Equity (Cash) Incentive Plan Compensation</w:t>
      </w:r>
      <w:r>
        <w:rPr>
          <w:rFonts w:ascii="Times New Roman" w:cs="Times New Roman" w:eastAsia="Times New Roman" w:hAnsi="Times New Roman"/>
          <w:sz w:val="16"/>
          <w:szCs w:val="16"/>
          <w:color w:val="auto"/>
        </w:rPr>
        <w:t>” below for additional detail.</w:t>
      </w:r>
    </w:p>
    <w:p>
      <w:pPr>
        <w:spacing w:after="0" w:line="71"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All Other Compensation</w:t>
      </w:r>
      <w:r>
        <w:rPr>
          <w:rFonts w:ascii="Times New Roman" w:cs="Times New Roman" w:eastAsia="Times New Roman" w:hAnsi="Times New Roman"/>
          <w:sz w:val="16"/>
          <w:szCs w:val="16"/>
          <w:color w:val="auto"/>
        </w:rPr>
        <w:t>” below for a breakdown of 2023 amounts reflected in this column.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7" w:name="page28"/>
    <w:bookmarkEnd w:id="27"/>
    <w:p>
      <w:pPr>
        <w:ind w:right="8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Stock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in fiscal 2023 in the "</w:t>
      </w: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column of the Summary Compensation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2023-2025 LTIP</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Stock</w:t>
            </w:r>
          </w:p>
        </w:tc>
      </w:tr>
      <w:tr>
        <w:trPr>
          <w:trHeight w:val="179"/>
        </w:trPr>
        <w:tc>
          <w:tcPr>
            <w:tcW w:w="5520" w:type="dxa"/>
            <w:vAlign w:val="bottom"/>
          </w:tcPr>
          <w:p>
            <w:pPr>
              <w:ind w:left="2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Performance Based Units (1)</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5"/>
                <w:szCs w:val="15"/>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2,404,689</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361,249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2,765,938</w:t>
            </w:r>
          </w:p>
        </w:tc>
        <w:tc>
          <w:tcPr>
            <w:tcW w:w="100" w:type="dxa"/>
            <w:vAlign w:val="bottom"/>
            <w:shd w:val="clear" w:color="auto" w:fill="CFF0FC"/>
          </w:tcPr>
          <w:p>
            <w:pPr>
              <w:spacing w:after="0"/>
              <w:rPr>
                <w:sz w:val="20"/>
                <w:szCs w:val="20"/>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91,571</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100" w:type="dxa"/>
            <w:vAlign w:val="bottom"/>
            <w:shd w:val="clear" w:color="auto" w:fill="CFF0FC"/>
          </w:tcPr>
          <w:p>
            <w:pPr>
              <w:spacing w:after="0"/>
              <w:rPr>
                <w:sz w:val="21"/>
                <w:szCs w:val="2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67,549</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61,249</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760" w:right="20" w:hanging="378"/>
        <w:spacing w:after="0" w:line="268"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performance stock units ("PSUs") granted on August 11, 2023,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The PSUs are subject to a one-year minimum vesting period, and any unvested PSUs will expire on August 11, 2026. The respective fair value and derived service period assigned to each tranche of the PSUs were determined using a Monte Carlo model based on: a weighted historical volatility of 57.8%, a term of 3 years, stock price on the date of grant of $4.98 per share, a risk-free rate of 4.6% and a cost of equity of 11.0%. The $2.4 million fair value is being expensed over the respective derived service periods of each tranche which range from 12 to 13 months.</w:t>
      </w:r>
    </w:p>
    <w:p>
      <w:pPr>
        <w:spacing w:after="0" w:line="190" w:lineRule="exact"/>
        <w:rPr>
          <w:rFonts w:ascii="Times New Roman" w:cs="Times New Roman" w:eastAsia="Times New Roman" w:hAnsi="Times New Roman"/>
          <w:sz w:val="16"/>
          <w:szCs w:val="16"/>
          <w:color w:val="auto"/>
        </w:rPr>
      </w:pPr>
    </w:p>
    <w:p>
      <w:pPr>
        <w:ind w:left="760" w:right="40" w:hanging="378"/>
        <w:spacing w:after="0" w:line="298"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time-based RSUs issued under the 2023-2025 LTIP, which vest in four tranches with the first 25% vesting on May 1, 2024 and the remaining tranches vesting on April 1, 2025, April 1, 2026, and April 1, 2027.</w:t>
      </w:r>
    </w:p>
    <w:p>
      <w:pPr>
        <w:spacing w:after="0" w:line="15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2023 Non-Equity (Cash) Incentive Plan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for fiscal 2023 in the “</w:t>
      </w:r>
      <w:r>
        <w:rPr>
          <w:rFonts w:ascii="Times New Roman" w:cs="Times New Roman" w:eastAsia="Times New Roman" w:hAnsi="Times New Roman"/>
          <w:sz w:val="18"/>
          <w:szCs w:val="18"/>
          <w:i w:val="1"/>
          <w:iCs w:val="1"/>
          <w:color w:val="auto"/>
        </w:rPr>
        <w:t xml:space="preserve">2023 Non-Equity (Cash) Incentive Plan Compensation” </w:t>
      </w:r>
      <w:r>
        <w:rPr>
          <w:rFonts w:ascii="Times New Roman" w:cs="Times New Roman" w:eastAsia="Times New Roman" w:hAnsi="Times New Roman"/>
          <w:sz w:val="18"/>
          <w:szCs w:val="18"/>
          <w:color w:val="auto"/>
        </w:rPr>
        <w:t>column of the Summary Compensation Table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2019-2021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3"/>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2021-2023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3"/>
                <w:szCs w:val="13"/>
                <w:b w:val="1"/>
                <w:bCs w:val="1"/>
                <w:color w:val="auto"/>
              </w:rPr>
              <w:t>2021-2023 LTIP</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3"/>
                <w:szCs w:val="13"/>
                <w:b w:val="1"/>
                <w:bCs w:val="1"/>
                <w:color w:val="auto"/>
              </w:rPr>
              <w:t>LTIP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b w:val="1"/>
                <w:bCs w:val="1"/>
                <w:color w:val="auto"/>
              </w:rPr>
              <w:t>2020-2022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3"/>
                <w:szCs w:val="13"/>
                <w:b w:val="1"/>
                <w:bCs w:val="1"/>
                <w:color w:val="auto"/>
                <w:w w:val="98"/>
              </w:rPr>
              <w:t>LTIP</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3"/>
                <w:szCs w:val="13"/>
                <w:b w:val="1"/>
                <w:bCs w:val="1"/>
                <w:color w:val="auto"/>
                <w:w w:val="99"/>
              </w:rPr>
              <w:t>Total Non-</w:t>
            </w: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b w:val="1"/>
                <w:bCs w:val="1"/>
                <w:color w:val="auto"/>
              </w:rPr>
              <w:t>Annual Incentive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3"/>
                <w:szCs w:val="13"/>
                <w:b w:val="1"/>
                <w:bCs w:val="1"/>
                <w:color w:val="auto"/>
              </w:rPr>
              <w:t>Time-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3"/>
                <w:szCs w:val="13"/>
                <w:b w:val="1"/>
                <w:bCs w:val="1"/>
                <w:color w:val="auto"/>
              </w:rPr>
              <w:t>LTIP</w:t>
            </w: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Time-Based</w:t>
            </w:r>
          </w:p>
        </w:tc>
        <w:tc>
          <w:tcPr>
            <w:tcW w:w="22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3"/>
                <w:szCs w:val="13"/>
                <w:b w:val="1"/>
                <w:bCs w:val="1"/>
                <w:color w:val="auto"/>
              </w:rPr>
              <w:t>2022-2024 LTIP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78"/>
        </w:trPr>
        <w:tc>
          <w:tcPr>
            <w:tcW w:w="33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Plan (1)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Based(2)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Based(3)</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(Cash)</w:t>
            </w:r>
          </w:p>
        </w:tc>
        <w:tc>
          <w:tcPr>
            <w:tcW w:w="100" w:type="dxa"/>
            <w:vAlign w:val="bottom"/>
          </w:tcPr>
          <w:p>
            <w:pPr>
              <w:spacing w:after="0"/>
              <w:rPr>
                <w:sz w:val="15"/>
                <w:szCs w:val="15"/>
                <w:color w:val="auto"/>
              </w:rPr>
            </w:pPr>
          </w:p>
        </w:tc>
      </w:tr>
      <w:tr>
        <w:trPr>
          <w:trHeight w:val="205"/>
        </w:trPr>
        <w:tc>
          <w:tcPr>
            <w:tcW w:w="3680" w:type="dxa"/>
            <w:vAlign w:val="bottom"/>
            <w:gridSpan w:val="3"/>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Harvey S. Kanter</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2,167,1</w:t>
            </w:r>
          </w:p>
        </w:tc>
        <w:tc>
          <w:tcPr>
            <w:tcW w:w="100" w:type="dxa"/>
            <w:vAlign w:val="bottom"/>
            <w:shd w:val="clear" w:color="auto" w:fill="CFF0FC"/>
          </w:tcPr>
          <w:p>
            <w:pPr>
              <w:spacing w:after="0"/>
              <w:rPr>
                <w:sz w:val="17"/>
                <w:szCs w:val="17"/>
                <w:color w:val="auto"/>
              </w:rPr>
            </w:pPr>
          </w:p>
        </w:tc>
      </w:tr>
      <w:tr>
        <w:trPr>
          <w:trHeight w:val="248"/>
        </w:trPr>
        <w:tc>
          <w:tcPr>
            <w:tcW w:w="3680" w:type="dxa"/>
            <w:vAlign w:val="bottom"/>
            <w:gridSpan w:val="3"/>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866,346</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937,125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117,140</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r>
      <w:tr>
        <w:trPr>
          <w:trHeight w:val="211"/>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00" w:type="dxa"/>
            <w:vAlign w:val="bottom"/>
          </w:tcPr>
          <w:p>
            <w:pPr>
              <w:spacing w:after="0"/>
              <w:rPr>
                <w:sz w:val="18"/>
                <w:szCs w:val="18"/>
                <w:color w:val="auto"/>
              </w:rPr>
            </w:pPr>
          </w:p>
        </w:tc>
      </w:tr>
      <w:tr>
        <w:trPr>
          <w:trHeight w:val="241"/>
        </w:trPr>
        <w:tc>
          <w:tcPr>
            <w:tcW w:w="368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224,007</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18"/>
        </w:trPr>
        <w:tc>
          <w:tcPr>
            <w:tcW w:w="3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100" w:type="dxa"/>
            <w:vAlign w:val="bottom"/>
            <w:shd w:val="clear" w:color="auto" w:fill="CFF0FC"/>
          </w:tcPr>
          <w:p>
            <w:pPr>
              <w:spacing w:after="0"/>
              <w:rPr>
                <w:sz w:val="18"/>
                <w:szCs w:val="18"/>
                <w:color w:val="auto"/>
              </w:rPr>
            </w:pPr>
          </w:p>
        </w:tc>
      </w:tr>
      <w:tr>
        <w:trPr>
          <w:trHeight w:val="248"/>
        </w:trPr>
        <w:tc>
          <w:tcPr>
            <w:tcW w:w="3680" w:type="dxa"/>
            <w:vAlign w:val="bottom"/>
            <w:gridSpan w:val="3"/>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186,118</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154,875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11"/>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458,06</w:t>
            </w:r>
          </w:p>
        </w:tc>
        <w:tc>
          <w:tcPr>
            <w:tcW w:w="100" w:type="dxa"/>
            <w:vAlign w:val="bottom"/>
          </w:tcPr>
          <w:p>
            <w:pPr>
              <w:spacing w:after="0"/>
              <w:rPr>
                <w:sz w:val="18"/>
                <w:szCs w:val="18"/>
                <w:color w:val="auto"/>
              </w:rPr>
            </w:pPr>
          </w:p>
        </w:tc>
      </w:tr>
      <w:tr>
        <w:trPr>
          <w:trHeight w:val="241"/>
        </w:trPr>
        <w:tc>
          <w:tcPr>
            <w:tcW w:w="368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186,876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196,875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18"/>
        </w:trPr>
        <w:tc>
          <w:tcPr>
            <w:tcW w:w="3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w:t>
            </w:r>
          </w:p>
        </w:tc>
        <w:tc>
          <w:tcPr>
            <w:tcW w:w="100" w:type="dxa"/>
            <w:vAlign w:val="bottom"/>
            <w:shd w:val="clear" w:color="auto" w:fill="CFF0FC"/>
          </w:tcPr>
          <w:p>
            <w:pPr>
              <w:spacing w:after="0"/>
              <w:rPr>
                <w:sz w:val="18"/>
                <w:szCs w:val="18"/>
                <w:color w:val="auto"/>
              </w:rPr>
            </w:pPr>
          </w:p>
        </w:tc>
      </w:tr>
      <w:tr>
        <w:trPr>
          <w:trHeight w:val="248"/>
        </w:trPr>
        <w:tc>
          <w:tcPr>
            <w:tcW w:w="3680" w:type="dxa"/>
            <w:vAlign w:val="bottom"/>
            <w:gridSpan w:val="3"/>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169,460</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149,625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bl>
    <w:p>
      <w:pPr>
        <w:spacing w:after="0" w:line="213" w:lineRule="exact"/>
        <w:rPr>
          <w:sz w:val="20"/>
          <w:szCs w:val="20"/>
          <w:color w:val="auto"/>
        </w:rPr>
      </w:pPr>
    </w:p>
    <w:p>
      <w:pPr>
        <w:ind w:left="760" w:right="20" w:hanging="378"/>
        <w:spacing w:after="0" w:line="265"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Named Executive Officer earned a cash bonus under the 2023 AIP. See “</w:t>
      </w:r>
      <w:r>
        <w:rPr>
          <w:rFonts w:ascii="Times New Roman" w:cs="Times New Roman" w:eastAsia="Times New Roman" w:hAnsi="Times New Roman"/>
          <w:sz w:val="16"/>
          <w:szCs w:val="16"/>
          <w:i w:val="1"/>
          <w:iCs w:val="1"/>
          <w:color w:val="auto"/>
        </w:rPr>
        <w:t>Compensation, Discussion and Analysis-Compensation Components and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2023 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AIP.</w:t>
      </w:r>
    </w:p>
    <w:p>
      <w:pPr>
        <w:spacing w:after="0" w:line="203" w:lineRule="exact"/>
        <w:rPr>
          <w:rFonts w:ascii="Times New Roman" w:cs="Times New Roman" w:eastAsia="Times New Roman" w:hAnsi="Times New Roman"/>
          <w:sz w:val="18"/>
          <w:szCs w:val="18"/>
          <w:color w:val="auto"/>
        </w:rPr>
      </w:pPr>
    </w:p>
    <w:p>
      <w:pPr>
        <w:ind w:left="760" w:right="60" w:hanging="378"/>
        <w:spacing w:after="0" w:line="264"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cash award earned under the performance-based component of the 2021-2023 LTIP that was granted on April 1, 2024, with additional vesting through August 31, 2024. At the discretion of the Compensation Committee, the settlement of this liability-based award can be settled in cash, equity, or a combination thereof. For the 2021-2023 LTIP, in an effort to preserve shares under the 2016 Plan, the Compensation Committee voted to settle the performance-based award in 100% cash.</w:t>
      </w:r>
    </w:p>
    <w:p>
      <w:pPr>
        <w:spacing w:after="0" w:line="203" w:lineRule="exact"/>
        <w:rPr>
          <w:rFonts w:ascii="Times New Roman" w:cs="Times New Roman" w:eastAsia="Times New Roman" w:hAnsi="Times New Roman"/>
          <w:sz w:val="18"/>
          <w:szCs w:val="18"/>
          <w:color w:val="auto"/>
        </w:rPr>
      </w:pPr>
    </w:p>
    <w:p>
      <w:pPr>
        <w:jc w:val="both"/>
        <w:ind w:left="760" w:right="120" w:hanging="378"/>
        <w:spacing w:after="0" w:line="264"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vesting of the fourth tranche of the time-based cash award granted in August 2019 under the 2019-2021 LTIP, the third tranche of the time-based cash award granted in June 2020 under the 2020-2022 LTIP, the second tranche of the time-based cash award granted in March 2021 under the 2021-2023 LTIP and the first tranche of the 2022-2024 LTIP granted in April 2022. See “</w:t>
      </w:r>
      <w:r>
        <w:rPr>
          <w:rFonts w:ascii="Times New Roman" w:cs="Times New Roman" w:eastAsia="Times New Roman" w:hAnsi="Times New Roman"/>
          <w:sz w:val="16"/>
          <w:szCs w:val="16"/>
          <w:i w:val="1"/>
          <w:iCs w:val="1"/>
          <w:color w:val="auto"/>
        </w:rPr>
        <w:t>Compensation,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8" w:name="page29"/>
    <w:bookmarkEnd w:id="28"/>
    <w:p>
      <w:pPr>
        <w:ind w:left="760" w:right="520"/>
        <w:spacing w:after="0" w:line="300" w:lineRule="auto"/>
        <w:rPr>
          <w:sz w:val="20"/>
          <w:szCs w:val="20"/>
          <w:color w:val="auto"/>
        </w:rPr>
      </w:pPr>
      <w:r>
        <w:rPr>
          <w:rFonts w:ascii="Times New Roman" w:cs="Times New Roman" w:eastAsia="Times New Roman" w:hAnsi="Times New Roman"/>
          <w:sz w:val="16"/>
          <w:szCs w:val="16"/>
          <w:i w:val="1"/>
          <w:iCs w:val="1"/>
          <w:color w:val="auto"/>
        </w:rPr>
        <w:t>Discussion and Analysis-Compensation Components and Fiscal 2023 Compensation Decisions, Performance-based annual incentive plan and Long-term incentive plans</w:t>
      </w:r>
      <w:r>
        <w:rPr>
          <w:rFonts w:ascii="Times New Roman" w:cs="Times New Roman" w:eastAsia="Times New Roman" w:hAnsi="Times New Roman"/>
          <w:sz w:val="16"/>
          <w:szCs w:val="16"/>
          <w:color w:val="auto"/>
        </w:rPr>
        <w:t>” for more information.</w:t>
      </w:r>
    </w:p>
    <w:p>
      <w:pPr>
        <w:spacing w:after="0" w:line="156"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All Other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for fiscal 2023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of the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Table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9"/>
              </w:rPr>
              <w:t>Long-Term</w:t>
            </w:r>
          </w:p>
        </w:tc>
        <w:tc>
          <w:tcPr>
            <w:tcW w:w="2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Supplemental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3"/>
                <w:szCs w:val="13"/>
                <w:b w:val="1"/>
                <w:bCs w:val="1"/>
                <w:color w:val="auto"/>
              </w:rPr>
              <w:t>Auto</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3"/>
                <w:szCs w:val="13"/>
                <w:b w:val="1"/>
                <w:bCs w:val="1"/>
                <w:color w:val="auto"/>
              </w:rPr>
              <w:t>Travel</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Compensatio</w:t>
            </w:r>
          </w:p>
        </w:tc>
      </w:tr>
      <w:tr>
        <w:trPr>
          <w:trHeight w:val="178"/>
        </w:trPr>
        <w:tc>
          <w:tcPr>
            <w:tcW w:w="39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401(k)</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4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n</w:t>
            </w:r>
          </w:p>
        </w:tc>
        <w:tc>
          <w:tcPr>
            <w:tcW w:w="100" w:type="dxa"/>
            <w:vAlign w:val="bottom"/>
          </w:tcPr>
          <w:p>
            <w:pPr>
              <w:spacing w:after="0"/>
              <w:rPr>
                <w:sz w:val="15"/>
                <w:szCs w:val="15"/>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120,000</w:t>
            </w:r>
          </w:p>
        </w:tc>
        <w:tc>
          <w:tcPr>
            <w:tcW w:w="800" w:type="dxa"/>
            <w:vAlign w:val="bottom"/>
            <w:gridSpan w:val="2"/>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159,627</w:t>
            </w:r>
          </w:p>
        </w:tc>
        <w:tc>
          <w:tcPr>
            <w:tcW w:w="100" w:type="dxa"/>
            <w:vAlign w:val="bottom"/>
            <w:shd w:val="clear" w:color="auto" w:fill="CFF0FC"/>
          </w:tcPr>
          <w:p>
            <w:pPr>
              <w:spacing w:after="0"/>
              <w:rPr>
                <w:sz w:val="20"/>
                <w:szCs w:val="20"/>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27,122</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00" w:type="dxa"/>
            <w:vAlign w:val="bottom"/>
            <w:shd w:val="clear" w:color="auto" w:fill="CFF0FC"/>
          </w:tcPr>
          <w:p>
            <w:pPr>
              <w:spacing w:after="0"/>
              <w:rPr>
                <w:sz w:val="21"/>
                <w:szCs w:val="2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29,302</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100" w:type="dxa"/>
            <w:vAlign w:val="bottom"/>
            <w:shd w:val="clear" w:color="auto" w:fill="CFF0FC"/>
          </w:tcPr>
          <w:p>
            <w:pPr>
              <w:spacing w:after="0"/>
              <w:rPr>
                <w:sz w:val="21"/>
                <w:szCs w:val="2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total annual compensation for our CEO, Mr. Kanter, for fiscal 2023, as shown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was $5,959,023. The total annual compensation for our new median employee, who is a full-time 40-hour employee, was $50,049, calculated using the same methodology as used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Based on this information, for fiscal 2023 the ratio of the annual total compensation of Mr. Kanter, our CEO, to the median of the annual total compensation of all employees was 119 to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methodology used to identify the median employee in 2023 was to evaluate all employees, other than our CEO, employed by the Company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performed the following:</w:t>
      </w:r>
    </w:p>
    <w:p>
      <w:pPr>
        <w:spacing w:after="0" w:line="206" w:lineRule="exact"/>
        <w:rPr>
          <w:sz w:val="20"/>
          <w:szCs w:val="20"/>
          <w:color w:val="auto"/>
        </w:rPr>
      </w:pPr>
    </w:p>
    <w:p>
      <w:pPr>
        <w:ind w:left="760" w:right="120" w:hanging="378"/>
        <w:spacing w:after="0" w:line="265"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2023, our employee population consisted of approximately 1,308 individuals, with 1,305 of these individuals located in the U.S. and 3 of these individuals located outside the U.S. This population includes our full-time, part-time, and seasonal employees. Approximately 79% of our total employee population at December 31, 2023 was considered full-time employees.</w:t>
      </w:r>
    </w:p>
    <w:p>
      <w:pPr>
        <w:spacing w:after="0" w:line="177"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2023.</w:t>
      </w:r>
    </w:p>
    <w:p>
      <w:pPr>
        <w:spacing w:after="0" w:line="162" w:lineRule="exact"/>
        <w:rPr>
          <w:rFonts w:ascii="Times New Roman" w:cs="Times New Roman" w:eastAsia="Times New Roman" w:hAnsi="Times New Roman"/>
          <w:sz w:val="18"/>
          <w:szCs w:val="18"/>
          <w:color w:val="auto"/>
        </w:rPr>
      </w:pPr>
    </w:p>
    <w:p>
      <w:pPr>
        <w:ind w:left="760" w:right="58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annualize any compensation for any permanent full-time or part-time employees, who started employment at the Company during calendar 2023. We did not annualize compensation for any seasonal or temporary employees.</w:t>
      </w:r>
    </w:p>
    <w:p>
      <w:pPr>
        <w:spacing w:after="0" w:line="162" w:lineRule="exact"/>
        <w:rPr>
          <w:rFonts w:ascii="Times New Roman" w:cs="Times New Roman" w:eastAsia="Times New Roman" w:hAnsi="Times New Roman"/>
          <w:sz w:val="18"/>
          <w:szCs w:val="18"/>
          <w:color w:val="auto"/>
        </w:rPr>
      </w:pPr>
    </w:p>
    <w:p>
      <w:pPr>
        <w:ind w:left="760" w:right="80" w:hanging="378"/>
        <w:spacing w:after="0" w:line="312"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excluded employees located outside of the U.S. under the de minimis exception to the pay ratio rule, which permits exclusion if a company’s non-U.S. employees account for 5% or less of total employees. Accordingly, we have excluded three associates located in Hong Kong.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212121"/>
        </w:rPr>
        <w:t>PAY VERSUS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Pay Versus Performance Table</w:t>
      </w:r>
    </w:p>
    <w:p>
      <w:pPr>
        <w:spacing w:after="0" w:line="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12121"/>
        </w:rPr>
        <w:t xml:space="preserve">In accordance with rules adopted by the SEC pursuant to the Dodd-Frank Act, below is disclosure regarding executive compensation for Harvey S. Kanter, our principal executive officer (“PEO”), our non-PEO NEOs, and our Company financial performance for the fiscal years listed below. The Compensation Committee did not consider the </w:t>
      </w:r>
      <w:r>
        <w:rPr>
          <w:rFonts w:ascii="Times New Roman" w:cs="Times New Roman" w:eastAsia="Times New Roman" w:hAnsi="Times New Roman"/>
          <w:sz w:val="18"/>
          <w:szCs w:val="18"/>
          <w:color w:val="252525"/>
        </w:rPr>
        <w:t>pay versus performance</w:t>
      </w:r>
      <w:r>
        <w:rPr>
          <w:rFonts w:ascii="Times New Roman" w:cs="Times New Roman" w:eastAsia="Times New Roman" w:hAnsi="Times New Roman"/>
          <w:sz w:val="18"/>
          <w:szCs w:val="18"/>
          <w:color w:val="212121"/>
        </w:rPr>
        <w:t xml:space="preserve"> disclosure below in making its pay decisions for any of the years shown. The amounts shown for “Compensation Actually Paid” have been calculated in accordance with Item 402(v) of Regulation and do not reflect compensation actually earned, realized, or received by our NEO's. These amounts reflect total compensation per the "</w:t>
      </w:r>
      <w:r>
        <w:rPr>
          <w:rFonts w:ascii="Times New Roman" w:cs="Times New Roman" w:eastAsia="Times New Roman" w:hAnsi="Times New Roman"/>
          <w:sz w:val="18"/>
          <w:szCs w:val="18"/>
          <w:i w:val="1"/>
          <w:iCs w:val="1"/>
          <w:color w:val="212121"/>
        </w:rPr>
        <w:t>Summary Compensation Table"</w:t>
      </w:r>
      <w:r>
        <w:rPr>
          <w:rFonts w:ascii="Times New Roman" w:cs="Times New Roman" w:eastAsia="Times New Roman" w:hAnsi="Times New Roman"/>
          <w:sz w:val="18"/>
          <w:szCs w:val="18"/>
          <w:color w:val="212121"/>
        </w:rPr>
        <w:t xml:space="preserve"> with certain adjustments as described in the following table and footnotes.</w:t>
      </w:r>
    </w:p>
    <w:p>
      <w:pPr>
        <w:spacing w:after="0" w:line="76"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color w:val="212121"/>
        </w:rPr>
        <w:t>For more information concerning our philosophy of how we align compensation for our NEOs to certain performance metrics, refer to the “</w:t>
      </w:r>
      <w:r>
        <w:rPr>
          <w:rFonts w:ascii="Times New Roman" w:cs="Times New Roman" w:eastAsia="Times New Roman" w:hAnsi="Times New Roman"/>
          <w:sz w:val="18"/>
          <w:szCs w:val="18"/>
          <w:i w:val="1"/>
          <w:iCs w:val="1"/>
          <w:color w:val="212121"/>
        </w:rPr>
        <w:t>Compensation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212121"/>
        </w:rPr>
        <w:t>Discussion and Analysis</w:t>
      </w:r>
      <w:r>
        <w:rPr>
          <w:rFonts w:ascii="Times New Roman" w:cs="Times New Roman" w:eastAsia="Times New Roman" w:hAnsi="Times New Roman"/>
          <w:sz w:val="18"/>
          <w:szCs w:val="18"/>
          <w:color w:val="212121"/>
        </w:rPr>
        <w:t>”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w w:val="95"/>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Summary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Average Summary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w w:val="99"/>
              </w:rPr>
              <w:t>Compensation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ind w:right="113"/>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Peer Group Total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Adjusted</w:t>
            </w:r>
          </w:p>
        </w:tc>
      </w:t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w w:val="99"/>
              </w:rPr>
              <w:t>Compensation Table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Actually Paid</w:t>
            </w:r>
          </w:p>
        </w:tc>
        <w:tc>
          <w:tcPr>
            <w:tcW w:w="12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Compensation Table</w:t>
            </w: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Actually Paid to</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Shareholder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Shareholder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EBITDA</w:t>
            </w:r>
          </w:p>
        </w:tc>
      </w:tr>
      <w:tr>
        <w:trPr>
          <w:trHeight w:val="202"/>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Total for PEO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4"/>
              <w:spacing w:after="0"/>
              <w:rPr>
                <w:sz w:val="20"/>
                <w:szCs w:val="20"/>
                <w:color w:val="auto"/>
              </w:rPr>
            </w:pPr>
            <w:r>
              <w:rPr>
                <w:rFonts w:ascii="Times New Roman" w:cs="Times New Roman" w:eastAsia="Times New Roman" w:hAnsi="Times New Roman"/>
                <w:sz w:val="16"/>
                <w:szCs w:val="16"/>
                <w:color w:val="auto"/>
                <w:w w:val="98"/>
              </w:rPr>
              <w:t>to PEO</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Total for Non-PEO</w:t>
            </w: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Non-PEO NEOs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Return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Return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(Non-GAAP)</w:t>
            </w:r>
          </w:p>
        </w:tc>
      </w:tr>
      <w:tr>
        <w:trPr>
          <w:trHeight w:val="223"/>
        </w:trPr>
        <w:tc>
          <w:tcPr>
            <w:tcW w:w="7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6"/>
                <w:szCs w:val="16"/>
                <w:color w:val="auto"/>
                <w:w w:val="96"/>
              </w:rPr>
              <w:t>Year</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color w:val="auto"/>
                <w:w w:val="99"/>
              </w:rPr>
              <w:t>NEOs ($)(2)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color w:val="auto"/>
                <w:w w:val="96"/>
              </w:rPr>
              <w:t>($)(4)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w w:val="97"/>
              </w:rPr>
              <w:t>)(000's)(5)</w:t>
            </w:r>
          </w:p>
        </w:tc>
        <w:tc>
          <w:tcPr>
            <w:tcW w:w="100" w:type="dxa"/>
            <w:vAlign w:val="bottom"/>
          </w:tcPr>
          <w:p>
            <w:pPr>
              <w:spacing w:after="0"/>
              <w:rPr>
                <w:sz w:val="19"/>
                <w:szCs w:val="19"/>
                <w:color w:val="auto"/>
              </w:rPr>
            </w:pPr>
          </w:p>
        </w:tc>
      </w:tr>
      <w:tr>
        <w:trPr>
          <w:trHeight w:val="243"/>
        </w:trPr>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8"/>
                <w:szCs w:val="18"/>
                <w:color w:val="auto"/>
                <w:w w:val="95"/>
              </w:rPr>
              <w:t>(b)</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center"/>
              <w:ind w:right="112"/>
              <w:spacing w:after="0"/>
              <w:rPr>
                <w:sz w:val="20"/>
                <w:szCs w:val="20"/>
                <w:color w:val="auto"/>
              </w:rPr>
            </w:pPr>
            <w:r>
              <w:rPr>
                <w:rFonts w:ascii="Times New Roman" w:cs="Times New Roman" w:eastAsia="Times New Roman" w:hAnsi="Times New Roman"/>
                <w:sz w:val="18"/>
                <w:szCs w:val="18"/>
                <w:color w:val="auto"/>
                <w:w w:val="95"/>
              </w:rPr>
              <w:t>(d)</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center"/>
              <w:ind w:right="33"/>
              <w:spacing w:after="0"/>
              <w:rPr>
                <w:sz w:val="20"/>
                <w:szCs w:val="20"/>
                <w:color w:val="auto"/>
              </w:rPr>
            </w:pPr>
            <w:r>
              <w:rPr>
                <w:rFonts w:ascii="Times New Roman" w:cs="Times New Roman" w:eastAsia="Times New Roman" w:hAnsi="Times New Roman"/>
                <w:sz w:val="18"/>
                <w:szCs w:val="18"/>
                <w:color w:val="auto"/>
                <w:w w:val="99"/>
              </w:rPr>
              <w:t>(e)</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(f)</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5"/>
              </w:rPr>
              <w:t>(g)</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right="13"/>
              <w:spacing w:after="0"/>
              <w:rPr>
                <w:sz w:val="20"/>
                <w:szCs w:val="20"/>
                <w:color w:val="auto"/>
              </w:rPr>
            </w:pPr>
            <w:r>
              <w:rPr>
                <w:rFonts w:ascii="Times New Roman" w:cs="Times New Roman" w:eastAsia="Times New Roman" w:hAnsi="Times New Roman"/>
                <w:sz w:val="18"/>
                <w:szCs w:val="18"/>
                <w:color w:val="auto"/>
                <w:w w:val="95"/>
              </w:rPr>
              <w:t>(h)</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rPr>
              <w:t>(i)</w:t>
            </w:r>
          </w:p>
        </w:tc>
      </w:tr>
      <w:tr>
        <w:trPr>
          <w:trHeight w:val="238"/>
        </w:trPr>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tcPr>
          <w:p>
            <w:pPr>
              <w:spacing w:after="0"/>
              <w:rPr>
                <w:sz w:val="20"/>
                <w:szCs w:val="20"/>
                <w:color w:val="auto"/>
              </w:rPr>
            </w:pPr>
          </w:p>
        </w:tc>
      </w:tr>
      <w:tr>
        <w:trPr>
          <w:trHeight w:val="247"/>
        </w:trPr>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1,482,529</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663.06</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100" w:type="dxa"/>
            <w:vAlign w:val="bottom"/>
            <w:shd w:val="clear" w:color="auto" w:fill="CFF0FC"/>
          </w:tcPr>
          <w:p>
            <w:pPr>
              <w:spacing w:after="0"/>
              <w:rPr>
                <w:sz w:val="21"/>
                <w:szCs w:val="21"/>
                <w:color w:val="auto"/>
              </w:rPr>
            </w:pPr>
          </w:p>
        </w:tc>
      </w:tr>
      <w:tr>
        <w:trPr>
          <w:trHeight w:val="238"/>
        </w:trPr>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13,729,433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100" w:type="dxa"/>
            <w:vAlign w:val="bottom"/>
          </w:tcPr>
          <w:p>
            <w:pPr>
              <w:spacing w:after="0"/>
              <w:rPr>
                <w:sz w:val="20"/>
                <w:szCs w:val="20"/>
                <w:color w:val="auto"/>
              </w:rPr>
            </w:pPr>
          </w:p>
        </w:tc>
      </w:tr>
      <w:tr>
        <w:trPr>
          <w:trHeight w:val="247"/>
        </w:trPr>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2,270,835</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579,831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563,984</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(64,538 )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(24,197 )</w:t>
            </w:r>
          </w:p>
        </w:tc>
      </w:tr>
    </w:tbl>
    <w:p>
      <w:pPr>
        <w:spacing w:after="0" w:line="197" w:lineRule="exact"/>
        <w:rPr>
          <w:sz w:val="20"/>
          <w:szCs w:val="20"/>
          <w:color w:val="auto"/>
        </w:rPr>
      </w:pPr>
    </w:p>
    <w:p>
      <w:pPr>
        <w:ind w:left="1020" w:right="5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compensation for our PEO per the Summary Compensation Table (column (b)) and Compensation Actually Paid (column (c)):</w:t>
      </w:r>
    </w:p>
    <w:p>
      <w:pPr>
        <w:spacing w:after="0" w:line="5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20" w:type="dxa"/>
            <w:vAlign w:val="bottom"/>
            <w:shd w:val="clear" w:color="auto" w:fill="CFF0FC"/>
          </w:tcPr>
          <w:p>
            <w:pPr>
              <w:spacing w:after="0"/>
              <w:rPr>
                <w:sz w:val="18"/>
                <w:szCs w:val="18"/>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840" w:type="dxa"/>
            <w:vAlign w:val="bottom"/>
            <w:tcBorders>
              <w:top w:val="single" w:sz="8" w:color="auto"/>
            </w:tcBorders>
            <w:shd w:val="clear" w:color="auto" w:fill="CFF0FC"/>
          </w:tcPr>
          <w:p>
            <w:pPr>
              <w:spacing w:after="0"/>
              <w:rPr>
                <w:sz w:val="2"/>
                <w:szCs w:val="2"/>
                <w:color w:val="auto"/>
              </w:rPr>
            </w:pPr>
          </w:p>
        </w:tc>
        <w:tc>
          <w:tcPr>
            <w:tcW w:w="40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Summary Compensation Table ("SCT") Total for PEO (column (b))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(443,260 )</w:t>
            </w:r>
          </w:p>
        </w:tc>
        <w:tc>
          <w:tcPr>
            <w:tcW w:w="2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(829,813 )</w:t>
            </w:r>
          </w:p>
        </w:tc>
        <w:tc>
          <w:tcPr>
            <w:tcW w:w="220" w:type="dxa"/>
            <w:vAlign w:val="bottom"/>
            <w:shd w:val="clear" w:color="auto" w:fill="CFF0FC"/>
          </w:tcPr>
          <w:p>
            <w:pPr>
              <w:spacing w:after="0"/>
              <w:rPr>
                <w:sz w:val="21"/>
                <w:szCs w:val="21"/>
                <w:color w:val="auto"/>
              </w:rPr>
            </w:pPr>
          </w:p>
        </w:tc>
        <w:tc>
          <w:tcPr>
            <w:tcW w:w="10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(2,765,938 )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20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(436,880 )</w:t>
            </w:r>
          </w:p>
        </w:tc>
        <w:tc>
          <w:tcPr>
            <w:tcW w:w="140" w:type="dxa"/>
            <w:vAlign w:val="bottom"/>
          </w:tcPr>
          <w:p>
            <w:pPr>
              <w:spacing w:after="0"/>
              <w:rPr>
                <w:sz w:val="20"/>
                <w:szCs w:val="20"/>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(207,035 )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granted in prior year that vested in current year</w:t>
            </w:r>
          </w:p>
        </w:tc>
        <w:tc>
          <w:tcPr>
            <w:tcW w:w="200" w:type="dxa"/>
            <w:vAlign w:val="bottom"/>
            <w:shd w:val="clear" w:color="auto" w:fill="CFF0FC"/>
          </w:tcPr>
          <w:p>
            <w:pPr>
              <w:spacing w:after="0"/>
              <w:rPr>
                <w:sz w:val="21"/>
                <w:szCs w:val="21"/>
                <w:color w:val="auto"/>
              </w:rPr>
            </w:pPr>
          </w:p>
        </w:tc>
        <w:tc>
          <w:tcPr>
            <w:tcW w:w="9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(81,267 )</w:t>
            </w:r>
          </w:p>
        </w:tc>
        <w:tc>
          <w:tcPr>
            <w:tcW w:w="14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4,203,022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(1,201,866 )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granted in prior year that are outstanding and unvested as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current year-end</w:t>
            </w:r>
          </w:p>
        </w:tc>
        <w:tc>
          <w:tcPr>
            <w:tcW w:w="20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(59,872 )</w:t>
            </w:r>
          </w:p>
        </w:tc>
        <w:tc>
          <w:tcPr>
            <w:tcW w:w="1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4,412,134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2,474,982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(1,524,935 )</w:t>
            </w: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 year-end fair value of equity awards granted in the current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that are outstanding and unvested as of the current year-end</w:t>
            </w:r>
          </w:p>
        </w:tc>
        <w:tc>
          <w:tcPr>
            <w:tcW w:w="20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737,926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2,148,295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998,200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1,982,373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or Deduct - vesting date fair value of equity awards granted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vested in current year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fair value as of prior year end of equity awards granted in</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4"/>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(16,800 )</w:t>
            </w: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years that failed to vest in the current year</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6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4"/>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FF0FC"/>
            </w:tcBorders>
          </w:tcPr>
          <w:p>
            <w:pPr>
              <w:spacing w:after="0"/>
              <w:rPr>
                <w:sz w:val="19"/>
                <w:szCs w:val="19"/>
                <w:color w:val="auto"/>
              </w:rPr>
            </w:pPr>
          </w:p>
        </w:tc>
        <w:tc>
          <w:tcPr>
            <w:tcW w:w="49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Compensation Actually Paid to PEO (column (c))</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2,270,835</w:t>
            </w: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13,729,433</w:t>
            </w: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-156845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-156845</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-156845</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-156845</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8" w:lineRule="exact"/>
        <w:rPr>
          <w:sz w:val="20"/>
          <w:szCs w:val="20"/>
          <w:color w:val="auto"/>
        </w:rPr>
      </w:pPr>
    </w:p>
    <w:p>
      <w:pPr>
        <w:ind w:left="1020" w:right="140" w:hanging="504"/>
        <w:spacing w:after="0" w:line="26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Non-PEOs NEOs for fiscal 2023 and fiscal 2022 were Peter H. Stratton, Anthony J. Gaeta, Robert S. Molloy and Allison Surette. For fiscal 2021 and fiscal 2020, our Non-PEO NEOs were Ujjwal Dhoot, our former Chief Marketing Officer, and Messrs. Stratton, Molloy and Gaeta.</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0" w:name="page31"/>
    <w:bookmarkEnd w:id="30"/>
    <w:p>
      <w:pPr>
        <w:ind w:left="102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average compensation for our Non-PEO NEO's per the Summary Compensation Table (column (d)) and Average Compensation Actually Paid to Non-PEO NEO's (column (e)):</w:t>
      </w:r>
    </w:p>
    <w:p>
      <w:pPr>
        <w:spacing w:after="0" w:line="163"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3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Summary Compensation Table Total for Non-PEO NEO's</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(column (d))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579,831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(79,352 )</w:t>
            </w:r>
          </w:p>
        </w:tc>
        <w:tc>
          <w:tcPr>
            <w:tcW w:w="38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(156,331 )</w:t>
            </w:r>
          </w:p>
        </w:tc>
        <w:tc>
          <w:tcPr>
            <w:tcW w:w="4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(69,310 )</w:t>
            </w:r>
          </w:p>
        </w:tc>
        <w:tc>
          <w:tcPr>
            <w:tcW w:w="0" w:type="dxa"/>
            <w:vAlign w:val="bottom"/>
          </w:tcPr>
          <w:p>
            <w:pPr>
              <w:spacing w:after="0"/>
              <w:rPr>
                <w:sz w:val="1"/>
                <w:szCs w:val="1"/>
                <w:color w:val="auto"/>
              </w:rPr>
            </w:pPr>
          </w:p>
        </w:tc>
      </w:tr>
      <w:tr>
        <w:trPr>
          <w:trHeight w:val="247"/>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34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(53,009 )</w:t>
            </w:r>
          </w:p>
        </w:tc>
        <w:tc>
          <w:tcPr>
            <w:tcW w:w="18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(44,496 )</w:t>
            </w:r>
          </w:p>
        </w:tc>
        <w:tc>
          <w:tcPr>
            <w:tcW w:w="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granted in prior year that vested in current year</w:t>
            </w:r>
          </w:p>
        </w:tc>
        <w:tc>
          <w:tcPr>
            <w:tcW w:w="34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(44,540 )</w:t>
            </w:r>
          </w:p>
        </w:tc>
        <w:tc>
          <w:tcPr>
            <w:tcW w:w="1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122,413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(158,089 )</w:t>
            </w:r>
          </w:p>
        </w:tc>
        <w:tc>
          <w:tcPr>
            <w:tcW w:w="0" w:type="dxa"/>
            <w:vAlign w:val="bottom"/>
          </w:tcPr>
          <w:p>
            <w:pPr>
              <w:spacing w:after="0"/>
              <w:rPr>
                <w:sz w:val="1"/>
                <w:szCs w:val="1"/>
                <w:color w:val="auto"/>
              </w:rPr>
            </w:pPr>
          </w:p>
        </w:tc>
      </w:tr>
      <w:tr>
        <w:trPr>
          <w:trHeight w:val="218"/>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granted in prior year that are outstanding and unvested as of</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current year-end</w:t>
            </w:r>
          </w:p>
        </w:tc>
        <w:tc>
          <w:tcPr>
            <w:tcW w:w="34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(14,636 )</w:t>
            </w:r>
          </w:p>
        </w:tc>
        <w:tc>
          <w:tcPr>
            <w:tcW w:w="18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524,801</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464,934</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(302,611 )</w:t>
            </w:r>
          </w:p>
        </w:tc>
        <w:tc>
          <w:tcPr>
            <w:tcW w:w="0" w:type="dxa"/>
            <w:vAlign w:val="bottom"/>
          </w:tcPr>
          <w:p>
            <w:pPr>
              <w:spacing w:after="0"/>
              <w:rPr>
                <w:sz w:val="1"/>
                <w:szCs w:val="1"/>
                <w:color w:val="auto"/>
              </w:rPr>
            </w:pPr>
          </w:p>
        </w:tc>
      </w:tr>
      <w:tr>
        <w:trPr>
          <w:trHeight w:val="211"/>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 - year-end fair value of equity awards granted in the current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year that are outstanding and unvested as of the current year-end</w:t>
            </w:r>
          </w:p>
        </w:tc>
        <w:tc>
          <w:tcPr>
            <w:tcW w:w="3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445,124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or Deduct - vesting date fair value of equity awards granted and</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in current year</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Deduct - fair value as of prior year end of equity awards granted in</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prior years that failed to vest in the current year</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000" w:type="dxa"/>
            <w:vAlign w:val="bottom"/>
            <w:gridSpan w:val="3"/>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Average Compensation Actually Paid to Non-PEO NEO's (column</w:t>
            </w:r>
          </w:p>
        </w:tc>
        <w:tc>
          <w:tcPr>
            <w:tcW w:w="3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563,984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1,482,529</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120" w:hanging="504"/>
        <w:spacing w:after="0" w:line="26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used in this table is the Dow Jones U.S. Apparel Retailers Index (assuming reinvestment of all dividends), which we also utilize in the stock performance graph required by Item 201(e) of Regulation S-K, included in our Annual Report on Form 10-K for the year ended February 3, 2024. The comparison assumes $100 was invested for the period starting January 31, 2020, through the end of each fiscal year.</w:t>
      </w:r>
    </w:p>
    <w:p>
      <w:pPr>
        <w:spacing w:after="0" w:line="73" w:lineRule="exact"/>
        <w:rPr>
          <w:rFonts w:ascii="Times New Roman" w:cs="Times New Roman" w:eastAsia="Times New Roman" w:hAnsi="Times New Roman"/>
          <w:sz w:val="18"/>
          <w:szCs w:val="18"/>
          <w:color w:val="auto"/>
        </w:rPr>
      </w:pPr>
    </w:p>
    <w:p>
      <w:pPr>
        <w:ind w:left="1020" w:right="30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Adjusted EBITDA as our Company Selected Measure. Adjusted EBITDA is a Non-GAAP financial measure. For our Company, Adjusted EBITDA represents earnings before interest, taxes and depreciation and amortization and before the loss from termination of retirement plans and any asset impairment (gain).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Relationships Descriptions</w:t>
      </w:r>
    </w:p>
    <w:p>
      <w:pPr>
        <w:spacing w:after="0" w:line="229"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The following charts depict the relationships between PEO and non-PEO NEO Compensation Actually Paid ("CAP") and the financial metrics included in the table above. The key factor that drove the change in CAP for our PEO and non-PEO NEOs as compared to these financial metrics was the increase in our stock price over the periods reflected, as our LTIP awards are based solely on Company relative TSR. In addition, in fiscal 2021, the CAP for our PEO reflected the value of performance stock units that vested when our stock price reached certain thresholds in fiscal 2021.</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Compensation Actually Paid and Company's TSR</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the Company’s cumulative TSR over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252095</wp:posOffset>
            </wp:positionV>
            <wp:extent cx="4735195" cy="2834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35195" cy="283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the Company TSR and Peer Group Cumulative TSR</w:t>
      </w:r>
    </w:p>
    <w:p>
      <w:pPr>
        <w:spacing w:after="0" w:line="11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following chart shows the cumulative TSR of the Company, assuming an initial fixed $100 investment and computed in accordance with the requirements of Item 402(v) of Regulation S-K, versus the Dow Jones U.S. Apparel Retailers, assuming an initial fixed $100 investment on January 31, 2020 (end of fiscal 2019) and computed in accordance with the requirements of Item 402(v)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0"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Compensation Actually Paid and Net Income (Loss)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net income (loss) during the four most recently completed fiscal years. Net income for fiscal 2022 included a non-recurring tax benefit related to the release of our tax valuation allowance of $31.6 million. The net loss for fiscal 2020 included a $14.8 million asset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124460</wp:posOffset>
            </wp:positionV>
            <wp:extent cx="3767455" cy="21405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67455" cy="214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Compensation Actually Paid and Company-Selected Measure</w:t>
      </w:r>
    </w:p>
    <w:p>
      <w:pPr>
        <w:spacing w:after="0" w:line="11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Adjusted EBITDA, a non-GAAP measure (our Company-Selected Measure)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46355</wp:posOffset>
            </wp:positionV>
            <wp:extent cx="4332605" cy="26200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32605"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discussed above in more detail under "</w:t>
      </w:r>
      <w:r>
        <w:rPr>
          <w:rFonts w:ascii="Times New Roman" w:cs="Times New Roman" w:eastAsia="Times New Roman" w:hAnsi="Times New Roman"/>
          <w:sz w:val="18"/>
          <w:szCs w:val="18"/>
          <w:i w:val="1"/>
          <w:iCs w:val="1"/>
          <w:color w:val="auto"/>
        </w:rPr>
        <w:t>Compensation Discussion and Analysis - Compensation Components and Fiscal 2023 Compensation Decisions,</w:t>
      </w:r>
      <w:r>
        <w:rPr>
          <w:rFonts w:ascii="Times New Roman" w:cs="Times New Roman" w:eastAsia="Times New Roman" w:hAnsi="Times New Roman"/>
          <w:sz w:val="18"/>
          <w:szCs w:val="18"/>
          <w:color w:val="auto"/>
        </w:rPr>
        <w:t>" the Compensation Committee uses several financial and operational performance measures in making its compensation decisions. The following list represents the most important financial performance measures used by the Company to link Compensation Actually Paid to our PEO and other NEOs to Company performance for fiscal 2023.</w:t>
      </w:r>
    </w:p>
    <w:p>
      <w:pPr>
        <w:spacing w:after="0" w:line="295" w:lineRule="exact"/>
        <w:rPr>
          <w:sz w:val="20"/>
          <w:szCs w:val="20"/>
          <w:color w:val="auto"/>
        </w:rPr>
      </w:pPr>
    </w:p>
    <w:p>
      <w:pPr>
        <w:ind w:left="3220" w:hanging="285"/>
        <w:spacing w:after="0"/>
        <w:tabs>
          <w:tab w:leader="none" w:pos="3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measure)</w:t>
      </w:r>
    </w:p>
    <w:p>
      <w:pPr>
        <w:spacing w:after="0" w:line="130" w:lineRule="exact"/>
        <w:rPr>
          <w:rFonts w:ascii="Times New Roman" w:cs="Times New Roman" w:eastAsia="Times New Roman" w:hAnsi="Times New Roman"/>
          <w:sz w:val="18"/>
          <w:szCs w:val="18"/>
          <w:color w:val="auto"/>
        </w:rPr>
      </w:pPr>
    </w:p>
    <w:p>
      <w:pPr>
        <w:ind w:left="3220" w:hanging="285"/>
        <w:spacing w:after="0"/>
        <w:tabs>
          <w:tab w:leader="none" w:pos="3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w:t>
      </w:r>
    </w:p>
    <w:p>
      <w:pPr>
        <w:spacing w:after="0" w:line="130" w:lineRule="exact"/>
        <w:rPr>
          <w:rFonts w:ascii="Times New Roman" w:cs="Times New Roman" w:eastAsia="Times New Roman" w:hAnsi="Times New Roman"/>
          <w:sz w:val="18"/>
          <w:szCs w:val="18"/>
          <w:color w:val="auto"/>
        </w:rPr>
      </w:pPr>
    </w:p>
    <w:p>
      <w:pPr>
        <w:ind w:left="3220" w:hanging="285"/>
        <w:spacing w:after="0"/>
        <w:tabs>
          <w:tab w:leader="none" w:pos="3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Harvey S. Kanter, President, Chief Executive Officer and Director</w:t>
      </w:r>
    </w:p>
    <w:p>
      <w:pPr>
        <w:spacing w:after="0" w:line="33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February 19, 2019, we entered into an employment agreement with Mr. Kanter, pursuant to which Mr. Kanter was appointed President, Chief Executive Officer and a director of the Company effective April 1, 2019. From February 19, 2019 to March 31, 2019, Mr. Kanter served as an Advisor to the Acting CEO. The initial term of the agreement was three years and could be automatically renewed, upon the same terms and conditions, for successive periods of one year, unless either party terminated the agreement in accordance with its terms.</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February 2022, the Compensation Committee engaged Segal to review Mr. Kanter’s direct compensation. Effective April 1, 2022, the Company and Mr. Kanter entered into an updated employment agreement (the "Employment Agreement"). The initial term of the Employment Agreement was for three years, unless terminated earlier in accordance with its terms (the "Initial Term").</w:t>
      </w:r>
    </w:p>
    <w:p>
      <w:pPr>
        <w:spacing w:after="0" w:line="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August 11, 2023, the Company and Mr. Kanter entered into the First Amendment (the “Amendment”) to the Employment Agreement (as amended, the "Amended Employment Agreement"). The Amendment extended the initial term of Mr. Kanter’s employment from April 1, 2025 to August 11, 2026, unless terminated earlier in accordance with the terms of the Amended Employment Agreement (the “Initial Term”). At the expiration of the Initial Term, the Amended Employment Agreement will automatically renew, upon the same terms and conditions, for successive periods of one year, unless either party provides advance written notice in accordance with the Amended Employment Agreement.</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the Company’s corporate offices.</w:t>
      </w:r>
    </w:p>
    <w:p>
      <w:pPr>
        <w:spacing w:after="0" w:line="6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connection with the extension of the Initial Term under the Amendment, Mr. Kanter received 573,000 PSUs to be settled in shares of the Company’s common stock upon vesting.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w:t>
      </w:r>
    </w:p>
    <w:p>
      <w:pPr>
        <w:spacing w:after="0" w:line="7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Pursuant to the Amended Employment Agreement, if Mr. Kanter terminates his employment for Good Reason (as defined in the Amended Employment Agreement) or the Company terminates his employment without Justifiable Cause (as defined in the Amended Employment Agreement):</w:t>
      </w:r>
    </w:p>
    <w:p>
      <w:pPr>
        <w:spacing w:after="0" w:line="163" w:lineRule="exact"/>
        <w:rPr>
          <w:sz w:val="20"/>
          <w:szCs w:val="20"/>
          <w:color w:val="auto"/>
        </w:rPr>
      </w:pPr>
    </w:p>
    <w:p>
      <w:pPr>
        <w:ind w:left="1020" w:right="220" w:hanging="504"/>
        <w:spacing w:after="0" w:line="258"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Term of the Amended Employment Agreement, Mr. Kanter will be eligible to receive, subject to certain requirements described in the Employment Agreement, a severance payment equal to (x) the base salary he would have been paid through the end of the Initial Term plus (y) bonuses under the AIP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4" w:name="page35"/>
    <w:bookmarkEnd w:id="34"/>
    <w:p>
      <w:pPr>
        <w:ind w:left="1140" w:right="160" w:hanging="758"/>
        <w:spacing w:after="0" w:line="281"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one-year period that commences after the end of the Initial Term, Mr. Kanter will be eligible to receive a payment equal to (x) his then current base salary plus (y) the then value of his target bonus under the AIP, payable in 24 monthly installments, and,</w:t>
      </w:r>
    </w:p>
    <w:p>
      <w:pPr>
        <w:spacing w:after="0" w:line="162" w:lineRule="exact"/>
        <w:rPr>
          <w:rFonts w:ascii="Times New Roman" w:cs="Times New Roman" w:eastAsia="Times New Roman" w:hAnsi="Times New Roman"/>
          <w:sz w:val="18"/>
          <w:szCs w:val="18"/>
          <w:color w:val="auto"/>
        </w:rPr>
      </w:pPr>
    </w:p>
    <w:p>
      <w:pPr>
        <w:ind w:left="1140" w:right="80" w:hanging="758"/>
        <w:spacing w:after="0" w:line="265"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not to renew the Amended Employment Agreement after the Initial Term, Mr. Kanter will be eligible to receive a payment equal to (i) three months of his then current base salary plus (ii) the then value of 25% of his target bonus under the AIP, payable in 24 monthly installments.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If Mr. Kanter’s employment is terminated by him for Good Reason or by the Company without Justifiable Cause during the one-year period following a Change in Control (as defined in the 2016 Plan), then Mr. Kanter will be eligible to receive, subject to certain requirements described in the Employment Agreement, a payment equal to (i) two times his then current base salary plus (ii) the then value of two times his target bonus under the AIP, generally payable in a lump sum within 60 days of the termination of his employment following a Change in Control.</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addition, if a termination of Mr. Kanter’s employment prior to the expiration of the Initial Term meets the requirements of a Structured Retirement (as defined in the LTIP, as described above) such termination will be deemed to be a termination by the Company without Justifiable Cause. Additionally, for purposes of the AIP, a termination of his employment that meets the requirements of a Structured Retirement and that occurs at any time during the employment term (including after the Initial Term) will be deemed to be a termination by the Company without Justifiable Cause under the AIP.</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 with Other Named Executive Officers</w:t>
      </w:r>
    </w:p>
    <w:p>
      <w:pPr>
        <w:spacing w:after="0" w:line="117"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We have employment agreements with each of Named Executive Officers other than our CEO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spacing w:after="0" w:line="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Each of the NEO Employment Agreements provide that, if the executive officer’s employment is terminated by us at any time for any reason other than “justifiable cause” (as defined in the NEO Employment Agreements), disability or death, we are required to pay the executive the executive's then 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7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Internal Revenue Code Section 280G(b)(i).</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his/her employment and for a one-year period following the termination of his/her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Estimated Potential Payments to Named Executive Officers</w:t>
      </w:r>
    </w:p>
    <w:p>
      <w:pPr>
        <w:spacing w:after="0" w:line="11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February 3, 2024 (the last day of fiscal year 2023).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Long-Term Incentive Plan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w w:val="99"/>
              </w:rPr>
              <w:t>Continued</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80" w:type="dxa"/>
            <w:vAlign w:val="bottom"/>
          </w:tcPr>
          <w:p>
            <w:pPr>
              <w:spacing w:after="0"/>
              <w:rPr>
                <w:sz w:val="17"/>
                <w:szCs w:val="17"/>
                <w:color w:val="auto"/>
              </w:rPr>
            </w:pPr>
          </w:p>
        </w:tc>
        <w:tc>
          <w:tcPr>
            <w:tcW w:w="820" w:type="dxa"/>
            <w:vAlign w:val="bottom"/>
            <w:gridSpan w:val="2"/>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Time-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ind w:right="21"/>
              <w:spacing w:after="0" w:line="175" w:lineRule="exact"/>
              <w:rPr>
                <w:sz w:val="20"/>
                <w:szCs w:val="20"/>
                <w:color w:val="auto"/>
              </w:rPr>
            </w:pPr>
            <w:r>
              <w:rPr>
                <w:rFonts w:ascii="Times New Roman" w:cs="Times New Roman" w:eastAsia="Times New Roman" w:hAnsi="Times New Roman"/>
                <w:sz w:val="16"/>
                <w:szCs w:val="16"/>
                <w:b w:val="1"/>
                <w:bCs w:val="1"/>
                <w:color w:val="auto"/>
              </w:rPr>
              <w:t>Based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Base</w:t>
            </w: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80" w:type="dxa"/>
            <w:vAlign w:val="bottom"/>
          </w:tcPr>
          <w:p>
            <w:pPr>
              <w:spacing w:after="0"/>
              <w:rPr>
                <w:sz w:val="4"/>
                <w:szCs w:val="4"/>
                <w:color w:val="auto"/>
              </w:rPr>
            </w:pPr>
          </w:p>
        </w:tc>
        <w:tc>
          <w:tcPr>
            <w:tcW w:w="820" w:type="dxa"/>
            <w:vAlign w:val="bottom"/>
            <w:gridSpan w:val="2"/>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6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7"/>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6"/>
                <w:szCs w:val="16"/>
                <w:b w:val="1"/>
                <w:bCs w:val="1"/>
                <w:color w:val="auto"/>
                <w:w w:val="99"/>
              </w:rPr>
              <w:t xml:space="preserve">Compensation </w:t>
            </w:r>
            <w:r>
              <w:rPr>
                <w:rFonts w:ascii="Times New Roman" w:cs="Times New Roman" w:eastAsia="Times New Roman" w:hAnsi="Times New Roman"/>
                <w:sz w:val="21"/>
                <w:szCs w:val="21"/>
                <w:b w:val="1"/>
                <w:bCs w:val="1"/>
                <w:color w:val="auto"/>
                <w:w w:val="99"/>
                <w:vertAlign w:val="superscript"/>
              </w:rPr>
              <w:t>(4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Salary</w:t>
            </w:r>
          </w:p>
        </w:tc>
        <w:tc>
          <w:tcPr>
            <w:tcW w:w="3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ind w:left="160"/>
              <w:spacing w:after="0" w:line="148" w:lineRule="exact"/>
              <w:rPr>
                <w:sz w:val="20"/>
                <w:szCs w:val="20"/>
                <w:color w:val="auto"/>
              </w:rPr>
            </w:pPr>
            <w:r>
              <w:rPr>
                <w:rFonts w:ascii="Times New Roman" w:cs="Times New Roman" w:eastAsia="Times New Roman" w:hAnsi="Times New Roman"/>
                <w:sz w:val="16"/>
                <w:szCs w:val="16"/>
                <w:b w:val="1"/>
                <w:bCs w:val="1"/>
                <w:color w:val="auto"/>
                <w:w w:val="96"/>
              </w:rPr>
              <w:t>Plan</w:t>
            </w:r>
          </w:p>
        </w:tc>
        <w:tc>
          <w:tcPr>
            <w:tcW w:w="46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220" w:type="dxa"/>
            <w:vAlign w:val="bottom"/>
          </w:tcPr>
          <w:p>
            <w:pPr>
              <w:spacing w:after="0"/>
              <w:rPr>
                <w:sz w:val="12"/>
                <w:szCs w:val="12"/>
                <w:color w:val="auto"/>
              </w:rPr>
            </w:pPr>
          </w:p>
        </w:tc>
        <w:tc>
          <w:tcPr>
            <w:tcW w:w="62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3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(3) (5)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6"/>
              </w:rPr>
              <w:t>)(5)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4,320,833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866,346</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2,211,737</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1,664,227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866,346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2,211,737</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1,664,227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8,142,310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224,007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505,990</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391,692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1,325,188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224,007</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505,990</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391,692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186,118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365,203</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1,020,670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186,118</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365,203</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269,350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186,876</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452,774</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332,836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186,876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452,774</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332,836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1,358,486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Allison Surette</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169,460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353,391</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264,479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974,829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169,460</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353,391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760" w:right="180" w:hanging="378"/>
        <w:spacing w:after="0" w:line="232" w:lineRule="auto"/>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Mr. Kanter was in the Initial Term of his Amended Employment Agreement as of February 3, 2024,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69" w:lineRule="exact"/>
        <w:rPr>
          <w:rFonts w:ascii="Times New Roman" w:cs="Times New Roman" w:eastAsia="Times New Roman" w:hAnsi="Times New Roman"/>
          <w:sz w:val="14"/>
          <w:szCs w:val="14"/>
          <w:color w:val="auto"/>
        </w:rPr>
      </w:pPr>
    </w:p>
    <w:p>
      <w:pPr>
        <w:ind w:left="760" w:hanging="378"/>
        <w:spacing w:after="0" w:line="261" w:lineRule="auto"/>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the actual incentive earned for 2023 AIP. See "</w:t>
      </w:r>
      <w:r>
        <w:rPr>
          <w:rFonts w:ascii="Times New Roman" w:cs="Times New Roman" w:eastAsia="Times New Roman" w:hAnsi="Times New Roman"/>
          <w:sz w:val="14"/>
          <w:szCs w:val="14"/>
          <w:i w:val="1"/>
          <w:iCs w:val="1"/>
          <w:color w:val="auto"/>
        </w:rPr>
        <w:t>Compensation Discussion and Analysis - Compensation Components and Fiscal 2023 Compensation Decisions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Discretionary Cash and Equity Awards</w:t>
      </w:r>
      <w:r>
        <w:rPr>
          <w:rFonts w:ascii="Times New Roman" w:cs="Times New Roman" w:eastAsia="Times New Roman" w:hAnsi="Times New Roman"/>
          <w:sz w:val="14"/>
          <w:szCs w:val="14"/>
          <w:color w:val="auto"/>
        </w:rPr>
        <w:t>" for more information regarding this award.</w:t>
      </w:r>
    </w:p>
    <w:p>
      <w:pPr>
        <w:spacing w:after="0" w:line="56" w:lineRule="exact"/>
        <w:rPr>
          <w:rFonts w:ascii="Times New Roman" w:cs="Times New Roman" w:eastAsia="Times New Roman" w:hAnsi="Times New Roman"/>
          <w:sz w:val="14"/>
          <w:szCs w:val="14"/>
          <w:color w:val="auto"/>
        </w:rPr>
      </w:pPr>
    </w:p>
    <w:p>
      <w:pPr>
        <w:ind w:left="760" w:right="80" w:hanging="378"/>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LTIPs represent time-based RSUs and Stock options under our 2020-2022 LTIP, 2021-2023 LTIP, 2022-2024 LTIP and 2023-2025 LTIP. Because the respective performance periods for the 2020-2022 LTIP and the 2021-2023 LTIP would have been complete as of February 3, 2024, all outstanding awards would have become fully vested under both a Qualifying Termination and Qualifying Termination due to a change in control. Because the 2022-2024 LTIP would have completed the second year of its performance period and the 2023-2025 LTIP would have completed the first year of its performance period, as of February 3, 2024, each participant would have vested in RSUs and stock options based on a pro-rata vesting percentage, which is calculated based on the number of effective days of participation over the total number of days in the performance period.</w:t>
      </w:r>
    </w:p>
    <w:p>
      <w:pPr>
        <w:spacing w:after="0" w:line="192" w:lineRule="exact"/>
        <w:rPr>
          <w:rFonts w:ascii="Times New Roman" w:cs="Times New Roman" w:eastAsia="Times New Roman" w:hAnsi="Times New Roman"/>
          <w:sz w:val="14"/>
          <w:szCs w:val="14"/>
          <w:color w:val="auto"/>
        </w:rPr>
      </w:pPr>
    </w:p>
    <w:p>
      <w:pPr>
        <w:ind w:left="760" w:right="20" w:hanging="378"/>
        <w:spacing w:after="0" w:line="230" w:lineRule="auto"/>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actual performance award earned under the 2021-2023 LTIP. Because the performance periods for the 2022-2024 LTIP and the 2023-2025 LTIP were not complete as of February 3, 2024,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For a Qualifying Termination due to a change in control, each participant would be entitled to receive a pro-rated vesting percentage, at the date of the change in control at target. Mr. Kanter’s 573,000 PSUs would forfeit unexercised unless, during the thirty-days following his termination, a performance target is achieved. In such case, he would be entitled to any unvested PSUs that would have vested as though he had not been terminated.</w:t>
      </w:r>
    </w:p>
    <w:p>
      <w:pPr>
        <w:spacing w:after="0" w:line="72" w:lineRule="exact"/>
        <w:rPr>
          <w:rFonts w:ascii="Times New Roman" w:cs="Times New Roman" w:eastAsia="Times New Roman" w:hAnsi="Times New Roman"/>
          <w:sz w:val="14"/>
          <w:szCs w:val="14"/>
          <w:color w:val="auto"/>
        </w:rPr>
      </w:pPr>
    </w:p>
    <w:p>
      <w:pPr>
        <w:ind w:left="760" w:right="140" w:hanging="378"/>
        <w:spacing w:after="0" w:line="239" w:lineRule="auto"/>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time-based RSUs awards that would vest upon an assumed termination on February 3, 2024 were valued using the closing stock price of our stock on February 2, 2024 of $4.16 per share. The value of all outstanding stock options that would become exercisable upon an assumed termination on February 3, 2024 were valued using the spread between the closing stock price of our stock on February 2, 2024 and the respective exercise price of such stock option.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Clawback Policies</w:t>
      </w:r>
    </w:p>
    <w:p>
      <w:pPr>
        <w:spacing w:after="0" w:line="1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212121"/>
        </w:rPr>
        <w:t>Executive Clawback Policy</w:t>
      </w:r>
      <w:r>
        <w:rPr>
          <w:rFonts w:ascii="Times New Roman" w:cs="Times New Roman" w:eastAsia="Times New Roman" w:hAnsi="Times New Roman"/>
          <w:sz w:val="18"/>
          <w:szCs w:val="18"/>
          <w:color w:val="212121"/>
        </w:rPr>
        <w:t>. The Board adopted a</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(the “Executive</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that complies with the final SEC</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regulations</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mandated by the Dodd-Frank Wall Street Reform and Consumer Protection Act of 2010 and Nasdaq Listing Rule 5608. The Executive Clawback Policy provides for repayment of incentive-based compensation in the event of an accounting restatement resulting from noncompliance with financial reporting requirements under federal securities laws. The policy applies to current and former executives and requires reimbursement or forfeiture of any excess incentive compensation received by an executive during the three completed fiscal years immediately preceding the date on which the Company is required to prepare an accounting restatement. The Executive Clawback Policy is in addition to, the Company’s other clawback policies and provisions described below.</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Other Clawback Policies and Provisions</w:t>
      </w:r>
      <w:r>
        <w:rPr>
          <w:rFonts w:ascii="Times New Roman" w:cs="Times New Roman" w:eastAsia="Times New Roman" w:hAnsi="Times New Roman"/>
          <w:sz w:val="18"/>
          <w:szCs w:val="18"/>
          <w:color w:val="auto"/>
        </w:rPr>
        <w:t>. Our employment agreements with members of our senior management and our long-term incentive plans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provisions that provide for remedies in the event we learn, after the senior executive is terminated by us other than for “justifiable cause,” that the senior executive could have been terminated for “justifiable cause.” In addition, since August 2018, we have had an executive incentive pay clawback policy that permits the Company to recover incentive-based compensation (cash and/or equity) from current and former executive officers of the Company in certain circumstances.</w:t>
      </w:r>
    </w:p>
    <w:p>
      <w:pPr>
        <w:spacing w:after="0" w:line="1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in fiscal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GRANTS OF PLAN-BASED AWARDS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0"/>
              </w:rPr>
              <w:t>Date</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Estimated Future Payouts</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6"/>
            <w:vMerge w:val="restart"/>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or Base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Pr>
          <w:p>
            <w:pPr>
              <w:spacing w:after="0"/>
              <w:rPr>
                <w:sz w:val="9"/>
                <w:szCs w:val="9"/>
                <w:color w:val="auto"/>
              </w:rPr>
            </w:pP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220" w:type="dxa"/>
            <w:vAlign w:val="bottom"/>
          </w:tcPr>
          <w:p>
            <w:pPr>
              <w:spacing w:after="0"/>
              <w:rPr>
                <w:sz w:val="9"/>
                <w:szCs w:val="9"/>
                <w:color w:val="auto"/>
              </w:rPr>
            </w:pPr>
          </w:p>
        </w:tc>
        <w:tc>
          <w:tcPr>
            <w:tcW w:w="52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 Equity</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Underlyin</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89"/>
              </w:rPr>
              <w:t>and</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2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g</w:t>
            </w:r>
          </w:p>
        </w:tc>
        <w:tc>
          <w:tcPr>
            <w:tcW w:w="2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Maximu</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Grant</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Inception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Threshold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1"/>
              </w:rPr>
              <w:t>Threshold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12"/>
                <w:szCs w:val="12"/>
                <w:color w:val="auto"/>
              </w:rPr>
            </w:pPr>
          </w:p>
        </w:tc>
        <w:tc>
          <w:tcPr>
            <w:tcW w:w="4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86"/>
              </w:rPr>
              <w:t>m</w:t>
            </w:r>
          </w:p>
        </w:tc>
        <w:tc>
          <w:tcPr>
            <w:tcW w:w="2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or Units</w:t>
            </w:r>
          </w:p>
        </w:tc>
        <w:tc>
          <w:tcPr>
            <w:tcW w:w="2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2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Date</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3"/>
                <w:szCs w:val="13"/>
                <w:color w:val="auto"/>
              </w:rPr>
            </w:pP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78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70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 / Sh)</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Harvey S. Kanter</w:t>
            </w:r>
          </w:p>
        </w:tc>
        <w:tc>
          <w:tcPr>
            <w:tcW w:w="6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173,269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866,346</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1,732,692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82,289</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180,625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180,625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$ 541,875</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220" w:type="dxa"/>
            <w:vAlign w:val="bottom"/>
            <w:shd w:val="clear" w:color="auto" w:fill="CFF0FC"/>
          </w:tcPr>
          <w:p>
            <w:pPr>
              <w:spacing w:after="0"/>
              <w:rPr>
                <w:sz w:val="13"/>
                <w:szCs w:val="13"/>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Performance Stock Units (4)</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8/11/2023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573,000</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2,404,689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9"/>
              </w:rPr>
              <w:t>Peter</w:t>
            </w:r>
          </w:p>
        </w:tc>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 Stratton, Jr.</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49,779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248,896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20,859</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$ 137,363</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Anthony J. Gaeta</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39,183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195,914</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293,870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56,875</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12,955</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shd w:val="clear" w:color="auto" w:fill="CFF0FC"/>
          </w:tcPr>
          <w:p>
            <w:pPr>
              <w:spacing w:after="0"/>
              <w:rPr>
                <w:sz w:val="13"/>
                <w:szCs w:val="13"/>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28,438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56,875</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85,313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28,438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56,875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85,313</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Robert S. Molloy</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39,342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196,712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295,067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15,387</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101,325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$ 101,325</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Allison Surette</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 AIP (2)</w:t>
            </w:r>
          </w:p>
        </w:tc>
        <w:tc>
          <w:tcPr>
            <w:tcW w:w="6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37,658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188,289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282,433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20" w:type="dxa"/>
            <w:vAlign w:val="bottom"/>
            <w:shd w:val="clear" w:color="auto" w:fill="CFF0FC"/>
          </w:tcPr>
          <w:p>
            <w:pPr>
              <w:spacing w:after="0"/>
              <w:rPr>
                <w:sz w:val="12"/>
                <w:szCs w:val="12"/>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Time-Based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61,250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13,952</w:t>
            </w: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shd w:val="clear" w:color="auto" w:fill="CFF0FC"/>
          </w:tcPr>
          <w:p>
            <w:pPr>
              <w:spacing w:after="0"/>
              <w:rPr>
                <w:sz w:val="13"/>
                <w:szCs w:val="13"/>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2023-2025 LTIP, Performance-Based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30,625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61,250</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91,875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30,625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61,250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91,875</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right="6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and are accounted for as a liability during the performance period. The actual grant date of equity awards, if any, will occur only if the performance targets are achieved and only if the Compensation Committee were to decide to grant a portion or all of the award in the form of equity. For purposes of this table, it is assumed that any performance-based award earned under the 2023-2025 LTIP would be granted in a combination of 50% cash and 50% equity. See footnote 3 below for additional information on the 2023-2025 LTIP.</w:t>
      </w:r>
    </w:p>
    <w:p>
      <w:pPr>
        <w:spacing w:after="0" w:line="181"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payout for each executive assumes the achievement of only the individual personal goals, target payout assumes 100%, and the maximum payout assumes 150% of the payout targets under the 2023 AIP, with the exception of the maximum payout for Mr. Kanter which is 200%. See “</w:t>
      </w:r>
      <w:r>
        <w:rPr>
          <w:rFonts w:ascii="Times New Roman" w:cs="Times New Roman" w:eastAsia="Times New Roman" w:hAnsi="Times New Roman"/>
          <w:sz w:val="18"/>
          <w:szCs w:val="18"/>
          <w:i w:val="1"/>
          <w:iCs w:val="1"/>
          <w:color w:val="auto"/>
        </w:rPr>
        <w:t>Compensation Components and Fiscal 2023 Compensation Decisions - Performance-based annual incentive plan – 20232 AIP</w:t>
      </w:r>
      <w:r>
        <w:rPr>
          <w:rFonts w:ascii="Times New Roman" w:cs="Times New Roman" w:eastAsia="Times New Roman" w:hAnsi="Times New Roman"/>
          <w:sz w:val="18"/>
          <w:szCs w:val="18"/>
          <w:color w:val="auto"/>
        </w:rPr>
        <w:t>” for more information on the targets set under the 2023 AIP. The respective actual cash payment made to each of the Named Executive Officers under the 2023 AIP is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for fiscal 2023.</w:t>
      </w:r>
    </w:p>
    <w:p>
      <w:pPr>
        <w:spacing w:after="0" w:line="181"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the Compensation Committee approved the performance target for the 2023-2025 LTIP. The performance-based awards represent 50% of the total potential payout under the 2023-2025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7" w:name="page38"/>
    <w:bookmarkEnd w:id="37"/>
    <w:p>
      <w:pPr>
        <w:ind w:left="760" w:right="20"/>
        <w:spacing w:after="0" w:line="256" w:lineRule="auto"/>
        <w:rPr>
          <w:sz w:val="20"/>
          <w:szCs w:val="20"/>
          <w:color w:val="auto"/>
        </w:rPr>
      </w:pPr>
      <w:r>
        <w:rPr>
          <w:rFonts w:ascii="Times New Roman" w:cs="Times New Roman" w:eastAsia="Times New Roman" w:hAnsi="Times New Roman"/>
          <w:sz w:val="18"/>
          <w:szCs w:val="18"/>
          <w:color w:val="auto"/>
        </w:rPr>
        <w:t>if the performance targets are achieved and only if the Compensation Committee decides to grant a portion or all of the award in equity. The remaining 50% of the total potential payout under the 2023-2025 LTIP represents time-based awards, which were granted 50% cash and 50% in RSUs. The above table reflects the cash award and the RSUs that were granted on May 1, 2023. The cash award and the RSUs vest in four equal tranches, with the first tranche vesting on May 1, 2024, and the remaining tranches vesting on April 1, 2025, April 1, 2026, and April 1, 2027. See “</w:t>
      </w:r>
      <w:r>
        <w:rPr>
          <w:rFonts w:ascii="Times New Roman" w:cs="Times New Roman" w:eastAsia="Times New Roman" w:hAnsi="Times New Roman"/>
          <w:sz w:val="18"/>
          <w:szCs w:val="18"/>
          <w:i w:val="1"/>
          <w:iCs w:val="1"/>
          <w:color w:val="auto"/>
        </w:rPr>
        <w:t>Compensation Components and Fiscal 2023 Compensation Decisions - Long-term incentive plans - 2023-2025 Performance Period</w:t>
      </w:r>
      <w:r>
        <w:rPr>
          <w:rFonts w:ascii="Times New Roman" w:cs="Times New Roman" w:eastAsia="Times New Roman" w:hAnsi="Times New Roman"/>
          <w:sz w:val="18"/>
          <w:szCs w:val="18"/>
          <w:color w:val="auto"/>
        </w:rPr>
        <w:t>” above for more information on the targets.</w:t>
      </w:r>
    </w:p>
    <w:p>
      <w:pPr>
        <w:spacing w:after="0" w:line="186" w:lineRule="exact"/>
        <w:rPr>
          <w:sz w:val="20"/>
          <w:szCs w:val="20"/>
          <w:color w:val="auto"/>
        </w:rPr>
      </w:pPr>
    </w:p>
    <w:p>
      <w:pPr>
        <w:ind w:left="760" w:right="20" w:hanging="378"/>
        <w:spacing w:after="0" w:line="260"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in connection with the extension of Mr. Kanter's employment agreement, the Compensation Committee granted to Mr. Kanter 573,000 PSUs.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1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OUTSTANDING EQUITY AWARDS AT FISCAL YEAR-END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Equity</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4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Equity</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Plan</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Plan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Market</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Awards: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4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8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Shares,</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Shares, Units</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w w:val="97"/>
              </w:rPr>
              <w:t>or</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3"/>
                <w:szCs w:val="13"/>
                <w:b w:val="1"/>
                <w:bCs w:val="1"/>
                <w:color w:val="auto"/>
              </w:rPr>
              <w:t>That</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Rights That</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Other Rights</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3"/>
                <w:szCs w:val="13"/>
                <w:b w:val="1"/>
                <w:bCs w:val="1"/>
                <w:color w:val="auto"/>
              </w:rPr>
              <w:t>Have</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140" w:type="dxa"/>
            <w:vAlign w:val="bottom"/>
            <w:gridSpan w:val="3"/>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42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69"/>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2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Harvey S. Kanter</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573,000</w:t>
            </w:r>
          </w:p>
        </w:tc>
        <w:tc>
          <w:tcPr>
            <w:tcW w:w="420" w:type="dxa"/>
            <w:vAlign w:val="bottom"/>
            <w:shd w:val="clear" w:color="auto" w:fill="CFF0FC"/>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2,383,680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53,971</w:t>
            </w:r>
          </w:p>
        </w:tc>
        <w:tc>
          <w:tcPr>
            <w:tcW w:w="2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224,519</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82,289</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342,322</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6/10/2030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221,020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221,020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83,990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167,980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35,421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35,422</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Peter H. Stratton, Jr.</w:t>
            </w:r>
          </w:p>
        </w:tc>
        <w:tc>
          <w:tcPr>
            <w:tcW w:w="1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126,727</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48,909</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37,172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37,172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24,078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12,038</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13,681</w:t>
            </w:r>
          </w:p>
        </w:tc>
        <w:tc>
          <w:tcPr>
            <w:tcW w:w="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56,913</w:t>
            </w: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20,859</w:t>
            </w:r>
          </w:p>
        </w:tc>
        <w:tc>
          <w:tcPr>
            <w:tcW w:w="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86,773</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14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Anthony J. Gaeta</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109,581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36,527</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27,761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27,761</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2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35,348</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12,955</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53,893</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Robert S. Molloy</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79,298</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46,433</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8"/>
        </w:trPr>
        <w:tc>
          <w:tcPr>
            <w:tcW w:w="13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15,290</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35,289</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10,092</w:t>
            </w:r>
          </w:p>
        </w:tc>
        <w:tc>
          <w:tcPr>
            <w:tcW w:w="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41,983</w:t>
            </w: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15,387</w:t>
            </w:r>
          </w:p>
        </w:tc>
        <w:tc>
          <w:tcPr>
            <w:tcW w:w="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64,010</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114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Allison Surette</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92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9/11/2026</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105,867</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35,288</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17,372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8,209</w:t>
            </w:r>
          </w:p>
        </w:tc>
        <w:tc>
          <w:tcPr>
            <w:tcW w:w="2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34,149</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13,952</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58,040</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 $</w:t>
            </w: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045" w:gutter="0" w:footer="0" w:header="0"/>
        </w:sectPr>
      </w:pPr>
    </w:p>
    <w:bookmarkStart w:id="38" w:name="page39"/>
    <w:bookmarkEnd w:id="38"/>
    <w:p>
      <w:pPr>
        <w:spacing w:after="0" w:line="17"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$4.16 on February 2, 2024.</w:t>
      </w:r>
    </w:p>
    <w:p>
      <w:pPr>
        <w:spacing w:after="0" w:line="116" w:lineRule="exact"/>
        <w:rPr>
          <w:rFonts w:ascii="Times New Roman" w:cs="Times New Roman" w:eastAsia="Times New Roman" w:hAnsi="Times New Roman"/>
          <w:sz w:val="18"/>
          <w:szCs w:val="18"/>
          <w:color w:val="auto"/>
        </w:rPr>
      </w:pPr>
    </w:p>
    <w:p>
      <w:pPr>
        <w:ind w:left="760" w:right="220" w:hanging="378"/>
        <w:spacing w:after="0" w:line="260"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an award granted to Mr. Kanter in August 2023 in connection with the extension of his employment agreement.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73"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April 9, 2022 in connection with our 2022-2024 LTIP. These awards vest in three remaining equal tranches on April 1, 2024, April 1, 2025 and April 1, 2026.</w:t>
      </w:r>
    </w:p>
    <w:p>
      <w:pPr>
        <w:spacing w:after="0" w:line="54"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May 1, 2023 in connection with our 2023-2025 LTIP. These awards vest in four equal tranches on April 1, 2024, April 1, 2025, April 1, 2026 and April 1, 2027.</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discretionary grant of stock options to Mr. Kanter in fiscal 2020 that vested in three equal tranches.</w:t>
      </w:r>
    </w:p>
    <w:p>
      <w:pPr>
        <w:spacing w:after="0" w:line="116"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June 11, 2020 in connection with the time-based portion of our 2020-2022 LTIP. The awards vest in four equal tranches on June 11, 2021, April 1, 2022, April 1, 2023 and April 1, 2024.</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March 8, 2021 in connection with the time-based portion of our 2021-2023 LTIP. The awards vest in four equal tranches on April 1, 2022, April 1, 2023, April 1, 2024 and April 1, 2025.</w:t>
      </w:r>
    </w:p>
    <w:p>
      <w:pPr>
        <w:spacing w:after="0" w:line="54"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discretionary grant of stock options on March 9, 2021 to Mr. Kanter and the active members of management who were participants in the 2018-2020 LTIP. The awards vest in three equal tranches on March 9, 2022, March 9, 2023 and March 9, 2024.</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pro-rata grant of stock options issued to Ms. Surette in connection with her promotion in fiscal 2016 in accordance with the terms of the LTIP.</w:t>
      </w:r>
    </w:p>
    <w:p>
      <w:pPr>
        <w:spacing w:after="0" w:line="15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awards and the vesting of stock awards during fiscal 2023.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OPTION EXERCISES AND STOCK VESTED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tcPr>
          <w:p>
            <w:pPr>
              <w:jc w:val="right"/>
              <w:ind w:right="779"/>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Pr>
          <w:p>
            <w:pPr>
              <w:spacing w:after="0"/>
              <w:rPr>
                <w:sz w:val="15"/>
                <w:szCs w:val="15"/>
                <w:color w:val="auto"/>
              </w:rPr>
            </w:pPr>
          </w:p>
        </w:tc>
        <w:tc>
          <w:tcPr>
            <w:tcW w:w="2660" w:type="dxa"/>
            <w:vAlign w:val="bottom"/>
            <w:gridSpan w:val="5"/>
          </w:tcPr>
          <w:p>
            <w:pPr>
              <w:ind w:left="88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3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9"/>
              </w:rPr>
              <w:t>Acquired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3"/>
                <w:szCs w:val="13"/>
                <w:b w:val="1"/>
                <w:bCs w:val="1"/>
                <w:color w:val="auto"/>
              </w:rPr>
              <w:t>Value Realized</w:t>
            </w: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Vested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3"/>
                <w:szCs w:val="13"/>
                <w:b w:val="1"/>
                <w:bCs w:val="1"/>
                <w:color w:val="auto"/>
              </w:rPr>
              <w:t>on Vesting</w:t>
            </w:r>
          </w:p>
        </w:tc>
      </w:tr>
      <w:tr>
        <w:trPr>
          <w:trHeight w:val="178"/>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 (3)</w:t>
            </w:r>
          </w:p>
        </w:tc>
        <w:tc>
          <w:tcPr>
            <w:tcW w:w="100" w:type="dxa"/>
            <w:vAlign w:val="bottom"/>
          </w:tcPr>
          <w:p>
            <w:pPr>
              <w:spacing w:after="0"/>
              <w:rPr>
                <w:sz w:val="15"/>
                <w:szCs w:val="15"/>
                <w:color w:val="auto"/>
              </w:rPr>
            </w:pPr>
          </w:p>
        </w:tc>
      </w:tr>
      <w:tr>
        <w:trPr>
          <w:trHeight w:val="236"/>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214,116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1,076,300</w:t>
            </w:r>
          </w:p>
        </w:tc>
        <w:tc>
          <w:tcPr>
            <w:tcW w:w="100" w:type="dxa"/>
            <w:vAlign w:val="bottom"/>
            <w:shd w:val="clear" w:color="auto" w:fill="CFF0FC"/>
          </w:tcPr>
          <w:p>
            <w:pPr>
              <w:spacing w:after="0"/>
              <w:rPr>
                <w:sz w:val="20"/>
                <w:szCs w:val="20"/>
                <w:color w:val="auto"/>
              </w:rPr>
            </w:pP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34,683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168,194</w:t>
            </w:r>
          </w:p>
        </w:tc>
        <w:tc>
          <w:tcPr>
            <w:tcW w:w="100" w:type="dxa"/>
            <w:vAlign w:val="bottom"/>
          </w:tcPr>
          <w:p>
            <w:pPr>
              <w:spacing w:after="0"/>
              <w:rPr>
                <w:sz w:val="20"/>
                <w:szCs w:val="20"/>
                <w:color w:val="auto"/>
              </w:rPr>
            </w:pPr>
          </w:p>
        </w:tc>
      </w:tr>
      <w:tr>
        <w:trPr>
          <w:trHeight w:val="247"/>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122,459</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154,374</w:t>
            </w:r>
          </w:p>
        </w:tc>
        <w:tc>
          <w:tcPr>
            <w:tcW w:w="100" w:type="dxa"/>
            <w:vAlign w:val="bottom"/>
          </w:tcPr>
          <w:p>
            <w:pPr>
              <w:spacing w:after="0"/>
              <w:rPr>
                <w:sz w:val="20"/>
                <w:szCs w:val="20"/>
                <w:color w:val="auto"/>
              </w:rPr>
            </w:pPr>
          </w:p>
        </w:tc>
      </w:tr>
      <w:tr>
        <w:trPr>
          <w:trHeight w:val="247"/>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118,311</w:t>
            </w:r>
          </w:p>
        </w:tc>
        <w:tc>
          <w:tcPr>
            <w:tcW w:w="100" w:type="dxa"/>
            <w:vAlign w:val="bottom"/>
            <w:shd w:val="clear" w:color="auto" w:fill="CFF0FC"/>
          </w:tcPr>
          <w:p>
            <w:pPr>
              <w:spacing w:after="0"/>
              <w:rPr>
                <w:sz w:val="21"/>
                <w:szCs w:val="21"/>
                <w:color w:val="auto"/>
              </w:rPr>
            </w:pPr>
          </w:p>
        </w:tc>
      </w:tr>
    </w:tbl>
    <w:p>
      <w:pPr>
        <w:spacing w:after="0" w:line="211" w:lineRule="exact"/>
        <w:rPr>
          <w:sz w:val="20"/>
          <w:szCs w:val="20"/>
          <w:color w:val="auto"/>
        </w:rPr>
      </w:pPr>
    </w:p>
    <w:p>
      <w:pPr>
        <w:ind w:left="760" w:right="180" w:hanging="707"/>
        <w:spacing w:after="0" w:line="26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the market price of the underlying security on the date of exercise, minus the exercise cost.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73" w:lineRule="exact"/>
        <w:rPr>
          <w:rFonts w:ascii="Times New Roman" w:cs="Times New Roman" w:eastAsia="Times New Roman" w:hAnsi="Times New Roman"/>
          <w:sz w:val="18"/>
          <w:szCs w:val="18"/>
          <w:color w:val="auto"/>
        </w:rPr>
      </w:pPr>
    </w:p>
    <w:p>
      <w:pPr>
        <w:ind w:left="760" w:right="240" w:hanging="707"/>
        <w:spacing w:after="0" w:line="265"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during fiscal 2023 include the time-based awards granted under the 2019-2021 LTIP and the 2022-2024 LTIP, as well as the RSUs granted for the performance-based compensation under the 2020-2022 LTIP which vested on August 31, 2023. The stock awards that vested for Mr. Kanter also include the last tranche of new hire time-based award from 2019.</w:t>
      </w:r>
    </w:p>
    <w:p>
      <w:pPr>
        <w:spacing w:after="0" w:line="69" w:lineRule="exact"/>
        <w:rPr>
          <w:rFonts w:ascii="Times New Roman" w:cs="Times New Roman" w:eastAsia="Times New Roman" w:hAnsi="Times New Roman"/>
          <w:sz w:val="18"/>
          <w:szCs w:val="18"/>
          <w:color w:val="auto"/>
        </w:rPr>
      </w:pPr>
    </w:p>
    <w:p>
      <w:pPr>
        <w:ind w:left="760" w:right="180" w:hanging="707"/>
        <w:spacing w:after="0" w:line="265"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 Related Party Transactions in Fiscal 2023. </w:t>
      </w:r>
      <w:r>
        <w:rPr>
          <w:rFonts w:ascii="Times New Roman" w:cs="Times New Roman" w:eastAsia="Times New Roman" w:hAnsi="Times New Roman"/>
          <w:sz w:val="18"/>
          <w:szCs w:val="18"/>
          <w:color w:val="auto"/>
        </w:rPr>
        <w:t>Since January 29, 2023, we have not had any relationships or transactions with any of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beneficial owners of more than 5% of our common stock or any immediate family member of such persons that were required to be reported pursuant to Item 404(a) of Regulation S-K. As permitted by SEC rules, discussion of employment relationships or transactions involving the Company’s executive officers and directors, and compensation solely resulting from such employment relationships or transactions, or service as a director of the Company, as the case may be, has been omitted to the extent disclosed in the Executive Compensation or the Director Compensation section of this Amendment, as applicable.</w:t>
      </w:r>
    </w:p>
    <w:p>
      <w:pPr>
        <w:spacing w:after="0" w:line="7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Review, Approval or Ratification of Transactions with Related Persons</w:t>
      </w:r>
      <w:r>
        <w:rPr>
          <w:rFonts w:ascii="Times New Roman" w:cs="Times New Roman" w:eastAsia="Times New Roman" w:hAnsi="Times New Roman"/>
          <w:sz w:val="18"/>
          <w:szCs w:val="18"/>
          <w:color w:val="auto"/>
        </w:rPr>
        <w:t>. Pursuant to its charter, the Audit Committee reviews all related-party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ongoing basis and, to the extent required by the Sarbanes−Oxley Act of 2002, the SEC or Nasdaq, all such transactions must be approved by the Audit Committee except as otherwise delegated by the Audit Committee to another independent body of the Board.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2023, we believe that the Reporting Persons complied with all applicable Section 16(a) reporting requirements and that all required reports were filed in a timely manner, other than, on October 16, 2023, we reported the late filing for Mr. Molloy of stock options exercised and sold on October 11, 2023.</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22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As required under the Dodd-Frank Act, and in accordance with the recommendation by our Board and approval by our stockholders in 2023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this Proxy Statement, including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provides a summary of our financial performance in fiscal 2023 and describes our executive compensation programs and the decisions made by the Compensation Committee with respect to compensation for fiscal 2023. We encourage you to read our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for a complete discussion of our executive compensation program, including detailed information about the fiscal 2023 compensation of our Named Executive Officers.</w:t>
      </w:r>
    </w:p>
    <w:p>
      <w:pPr>
        <w:spacing w:after="0" w:line="18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8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7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9" w:right="35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AMENDMENTS TO OUR 2016 INCENTIVE COMPENSATION PLAN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recommendation of our Compensation Committee, the Board is seeking stockholder approval of amendments to our 2016 Incentive Compensation Plan (the “2016 Plan”) to, among other things, increase the total number of shares of common stock authorized for issuance under the 2016 Plan by 6,150,000 shares and correspondingly to increase the maximum number of shares that may be delivered under the 2016 Plan as a result of the exercising of incentive stock options. The 2016 Plan was originally approved by stockholders on August 4, 2016. The stockholders subsequently approved amendments to increase the number of shares of common stock authorized for issuance under the 2016 Plan: on August 8, 2019, to increase the number of shares of common stock by 2,800,000 shares; on August 12, 2020, to increase the number of shares of common stock by 1,740,000 shares; and on August 5, 2021, to increase the number of shares of common stock by 4,855,000 shares. If stockholders approve the amendments to the 2016 Plan at the Annual Meeting, the maximum number of shares that may be issued for awards granted under the plan will be 20,745,000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proposed amendment to increase available shares under the 2016 Plan, we are also amending the 2016 Plan to:</w:t>
      </w:r>
    </w:p>
    <w:p>
      <w:pPr>
        <w:spacing w:after="0" w:line="117" w:lineRule="exact"/>
        <w:rPr>
          <w:sz w:val="20"/>
          <w:szCs w:val="20"/>
          <w:color w:val="auto"/>
        </w:rPr>
      </w:pPr>
    </w:p>
    <w:p>
      <w:pPr>
        <w:ind w:left="1020" w:right="2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and delete references to Code Section 162(m) and certain related terms and conditions as a result of changes made to Section 162(m) as part of tax reform legislation enacted in 2017.</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language to clarify that no dividend equivalents will be paid on any unvested equity award.</w:t>
      </w:r>
    </w:p>
    <w:p>
      <w:pPr>
        <w:spacing w:after="0" w:line="22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Pursuant to its terms, the 2016 Plan will terminate at the earliest of (a) such time as no shares remain available for issuance, (b) termination of this plan by the Board, or (c) the tenth anniversary from the date the shareholders approve the plan. If the shareholders approve this Proposal 3, the tenth anniversary of the 2016 Plan will be August 8, 2034. If the shareholders do not approve this Proposal, the 2016 Plan will remain in effect, but no further awards may be granted under the 2016 Plan after August 5, 2031. A copy of the 2016 Plan as proposed to be amended is attached as </w:t>
      </w:r>
      <w:r>
        <w:rPr>
          <w:rFonts w:ascii="Times New Roman" w:cs="Times New Roman" w:eastAsia="Times New Roman" w:hAnsi="Times New Roman"/>
          <w:sz w:val="18"/>
          <w:szCs w:val="18"/>
          <w:u w:val="single" w:color="auto"/>
          <w:color w:val="0000FF"/>
        </w:rPr>
        <w:t>Appendix A</w:t>
      </w:r>
      <w:r>
        <w:rPr>
          <w:rFonts w:ascii="Times New Roman" w:cs="Times New Roman" w:eastAsia="Times New Roman" w:hAnsi="Times New Roman"/>
          <w:sz w:val="18"/>
          <w:szCs w:val="18"/>
          <w:color w:val="auto"/>
        </w:rPr>
        <w:t xml:space="preserve">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5358130</wp:posOffset>
            </wp:positionH>
            <wp:positionV relativeFrom="paragraph">
              <wp:posOffset>-34925</wp:posOffset>
            </wp:positionV>
            <wp:extent cx="5607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2016 Plan</w:t>
      </w:r>
    </w:p>
    <w:p>
      <w:pPr>
        <w:spacing w:after="0" w:line="12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Since fiscal 2010, our primary use of equity has been tied to awards granted pursuant to our long-term incentive program (“LTIP”). We have used our LTIPs as a means to provide a source of equity to attract, retain and reward our management team. The 2016 Plan provides us the ability to give participants important incentive and reward opportunities designed to enhance our profitable growth. Equity under the 2016 Plan is also used for new hire incentives.</w:t>
      </w:r>
    </w:p>
    <w:p>
      <w:pPr>
        <w:spacing w:after="0" w:line="5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The 2016 Plan is also needed for our independent directors to satisfy the requirement under the Director Plan that our directors receive 60% of their annual retainer in the form of equity (“Required Equity”). Pursuant to Nasdaq rules, shares under the Director Plan are not available for this purpose, therefore we can only issue Required Equity to our directors from a stockholder-approved plan, which is the 2016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Share Request</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Board believes that our success depends on our ability to attract, incentivize and retain the best available people for positions of substantial responsibility and that the ability to grant equity awards is crucial to recruiting and retaining the services of these individuals to help us compete effectively and grow our business.</w:t>
      </w:r>
    </w:p>
    <w:p>
      <w:pPr>
        <w:spacing w:after="0" w:line="69"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If stockholders do not approve this proposal to increase the availability of shares under our 2016 Plan, we will not have sufficient shares to satisfy the performance awards with equity under our current LTIPs, if performance is achieved, and will therefore be required to satisfy any awards in cash. In addition, our ability to recruit, retain and incentivize the key talent critical to our strategic growth initiatives would be seriously and negatively impacted.</w:t>
      </w:r>
    </w:p>
    <w:p>
      <w:pPr>
        <w:spacing w:after="0" w:line="5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Our Board believes that equity awards align the interests of our employees with those of our stockholders. Equity awards provide our employees with an ownership stake in the Company, motivating them to achieve outstanding business performance, and provide an effective means of rewarding our employees for their contributions to our growth.</w:t>
      </w:r>
    </w:p>
    <w:p>
      <w:pPr>
        <w:spacing w:after="0" w:line="6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As mentioned above, our non-employee directors are required under our Director Plan to maintain a minimum equity ownership, which requires that 60% of their retainer be satisfied in equity until such minimum equity ownership threshold is met. Because shares under our Director Plan may only be used for discretionary shares, any shares granted pursuant to this minimum equity ownership must be issued from the 2016 Plan. Our Director Plan also provides our directors with the option to elect to receive their compensation in shares of deferred stock. Any such shares must also be issued from the 2016 Plan.</w:t>
      </w:r>
    </w:p>
    <w:p>
      <w:pPr>
        <w:spacing w:after="0" w:line="7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believe that our request for 6,150,000 additional shares will be sufficient to meet expected equity awards through at least August 2027, assuming continued diligent share conservation and an increase in our stock price. Based solely on the closing price of our common stock as reported on Nasdaq on June 12, 2024 of $3.61 per share, the maximum aggregate market value of the additional</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2" w:name="page43"/>
    <w:bookmarkEnd w:id="42"/>
    <w:p>
      <w:pPr>
        <w:spacing w:after="0" w:line="260" w:lineRule="auto"/>
        <w:rPr>
          <w:sz w:val="20"/>
          <w:szCs w:val="20"/>
          <w:color w:val="auto"/>
        </w:rPr>
      </w:pPr>
      <w:r>
        <w:rPr>
          <w:rFonts w:ascii="Times New Roman" w:cs="Times New Roman" w:eastAsia="Times New Roman" w:hAnsi="Times New Roman"/>
          <w:sz w:val="18"/>
          <w:szCs w:val="18"/>
          <w:color w:val="auto"/>
        </w:rPr>
        <w:t>6,150,000 shares of our common stock to be reserved for issuance under the 2016 Plan would be approximately $22.2 million. If the proposed amendments to the 2016 Plan are not approved, we will lose what has become an indispensable part of our compensation program and we may not be able to satisfy existing commitments under our 2022-2024 LTIP, 2023-2025 LTIP and 2024-2026 LTIP in equity, which, if achieved, would have to be settled in cash as required under the 2016 Plan. In addition, we would have to eliminate the required equity component of our director compensation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Reserve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4, 2024, 1,445,584 shares of our common stock remained available for issuance under our 2016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outstanding awards under our prior 2006 Incentive Compensation Plan (the “2006 Plan”) as of the effective date of the 2016 Plan that subsequently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 or are cancelled for any reason without having been exercised or paid under the 2006 Plan will become available for grant under the 2016 Plan.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2024, there were 59,254 stock options outstanding that were issued under the 2006 Plan. These stock options have an average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$5.29, with the last stock option expiring in November 2024. If not exercised, the underlying shares of 59,254 would become available for grant under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Plan.</w:t>
      </w:r>
    </w:p>
    <w:p>
      <w:pPr>
        <w:spacing w:after="0" w:line="9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recommend approval of the amendments to the 2016 Plan so that we may continue to provide equity compensation to attract, motivate, retain and reward high-quality executives and other key employees, officers and directors. See “</w:t>
      </w:r>
      <w:r>
        <w:rPr>
          <w:rFonts w:ascii="Times New Roman" w:cs="Times New Roman" w:eastAsia="Times New Roman" w:hAnsi="Times New Roman"/>
          <w:sz w:val="18"/>
          <w:szCs w:val="18"/>
          <w:i w:val="1"/>
          <w:iCs w:val="1"/>
          <w:color w:val="auto"/>
        </w:rPr>
        <w:t>Compensation Discussion and Analysis—Long-Term Incentive Plans</w:t>
      </w:r>
      <w:r>
        <w:rPr>
          <w:rFonts w:ascii="Times New Roman" w:cs="Times New Roman" w:eastAsia="Times New Roman" w:hAnsi="Times New Roman"/>
          <w:sz w:val="18"/>
          <w:szCs w:val="18"/>
          <w:color w:val="auto"/>
        </w:rPr>
        <w:t>” for a description of our LTIPs.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Alignment of 2016 Plan with Stockholders’ Interests</w:t>
      </w:r>
    </w:p>
    <w:p>
      <w:pPr>
        <w:spacing w:after="0" w:line="12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2016 Plan is designed to reinforce the alignment of our equity opportunities for management with the interest of our stockholders and includes a number of provisions that we believe are consistent with good governance and compensation practice, including:</w:t>
      </w:r>
    </w:p>
    <w:p>
      <w:pPr>
        <w:spacing w:after="0" w:line="55" w:lineRule="exact"/>
        <w:rPr>
          <w:sz w:val="20"/>
          <w:szCs w:val="20"/>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vesting period of one year from the date of grant covering 95% of all awards;</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repricing of stock options or stock appreciation rights without stockholder approval;</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discounted stock options;</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paid on unvested equity awards;</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evergreen provision;</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automatic grants or reload;</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liberal share recycling;</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stated clawback provision;</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“Double-trigger” vesting for change in control; and</w:t>
      </w:r>
    </w:p>
    <w:p>
      <w:pPr>
        <w:spacing w:after="0" w:line="11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gross-ups.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2" w:right="3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Data</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Exercise</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40" w:type="dxa"/>
            <w:vAlign w:val="bottom"/>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Price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Remaining Term</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New shares requested under amendment to the 2016 Plan</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6,150,000</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Shares as of May 4, 2024:</w:t>
            </w:r>
          </w:p>
        </w:tc>
        <w:tc>
          <w:tcPr>
            <w:tcW w:w="15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2016 Plan, including options outstanding under 2006 Plan</w:t>
            </w: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remaining available for issuance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1,445,584</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Time-based stock options outstanding</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3,030,394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6.3 yrs.</w:t>
            </w: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664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Time-based unvested full-value awards outstanding</w:t>
            </w: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783,589</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 yrs.</w:t>
            </w:r>
          </w:p>
        </w:tc>
        <w:tc>
          <w:tcPr>
            <w:tcW w:w="520" w:type="dxa"/>
            <w:vAlign w:val="bottom"/>
            <w:shd w:val="clear" w:color="auto" w:fill="CFF0FC"/>
          </w:tcPr>
          <w:p>
            <w:pPr>
              <w:jc w:val="right"/>
              <w:ind w:right="294"/>
              <w:spacing w:after="0" w:line="157" w:lineRule="exact"/>
              <w:rPr>
                <w:sz w:val="20"/>
                <w:szCs w:val="20"/>
                <w:color w:val="auto"/>
              </w:rPr>
            </w:pPr>
            <w:r>
              <w:rPr>
                <w:rFonts w:ascii="Calibri" w:cs="Calibri" w:eastAsia="Calibri" w:hAnsi="Calibri"/>
                <w:sz w:val="13"/>
                <w:szCs w:val="13"/>
                <w:color w:val="auto"/>
                <w:w w:val="96"/>
              </w:rPr>
              <w:t>(2)</w:t>
            </w:r>
          </w:p>
        </w:tc>
        <w:tc>
          <w:tcPr>
            <w:tcW w:w="0" w:type="dxa"/>
            <w:vAlign w:val="bottom"/>
          </w:tcPr>
          <w:p>
            <w:pPr>
              <w:spacing w:after="0"/>
              <w:rPr>
                <w:sz w:val="1"/>
                <w:szCs w:val="1"/>
                <w:color w:val="auto"/>
              </w:rPr>
            </w:pPr>
          </w:p>
        </w:tc>
      </w:tr>
      <w:tr>
        <w:trPr>
          <w:trHeight w:val="85"/>
        </w:trPr>
        <w:tc>
          <w:tcPr>
            <w:tcW w:w="6640" w:type="dxa"/>
            <w:vAlign w:val="bottom"/>
            <w:vMerge w:val="continue"/>
            <w:shd w:val="clear" w:color="auto" w:fill="CFF0FC"/>
          </w:tcPr>
          <w:p>
            <w:pPr>
              <w:spacing w:after="0"/>
              <w:rPr>
                <w:sz w:val="7"/>
                <w:szCs w:val="7"/>
                <w:color w:val="auto"/>
              </w:rPr>
            </w:pPr>
          </w:p>
        </w:tc>
        <w:tc>
          <w:tcPr>
            <w:tcW w:w="15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80" w:type="dxa"/>
            <w:vAlign w:val="bottom"/>
            <w:vMerge w:val="continue"/>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stock awards payable to directors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Performance-based unvested full-value awards outstanding</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2.3 yrs.</w:t>
            </w:r>
          </w:p>
        </w:tc>
        <w:tc>
          <w:tcPr>
            <w:tcW w:w="5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full value awards outstanding</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Non-Employee Director Compensation Plan </w:t>
            </w:r>
            <w:r>
              <w:rPr>
                <w:rFonts w:ascii="Times New Roman" w:cs="Times New Roman" w:eastAsia="Times New Roman" w:hAnsi="Times New Roman"/>
                <w:sz w:val="24"/>
                <w:szCs w:val="24"/>
                <w:b w:val="1"/>
                <w:bCs w:val="1"/>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FF0FC"/>
          </w:tcPr>
          <w:p>
            <w:pPr>
              <w:spacing w:after="0"/>
              <w:rPr>
                <w:sz w:val="23"/>
                <w:szCs w:val="23"/>
                <w:color w:val="auto"/>
              </w:rPr>
            </w:pPr>
          </w:p>
        </w:tc>
        <w:tc>
          <w:tcPr>
            <w:tcW w:w="15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-692785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Other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Burn Rate - 3 yr. average</w:t>
            </w:r>
          </w:p>
        </w:tc>
        <w:tc>
          <w:tcPr>
            <w:tcW w:w="5040" w:type="dxa"/>
            <w:vAlign w:val="bottom"/>
            <w:shd w:val="clear" w:color="auto" w:fill="CFF0FC"/>
          </w:tcPr>
          <w:p>
            <w:pPr>
              <w:jc w:val="right"/>
              <w:ind w:right="2810"/>
              <w:spacing w:after="0"/>
              <w:rPr>
                <w:sz w:val="20"/>
                <w:szCs w:val="20"/>
                <w:color w:val="auto"/>
              </w:rPr>
            </w:pPr>
            <w:r>
              <w:rPr>
                <w:rFonts w:ascii="Times New Roman" w:cs="Times New Roman" w:eastAsia="Times New Roman" w:hAnsi="Times New Roman"/>
                <w:sz w:val="18"/>
                <w:szCs w:val="18"/>
                <w:color w:val="auto"/>
              </w:rPr>
              <w:t>2.2 %</w:t>
            </w:r>
          </w:p>
        </w:tc>
      </w:tr>
      <w:tr>
        <w:trPr>
          <w:trHeight w:val="263"/>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Value-Adjusted Burn Rate - 3 yr. average</w:t>
            </w:r>
          </w:p>
        </w:tc>
        <w:tc>
          <w:tcPr>
            <w:tcW w:w="504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1.7 %</w:t>
            </w:r>
          </w:p>
        </w:tc>
      </w:tr>
      <w:tr>
        <w:trPr>
          <w:trHeight w:val="27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Dilution - assuming all shares are granted on a 1:1 basis</w:t>
            </w:r>
          </w:p>
        </w:tc>
        <w:tc>
          <w:tcPr>
            <w:tcW w:w="5040" w:type="dxa"/>
            <w:vAlign w:val="bottom"/>
            <w:shd w:val="clear" w:color="auto" w:fill="CFF0FC"/>
          </w:tcPr>
          <w:p>
            <w:pPr>
              <w:jc w:val="right"/>
              <w:ind w:right="2810"/>
              <w:spacing w:after="0"/>
              <w:rPr>
                <w:sz w:val="20"/>
                <w:szCs w:val="20"/>
                <w:color w:val="auto"/>
              </w:rPr>
            </w:pPr>
            <w:r>
              <w:rPr>
                <w:rFonts w:ascii="Times New Roman" w:cs="Times New Roman" w:eastAsia="Times New Roman" w:hAnsi="Times New Roman"/>
                <w:sz w:val="18"/>
                <w:szCs w:val="18"/>
                <w:color w:val="auto"/>
              </w:rPr>
              <w:t>8.7 %</w:t>
            </w:r>
          </w:p>
        </w:tc>
      </w:tr>
      <w:tr>
        <w:trPr>
          <w:trHeight w:val="263"/>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Overhang</w:t>
            </w:r>
          </w:p>
        </w:tc>
        <w:tc>
          <w:tcPr>
            <w:tcW w:w="504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17.6 %</w:t>
            </w:r>
          </w:p>
        </w:tc>
      </w:tr>
      <w:tr>
        <w:trPr>
          <w:trHeight w:val="27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Shareholder Transfer Value (New + Available)</w:t>
            </w:r>
          </w:p>
        </w:tc>
        <w:tc>
          <w:tcPr>
            <w:tcW w:w="5040" w:type="dxa"/>
            <w:vAlign w:val="bottom"/>
            <w:shd w:val="clear" w:color="auto" w:fill="CFF0FC"/>
          </w:tcPr>
          <w:p>
            <w:pPr>
              <w:jc w:val="right"/>
              <w:ind w:right="2810"/>
              <w:spacing w:after="0"/>
              <w:rPr>
                <w:sz w:val="20"/>
                <w:szCs w:val="20"/>
                <w:color w:val="auto"/>
              </w:rPr>
            </w:pPr>
            <w:r>
              <w:rPr>
                <w:rFonts w:ascii="Times New Roman" w:cs="Times New Roman" w:eastAsia="Times New Roman" w:hAnsi="Times New Roman"/>
                <w:sz w:val="18"/>
                <w:szCs w:val="18"/>
                <w:color w:val="auto"/>
              </w:rPr>
              <w:t>9.3 %</w:t>
            </w:r>
          </w:p>
        </w:tc>
      </w:tr>
      <w:tr>
        <w:trPr>
          <w:trHeight w:val="25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 Transfer Value (New + Available + Outstanding)</w:t>
            </w:r>
          </w:p>
        </w:tc>
        <w:tc>
          <w:tcPr>
            <w:tcW w:w="504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16.9 %</w:t>
            </w:r>
          </w:p>
        </w:tc>
      </w:tr>
    </w:tbl>
    <w:p>
      <w:pPr>
        <w:spacing w:after="0" w:line="211"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stock issuances in lieu of cash for director fees.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remaining vesting period of time-based awards.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Burn Rate</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annual time-based awards and performance-based stock unit (PSU) awards granted and PSUs earned for each of the past three fiscal years and the average three-year burn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Full Value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Awards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Earned for</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Performanc</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Performanc</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Achievement</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Time-Based</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 Stock</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 Stock</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Time-Based</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Full Value</w:t>
            </w:r>
          </w:p>
        </w:tc>
        <w:tc>
          <w:tcPr>
            <w:tcW w:w="1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granted to</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w:t>
            </w: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Units</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Option Awards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Directors as</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Burn Rate  Burn Rate</w:t>
            </w:r>
          </w:p>
        </w:tc>
      </w:tr>
      <w:tr>
        <w:trPr>
          <w:trHeight w:val="241"/>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Fiscal Year</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Granted (1)</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Earned (2)</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Based Metrics</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Shares (Basic)</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r>
      <w:tr>
        <w:trPr>
          <w:trHeight w:val="23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339,923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61,018,000</w:t>
            </w:r>
          </w:p>
        </w:tc>
        <w:tc>
          <w:tcPr>
            <w:tcW w:w="10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9"/>
              </w:rPr>
              <w:t>1.5 %</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5"/>
              </w:rPr>
              <w:t>1.0 %</w:t>
            </w:r>
          </w:p>
        </w:tc>
      </w:tr>
      <w:tr>
        <w:trPr>
          <w:trHeight w:val="2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269,162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62,825,000</w:t>
            </w:r>
          </w:p>
        </w:tc>
        <w:tc>
          <w:tcPr>
            <w:tcW w:w="10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9"/>
              </w:rPr>
              <w:t>1.5 %</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5"/>
              </w:rPr>
              <w:t>1.0 %</w:t>
            </w:r>
          </w:p>
        </w:tc>
      </w:tr>
      <w:tr>
        <w:trPr>
          <w:trHeight w:val="24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1,518,154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63,401,000</w:t>
            </w:r>
          </w:p>
        </w:tc>
        <w:tc>
          <w:tcPr>
            <w:tcW w:w="10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9"/>
              </w:rPr>
              <w:t>3.5 %</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5"/>
              </w:rPr>
              <w:t>3.0 %</w:t>
            </w:r>
          </w:p>
        </w:tc>
      </w:tr>
      <w:tr>
        <w:trPr>
          <w:trHeight w:val="49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3-yr</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w w:val="93"/>
              </w:rPr>
              <w:t>2.2 %</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0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99" w:lineRule="exact"/>
        <w:rPr>
          <w:sz w:val="20"/>
          <w:szCs w:val="20"/>
          <w:color w:val="auto"/>
        </w:rPr>
      </w:pPr>
    </w:p>
    <w:p>
      <w:pPr>
        <w:ind w:right="500" w:firstLine="8"/>
        <w:spacing w:after="0" w:line="281"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granted to Mr. Kanter in August 2023 in connection with the amendment and extension of his employment agreement. All PSUs remain unvested as of May 4, 2024.</w:t>
      </w:r>
    </w:p>
    <w:p>
      <w:pPr>
        <w:spacing w:after="0" w:line="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80" w:right="259" w:bottom="1440" w:gutter="0" w:footer="0" w:header="0"/>
        </w:sectPr>
      </w:pPr>
    </w:p>
    <w:bookmarkStart w:id="44" w:name="page45"/>
    <w:bookmarkEnd w:id="44"/>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that vested in fiscal 2021. The PSUs were granted to Mr. Kanter in fiscal 2019 in connection with his hiring.</w:t>
      </w:r>
    </w:p>
    <w:p>
      <w:pPr>
        <w:spacing w:after="0" w:line="116" w:lineRule="exact"/>
        <w:rPr>
          <w:rFonts w:ascii="Times New Roman" w:cs="Times New Roman" w:eastAsia="Times New Roman" w:hAnsi="Times New Roman"/>
          <w:sz w:val="18"/>
          <w:szCs w:val="18"/>
          <w:color w:val="auto"/>
        </w:rPr>
      </w:pPr>
    </w:p>
    <w:p>
      <w:pPr>
        <w:ind w:right="180" w:firstLine="8"/>
        <w:spacing w:after="0" w:line="260"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burn rate is calculated as the sum of PSUs earned, time-based options and adjusted full-value awards divided by the basic weighted average common shares outstanding. Consistent with a proxy advisory firm’s methodology, all full-value awards have been multiplied by 1.5 (“adjusted full-value award”) for purposes of calculating burn rate. The burn rate calculation does not include the shares and deferred shares granted to directors as compensation in lieu of cash or any unearned PSUs.</w:t>
      </w:r>
    </w:p>
    <w:p>
      <w:pPr>
        <w:spacing w:after="0" w:line="73" w:lineRule="exact"/>
        <w:rPr>
          <w:rFonts w:ascii="Times New Roman" w:cs="Times New Roman" w:eastAsia="Times New Roman" w:hAnsi="Times New Roman"/>
          <w:sz w:val="18"/>
          <w:szCs w:val="18"/>
          <w:color w:val="auto"/>
        </w:rPr>
      </w:pPr>
    </w:p>
    <w:p>
      <w:pPr>
        <w:ind w:right="80" w:firstLine="8"/>
        <w:spacing w:after="0" w:line="260"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Value-Adjusted Burn Rate is calculated as (i) the sum of (a) number of full-value awards (including PSUs earned) * the 200-day average stock price as of the last day of the applicable Fiscal Year plus (b) number of stock options * Black Scholes valuation assuming market price is equal to the 200-day average stock price as of the last day of the applicable Fiscal Year (ii) divided by the weighted average common shares * the 200-day average stock price as of the last day of the applicable Fiscal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Committed to Managing Dilution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Board recognizes the impact of dilution on our stockholders, and in evaluating the 2016 Plan sought to balance this concern with our ability to provide our management team with equity compensation as part of our long-term growth initiatives which, in time, we would expect to increase stockholder value. If approved, the issuance of the additional shares to be reserved under the 2016 Plan would dilute the holdings of stockholders by approximately 8.7%, assuming that all shares granted from the 2016 Plan were options or stock appreciation rights. However, with the Company’s expectation that it could grant some full-value awards as part of its compensation programs, in the form of restricted stock or restricted stock units (“RSUs”), the dilution could be less than 5.0%.</w:t>
      </w:r>
    </w:p>
    <w:p>
      <w:pPr>
        <w:spacing w:after="0" w:line="7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Our Board is committed to managing dilution. Over the past three fiscal years, we repurchased an aggregate 8.3 million shares for a total cost of $37.5 million. One impact of the stock repurchase programs has been that it decreased the number of shares of common stock outstanding, making our burn rates, as discussed above, appear higher because it is based on shares outstanding.</w:t>
      </w:r>
    </w:p>
    <w:p>
      <w:pPr>
        <w:spacing w:after="0" w:line="6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also manage dilution by permitting our employees the option to satisfy their tax withholding obligations related to equity awards by withholding shares from those shares otherwise issuable. Over the past three fiscal years, we have withheld an aggregate 0.8 million shares to satisfy our employee's tax withholding obligations related to equity awards for a total cost of $4.5 million. Our Board believes the potential dilution to stockholders that could result from the approval of the amendments to the 2016 Plan is reasonable and sustainable to meet the Company’s strategic growth initiatives.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2500" w:type="dxa"/>
            <w:vAlign w:val="bottom"/>
            <w:gridSpan w:val="9"/>
          </w:tcPr>
          <w:p>
            <w:pPr>
              <w:jc w:val="right"/>
              <w:ind w:right="600"/>
              <w:spacing w:after="0"/>
              <w:rPr>
                <w:sz w:val="20"/>
                <w:szCs w:val="20"/>
                <w:color w:val="auto"/>
              </w:rPr>
            </w:pPr>
            <w:r>
              <w:rPr>
                <w:rFonts w:ascii="Times New Roman" w:cs="Times New Roman" w:eastAsia="Times New Roman" w:hAnsi="Times New Roman"/>
                <w:sz w:val="18"/>
                <w:szCs w:val="18"/>
                <w:color w:val="auto"/>
              </w:rPr>
              <w:t>Potential Voting Power</w:t>
            </w:r>
          </w:p>
        </w:tc>
        <w:tc>
          <w:tcPr>
            <w:tcW w:w="120" w:type="dxa"/>
            <w:vAlign w:val="bottom"/>
          </w:tcPr>
          <w:p>
            <w:pPr>
              <w:spacing w:after="0"/>
              <w:rPr>
                <w:sz w:val="18"/>
                <w:szCs w:val="18"/>
                <w:color w:val="auto"/>
              </w:rPr>
            </w:pPr>
          </w:p>
        </w:tc>
        <w:tc>
          <w:tcPr>
            <w:tcW w:w="2400" w:type="dxa"/>
            <w:vAlign w:val="bottom"/>
            <w:gridSpan w:val="7"/>
            <w:vMerge w:val="restart"/>
          </w:tcPr>
          <w:p>
            <w:pPr>
              <w:ind w:left="400"/>
              <w:spacing w:after="0"/>
              <w:rPr>
                <w:sz w:val="20"/>
                <w:szCs w:val="20"/>
                <w:color w:val="auto"/>
              </w:rPr>
            </w:pPr>
            <w:r>
              <w:rPr>
                <w:rFonts w:ascii="Times New Roman" w:cs="Times New Roman" w:eastAsia="Times New Roman" w:hAnsi="Times New Roman"/>
                <w:sz w:val="18"/>
                <w:szCs w:val="18"/>
                <w:color w:val="auto"/>
                <w:w w:val="99"/>
              </w:rPr>
              <w:t>Shareholder Value Transfer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Borders>
              <w:top w:val="single" w:sz="8" w:color="auto"/>
              <w:bottom w:val="single" w:sz="8" w:color="auto"/>
            </w:tcBorders>
            <w:gridSpan w:val="5"/>
            <w:vMerge w:val="restart"/>
          </w:tcPr>
          <w:p>
            <w:pPr>
              <w:jc w:val="right"/>
              <w:ind w:right="540"/>
              <w:spacing w:after="0" w:line="195" w:lineRule="exact"/>
              <w:rPr>
                <w:sz w:val="20"/>
                <w:szCs w:val="20"/>
                <w:color w:val="auto"/>
              </w:rPr>
            </w:pPr>
            <w:r>
              <w:rPr>
                <w:rFonts w:ascii="Times New Roman" w:cs="Times New Roman" w:eastAsia="Times New Roman" w:hAnsi="Times New Roman"/>
                <w:sz w:val="18"/>
                <w:szCs w:val="18"/>
                <w:color w:val="auto"/>
              </w:rPr>
              <w:t>Dilution</w:t>
            </w:r>
          </w:p>
        </w:tc>
        <w:tc>
          <w:tcPr>
            <w:tcW w:w="560" w:type="dxa"/>
            <w:vAlign w:val="bottom"/>
            <w:gridSpan w:val="3"/>
            <w:vMerge w:val="restart"/>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gridSpan w:val="7"/>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8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40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8"/>
              </w:rPr>
              <w:t>Shareholder</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 xml:space="preserve">Dilution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Award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48"/>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Shares</w:t>
            </w:r>
          </w:p>
        </w:tc>
        <w:tc>
          <w:tcPr>
            <w:tcW w:w="120" w:type="dxa"/>
            <w:vAlign w:val="bottom"/>
          </w:tcPr>
          <w:p>
            <w:pPr>
              <w:spacing w:after="0"/>
              <w:rPr>
                <w:sz w:val="21"/>
                <w:szCs w:val="21"/>
                <w:color w:val="auto"/>
              </w:rPr>
            </w:pPr>
          </w:p>
        </w:tc>
        <w:tc>
          <w:tcPr>
            <w:tcW w:w="1420" w:type="dxa"/>
            <w:vAlign w:val="bottom"/>
            <w:gridSpan w:val="5"/>
            <w:vMerge w:val="continue"/>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tcPr>
          <w:p>
            <w:pPr>
              <w:spacing w:after="0"/>
              <w:rPr>
                <w:sz w:val="21"/>
                <w:szCs w:val="21"/>
                <w:color w:val="auto"/>
              </w:rPr>
            </w:pPr>
          </w:p>
        </w:tc>
        <w:tc>
          <w:tcPr>
            <w:tcW w:w="11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Transfer</w:t>
            </w:r>
          </w:p>
        </w:tc>
        <w:tc>
          <w:tcPr>
            <w:tcW w:w="0" w:type="dxa"/>
            <w:vAlign w:val="bottom"/>
          </w:tcPr>
          <w:p>
            <w:pPr>
              <w:spacing w:after="0"/>
              <w:rPr>
                <w:sz w:val="1"/>
                <w:szCs w:val="1"/>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 of May 4, 2024:</w:t>
            </w:r>
          </w:p>
        </w:tc>
        <w:tc>
          <w:tcPr>
            <w:tcW w:w="2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outstanding stock options, RSUs, PSUs and deferred stock</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4,831,264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19,663,244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under 2016 Plan</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1,445,584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4,574,241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New shares requested under 2016 Plan </w:t>
            </w:r>
            <w:r>
              <w:rPr>
                <w:rFonts w:ascii="Times New Roman" w:cs="Times New Roman" w:eastAsia="Times New Roman" w:hAnsi="Times New Roman"/>
                <w:sz w:val="24"/>
                <w:szCs w:val="24"/>
                <w:b w:val="1"/>
                <w:bCs w:val="1"/>
                <w:color w:val="auto"/>
                <w:vertAlign w:val="superscript"/>
              </w:rPr>
              <w:t>(3)</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6,150,000</w:t>
            </w:r>
          </w:p>
        </w:tc>
        <w:tc>
          <w:tcPr>
            <w:tcW w:w="120" w:type="dxa"/>
            <w:vAlign w:val="bottom"/>
            <w:shd w:val="clear" w:color="auto" w:fill="CFF0FC"/>
          </w:tcPr>
          <w:p>
            <w:pPr>
              <w:spacing w:after="0"/>
              <w:rPr>
                <w:sz w:val="21"/>
                <w:szCs w:val="21"/>
                <w:color w:val="auto"/>
              </w:rPr>
            </w:pPr>
          </w:p>
        </w:tc>
        <w:tc>
          <w:tcPr>
            <w:tcW w:w="142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19,460,357</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dilution including new shares (overhang)</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12,426,848</w:t>
            </w:r>
          </w:p>
        </w:tc>
        <w:tc>
          <w:tcPr>
            <w:tcW w:w="120" w:type="dxa"/>
            <w:vAlign w:val="bottom"/>
          </w:tcPr>
          <w:p>
            <w:pPr>
              <w:spacing w:after="0"/>
              <w:rPr>
                <w:sz w:val="19"/>
                <w:szCs w:val="19"/>
                <w:color w:val="auto"/>
              </w:rPr>
            </w:pPr>
          </w:p>
        </w:tc>
        <w:tc>
          <w:tcPr>
            <w:tcW w:w="14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Value Transfer (new and available)</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24,034,598</w:t>
            </w: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4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Value Transfer</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43,697,842</w:t>
            </w: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outstanding at May 4, 2024</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58,204,752</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257,847,051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-624205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-624205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-624205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-624205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200" w:firstLine="8"/>
        <w:spacing w:after="0" w:line="258"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for the additional shares requested under the 2016 Plan is calculated as the additional shares requested divided by the sum of common shares outstanding, outstanding stock options, deferred stock, PSUs and RSUs outstanding and shares remaining available for issuance under the 2016 Plan and the additional shares requested. Overhang is calculated as the total equity dilution per the table divided by the sum of common shares outstanding, outstanding stock options, deferred stock and RSUs outstanding and shares remaining available for issuance under the 2016 Plan and the additional shares requested.</w:t>
      </w:r>
    </w:p>
    <w:p>
      <w:pPr>
        <w:spacing w:after="0" w:line="74" w:lineRule="exact"/>
        <w:rPr>
          <w:rFonts w:ascii="Times New Roman" w:cs="Times New Roman" w:eastAsia="Times New Roman" w:hAnsi="Times New Roman"/>
          <w:sz w:val="18"/>
          <w:szCs w:val="18"/>
          <w:color w:val="auto"/>
        </w:rPr>
      </w:pPr>
    </w:p>
    <w:p>
      <w:pPr>
        <w:ind w:right="100" w:firstLine="8"/>
        <w:spacing w:after="0" w:line="260"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Value Transfer is the sum of the fair value of shares available for grant, shares outstanding under existing awards and new shares requested, the sum of which is then divided by the value of total common shares outstanding at May 4, 2024. The average award value for shares available under the 2016 Plan and the new shares requested of $3.16 was calculated using the 200-day average stock price of the Company’s common stock at March 1, 2024 of $4.43 divided by a fungible ratio of 1.4.</w:t>
      </w:r>
    </w:p>
    <w:p>
      <w:pPr>
        <w:spacing w:after="0" w:line="73" w:lineRule="exact"/>
        <w:rPr>
          <w:rFonts w:ascii="Times New Roman" w:cs="Times New Roman" w:eastAsia="Times New Roman" w:hAnsi="Times New Roman"/>
          <w:sz w:val="18"/>
          <w:szCs w:val="18"/>
          <w:color w:val="auto"/>
        </w:rPr>
      </w:pPr>
    </w:p>
    <w:p>
      <w:pPr>
        <w:ind w:right="220" w:firstLine="8"/>
        <w:spacing w:after="0" w:line="265"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dilution calculation assumes all shares granted from the 2016 Plan are options or stock appreciation rights. However, each grant of a full-value award utilizes 1.9 shares from the share reserve. Therefore, if all 6,150,000 shares requested were full-value awards, only 3.2 million actual shares would affect dilution to our stockholders, and the effect of dilution would be less than the 8.7% in the table.</w:t>
      </w:r>
    </w:p>
    <w:p>
      <w:pPr>
        <w:spacing w:after="0" w:line="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Grant History</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incentive-based compensation program is broad-based and not heavily concentrated to only our CEO and/or NEOs. Based on the grant activity for the past three fiscal years, equity awards granted to our CEO, exclusive of the PSUs that were granted to Mr. Kanter in fiscal 2023, in connection with this amended and extended employment agreement, were approximately 28.0% of all equity awards granted under our 2016 Plan. Grants to our NEOs, exclusive of the PSU awards granted to Mr. Kanter, represented approximately 50.8% of the total equity awards granted under our 2016 Plan over the past three fiscal years.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 Grants to All</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All</w:t>
            </w:r>
          </w:p>
        </w:tc>
      </w:tr>
      <w:tr>
        <w:trPr>
          <w:trHeight w:val="241"/>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Fiscal Year</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CEO Grants (1)</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All NEO Grants</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Participants</w:t>
            </w:r>
          </w:p>
        </w:tc>
        <w:tc>
          <w:tcPr>
            <w:tcW w:w="120" w:type="dxa"/>
            <w:vAlign w:val="bottom"/>
          </w:tcPr>
          <w:p>
            <w:pPr>
              <w:spacing w:after="0"/>
              <w:rPr>
                <w:sz w:val="20"/>
                <w:szCs w:val="20"/>
                <w:color w:val="auto"/>
              </w:rPr>
            </w:pPr>
          </w:p>
        </w:tc>
        <w:tc>
          <w:tcPr>
            <w:tcW w:w="13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CEO Ratio</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NEO Ratio</w:t>
            </w:r>
          </w:p>
        </w:tc>
        <w:tc>
          <w:tcPr>
            <w:tcW w:w="160" w:type="dxa"/>
            <w:vAlign w:val="bottom"/>
          </w:tcPr>
          <w:p>
            <w:pPr>
              <w:spacing w:after="0"/>
              <w:rPr>
                <w:sz w:val="20"/>
                <w:szCs w:val="20"/>
                <w:color w:val="auto"/>
              </w:rPr>
            </w:pP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172,745</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304,308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608,459</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28.4 %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160,970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282,259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631,716</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25.5 %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43"/>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442,225</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818,829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1,526,208</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29.0 %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53.7 %</w:t>
            </w:r>
          </w:p>
        </w:tc>
      </w:tr>
      <w:tr>
        <w:trPr>
          <w:trHeight w:val="485"/>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3-yr average</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28.0 %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560" w:firstLine="8"/>
        <w:spacing w:after="0" w:line="260"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grants to the CEO excludes 573,000 PSUs that were granted to Mr. Kanter in August 2023 in connection with his amended and extended employment agreement. As a result of this amended and extended employment agreement, Mr. Kanter has agreed to the extension of his employment agreement through August 2026. The PSU award, which is discussed above under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is a performance award subject to a market condition which is tied to the Company's stock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information with respect to our equity compensation plans as of February 3, 2024:</w:t>
      </w:r>
    </w:p>
    <w:p>
      <w:pPr>
        <w:sectPr>
          <w:pgSz w:w="11900" w:h="16838" w:orient="portrait"/>
          <w:cols w:equalWidth="0" w:num="1">
            <w:col w:w="11300"/>
          </w:cols>
          <w:pgMar w:left="320" w:top="119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594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4"/>
          <w:szCs w:val="24"/>
          <w:color w:val="auto"/>
          <w:vertAlign w:val="superscript"/>
        </w:rPr>
        <w:t>(1)</w:t>
      </w:r>
    </w:p>
    <w:p>
      <w:pPr>
        <w:ind w:left="20"/>
        <w:spacing w:after="0" w:line="230" w:lineRule="auto"/>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(3)</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48"/>
        </w:trPr>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70"/>
              <w:spacing w:after="0" w:line="149"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50"/>
              <w:spacing w:after="0" w:line="149" w:lineRule="exact"/>
              <w:rPr>
                <w:sz w:val="20"/>
                <w:szCs w:val="20"/>
                <w:color w:val="auto"/>
              </w:rPr>
            </w:pPr>
            <w:r>
              <w:rPr>
                <w:rFonts w:ascii="Times New Roman" w:cs="Times New Roman" w:eastAsia="Times New Roman" w:hAnsi="Times New Roman"/>
                <w:sz w:val="13"/>
                <w:szCs w:val="13"/>
                <w:b w:val="1"/>
                <w:bCs w:val="1"/>
                <w:color w:val="auto"/>
              </w:rPr>
              <w:t>exercise price of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48"/>
        </w:trPr>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70"/>
              <w:spacing w:after="0" w:line="149"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48"/>
        </w:trPr>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outstanding options,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50"/>
              <w:spacing w:after="0" w:line="149" w:lineRule="exact"/>
              <w:rPr>
                <w:sz w:val="20"/>
                <w:szCs w:val="20"/>
                <w:color w:val="auto"/>
              </w:rPr>
            </w:pPr>
            <w:r>
              <w:rPr>
                <w:rFonts w:ascii="Times New Roman" w:cs="Times New Roman" w:eastAsia="Times New Roman" w:hAnsi="Times New Roman"/>
                <w:sz w:val="13"/>
                <w:szCs w:val="13"/>
                <w:b w:val="1"/>
                <w:bCs w:val="1"/>
                <w:color w:val="auto"/>
              </w:rPr>
              <w:t>options, warrants</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48"/>
        </w:trPr>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warrants and rights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50"/>
              <w:spacing w:after="0" w:line="149" w:lineRule="exact"/>
              <w:rPr>
                <w:sz w:val="20"/>
                <w:szCs w:val="20"/>
                <w:color w:val="auto"/>
              </w:rPr>
            </w:pPr>
            <w:r>
              <w:rPr>
                <w:rFonts w:ascii="Times New Roman" w:cs="Times New Roman" w:eastAsia="Times New Roman" w:hAnsi="Times New Roman"/>
                <w:sz w:val="13"/>
                <w:szCs w:val="13"/>
                <w:b w:val="1"/>
                <w:bCs w:val="1"/>
                <w:color w:val="auto"/>
              </w:rPr>
              <w:t>and rights</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78"/>
        </w:trPr>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(b)</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r>
      <w:tr>
        <w:trPr>
          <w:trHeight w:val="205"/>
        </w:trPr>
        <w:tc>
          <w:tcPr>
            <w:tcW w:w="1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4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spacing w:after="0"/>
              <w:rPr>
                <w:sz w:val="18"/>
                <w:szCs w:val="18"/>
                <w:color w:val="auto"/>
              </w:rPr>
            </w:pPr>
          </w:p>
        </w:tc>
      </w:tr>
      <w:tr>
        <w:trPr>
          <w:trHeight w:val="234"/>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4,693,583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2,177,876</w:t>
            </w:r>
          </w:p>
        </w:tc>
      </w:tr>
      <w:tr>
        <w:trPr>
          <w:trHeight w:val="250"/>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634,534</w:t>
            </w:r>
          </w:p>
        </w:tc>
      </w:tr>
      <w:tr>
        <w:trPr>
          <w:trHeight w:val="238"/>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4,725,592</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40" w:type="dxa"/>
            <w:vAlign w:val="bottom"/>
          </w:tcPr>
          <w:p>
            <w:pPr>
              <w:spacing w:after="0"/>
              <w:rPr>
                <w:sz w:val="20"/>
                <w:szCs w:val="20"/>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2,812,410</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-770255</wp:posOffset>
            </wp:positionV>
            <wp:extent cx="7132320" cy="427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-179070</wp:posOffset>
            </wp:positionV>
            <wp:extent cx="713232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720"/>
          </w:cols>
          <w:pgMar w:left="320" w:top="1196" w:right="279" w:bottom="1440" w:gutter="0" w:footer="0" w:header="0"/>
          <w:type w:val="continuous"/>
        </w:sectPr>
      </w:pPr>
    </w:p>
    <w:p>
      <w:pPr>
        <w:spacing w:after="0" w:line="105" w:lineRule="exact"/>
        <w:rPr>
          <w:sz w:val="20"/>
          <w:szCs w:val="20"/>
          <w:color w:val="auto"/>
        </w:rPr>
      </w:pPr>
    </w:p>
    <w:p>
      <w:pPr>
        <w:ind w:left="760" w:right="380" w:hanging="378"/>
        <w:spacing w:after="0" w:line="281"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3,180,739 outstanding stock options, 504,276 outstanding RSUs, 573,000 outstanding PSUs and 435,568 outstanding deferred stock awards.</w:t>
      </w:r>
    </w:p>
    <w:p>
      <w:pPr>
        <w:spacing w:after="0" w:line="54" w:lineRule="exact"/>
        <w:rPr>
          <w:rFonts w:ascii="Times New Roman" w:cs="Times New Roman" w:eastAsia="Times New Roman" w:hAnsi="Times New Roman"/>
          <w:sz w:val="18"/>
          <w:szCs w:val="18"/>
          <w:color w:val="auto"/>
        </w:rPr>
      </w:pPr>
    </w:p>
    <w:p>
      <w:pPr>
        <w:ind w:left="760" w:right="440" w:hanging="378"/>
        <w:spacing w:after="0" w:line="281"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solely based upon outstanding stock options and excludes RSUs, PSUs and deferred stock awards.</w:t>
      </w:r>
    </w:p>
    <w:p>
      <w:pPr>
        <w:spacing w:after="0" w:line="54" w:lineRule="exact"/>
        <w:rPr>
          <w:rFonts w:ascii="Times New Roman" w:cs="Times New Roman" w:eastAsia="Times New Roman" w:hAnsi="Times New Roman"/>
          <w:sz w:val="18"/>
          <w:szCs w:val="18"/>
          <w:color w:val="auto"/>
        </w:rPr>
      </w:pPr>
    </w:p>
    <w:p>
      <w:pPr>
        <w:ind w:left="760" w:right="560" w:hanging="378"/>
        <w:spacing w:after="0" w:line="265"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activity under our Director Plan and inducement awards to new hires. Pursuant to the Director Plan, we have 1,500,000 shares authorized for stock issuances in lieu of cash director fees, of which 634,534 shares were available at February 3, 2024. The 32,009 shares outstanding represent RSUs issued in connection with inducement awards that remain outstanding at February 3,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2016 Incentive Compensation Plan</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 xml:space="preserve">The following is a summary of the 2016 Plan and is qualified in its entirety by reference to the full text of the 2016 Plan as proposed to be amended,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The summary of the 2016 Plan may not contain all the information that is important to you and you should read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carefully before you decide how to vote.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Purpose</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purpose of the 2016 Plan is to:</w:t>
      </w:r>
    </w:p>
    <w:p>
      <w:pPr>
        <w:spacing w:after="0" w:line="117" w:lineRule="exact"/>
        <w:rPr>
          <w:sz w:val="20"/>
          <w:szCs w:val="20"/>
          <w:color w:val="auto"/>
        </w:rPr>
      </w:pPr>
    </w:p>
    <w:p>
      <w:pPr>
        <w:ind w:left="1020" w:right="640" w:hanging="504"/>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Company in attracting, motivating, retaining and rewarding high-quality executives and other employees, officers, directors, consultants and other persons who provide services to the Company;</w:t>
      </w:r>
    </w:p>
    <w:p>
      <w:pPr>
        <w:spacing w:after="0" w:line="54"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persons participating in the plan to acquire or increase a proprietary interest in the Company in order to strengthen the mutuality of interests between them and our stockholders, and</w:t>
      </w:r>
    </w:p>
    <w:p>
      <w:pPr>
        <w:spacing w:after="0" w:line="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6" w:right="279" w:bottom="1440" w:gutter="0" w:footer="0" w:header="0"/>
          <w:type w:val="continuous"/>
        </w:sectPr>
      </w:pPr>
    </w:p>
    <w:bookmarkStart w:id="46" w:name="page47"/>
    <w:bookmarkEnd w:id="46"/>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persons participating in the plan with performance incentives to expend their maximum efforts in the creation of stockholder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Eligible Participants</w:t>
      </w:r>
    </w:p>
    <w:p>
      <w:pPr>
        <w:spacing w:after="0" w:line="11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persons eligible to receive awards under the 2016 Plan are our officers, directors, employees and consultants or other persons who provide services to our Company. An employee on leave of absence may be considered as still employed for purposes of eligibility for participation in the 2016 Plan. As of the date of this proxy statement, there are approximately 32 employees, 6 non-employee directors as well as service providers of the Company and its affiliates who would be eligible to participate in the 2016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11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Our Board has selected the Compensation Committee (the “Committee”) to administer the 2016 Plan. All Committee members must be "non-employee directors" as defined by Rule 16b-3 of the Exchange Act. The Board may in its discretion elect to administer 2016 Plan, provided that it is administered only by those directors who are independent within the meaning of the 2016 Plan. Subject to the terms of the 2016 Plan, the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Shares Available for Awards</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shares to be delivered under the 2016 Plan may be authorized but unissued shares of our common stock or treasury shares. Under the 2016 Plan, as proposed to be amended pursuant to this Proposal 3, the total number of shares of common stock that may be subject to the granting of awards under the 2016 Plan shall be equal to the sum of (i) 20,745,000 shares, plus (ii) 525,538 shares that were available for issuance but not granted under the 2006 Plan that rolled into the 2016 Plan on August 4, 2016, plus (iii) the number of shares subject to outstanding awards under the 2006 Plan that are forfeited, expire or terminate without delivery of shares. As of May 4, 2024, 1,445,584 shares of our common stock remained available for issuance under our 2016 Plan. In addition, at May 4, 2024, included in the total stock options outstanding of 3,030,394 were 51,664 stock options outstanding that were issued under the 2006 Plan, which if not exercised will become available for grant under our 2016 Plan.</w:t>
      </w:r>
    </w:p>
    <w:p>
      <w:pPr>
        <w:spacing w:after="0" w:line="79"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Shares issued in respect of any full-value award, such as restricted stock and RSUs, are counted against the share limit as 1.9 shares of stock for every one share issued. Each share issued in respect of stock options or stock appreciation rights (SARs) are counted against the share limit as one share of stock for every one share issued.</w:t>
      </w:r>
    </w:p>
    <w:p>
      <w:pPr>
        <w:spacing w:after="0" w:line="6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Any shares of stock that again become available for award under the 2016 Plan shall be added as one share for every one share of stock options or SARs and 1.9 shares for every one full-value award.</w:t>
      </w:r>
    </w:p>
    <w:p>
      <w:pPr>
        <w:spacing w:after="0" w:line="5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w:t>
      </w:r>
    </w:p>
    <w:p>
      <w:pPr>
        <w:spacing w:after="0" w:line="6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Awards with respect to shares that are granted to replace outstanding awards or other similar rights that are assumed or replaced by awards under the 2016 Plan pursuant to the acquisition of a business are not subject to, and do not count against, the foregoing limit.</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Subject to the increase in the share reserve described above, the maximum aggregate number of shares that may be delivered under the 2016 Plan as a result of the exercise of ISOs is 20,745,000 shares. In addition, a director who is not an employee or a consultant may not be granted an award that has a fair value, as of the date of grant, which exceeds $300,000 in the aggregate.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Per-Person Limitations</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any fiscal year during any part of which the 2016 Plan is in effect, the number of options, SARs and performance shares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2016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Committee.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Equitable Adjustments</w:t>
      </w:r>
    </w:p>
    <w:p>
      <w:pPr>
        <w:spacing w:after="0" w:line="2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Committee is also authorized to adjust the limitations on the amount of certain awards in the event of any merger, consolidation or other reorganization in which the Company does not survive, or in the event of any change in control (as defined in the 2016 Plan), by taking any of the following approaches, without the requirement of obtaining consent from any plan participant: (1) continuation of the outstanding awards by the Company, if the Company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Minimum Vesting Requirement</w:t>
      </w:r>
    </w:p>
    <w:p>
      <w:pPr>
        <w:spacing w:after="0" w:line="11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Except with respect to 5% of the shares of common stock available for awards under the 2016 Plan, no award will become exercisable or otherwise non-forfeitable unless such award has been outstanding for a minimum period of one year from its date of grant. The Committee reserves the general discretion to accelerate vesting of awards in connection with the participant’s death, disability, termination of service or change in control.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Awards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2016 Plan authorizes grants of a variety of awards described below. The Committee, or the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Committee, consistent with the provisions of the 2016 Plan. Each award agreement shall either be (i) in writing in a form approved by the Committee and executed by the Company by an officer duly authorized to act on its behalf, or (ii) an electronic notice in a form approved by the Committee and recorded by the Company in an electronic recordkeeping system used for tracking awards.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and SARs</w:t>
      </w:r>
    </w:p>
    <w:p>
      <w:pPr>
        <w:spacing w:after="0" w:line="2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Committee is authorized to grant stock options, including both incentive stock options (“ISOs”) (which must comply with provisions of Section 422 of the Internal Revenue Code and can result in potentially favorable 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Committee, but must not be less than the fair market value of a share of common stock on the date of grant. The grant price of an SAR is determined by the Committee, but must not be less than (i) the fair market value of a share of common stock on the date of grant or, (ii) in the case of an SAR issued in tandem with an ISO, the exercise price of the option granted in tandem with the SAR.</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purposes of the 2016 Plan, the term "fair market value" means the fair market value of the common stock, awards or other property as determined by the Committee or under procedures established by the Committee. Unless otherwise determined by the Committee or our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w:t>
      </w:r>
    </w:p>
    <w:p>
      <w:pPr>
        <w:spacing w:after="0" w:line="7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aggregate fair market value with respect to ISOs granted under the Plan that become exercisable for the participant during any calendar year shall not exceed $100,000.</w:t>
      </w:r>
    </w:p>
    <w:p>
      <w:pPr>
        <w:spacing w:after="0" w:line="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2016 Plan also permits net share settlement of nonqualified stock options. Methods of exercise and settlement and other terms of the SARs are determined by the Committee.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8" w:name="page49"/>
    <w:bookmarkEnd w:id="48"/>
    <w:p>
      <w:pPr>
        <w:ind w:right="140"/>
        <w:spacing w:after="0" w:line="255" w:lineRule="auto"/>
        <w:rPr>
          <w:sz w:val="20"/>
          <w:szCs w:val="20"/>
          <w:color w:val="auto"/>
        </w:rPr>
      </w:pPr>
      <w:r>
        <w:rPr>
          <w:rFonts w:ascii="Times New Roman" w:cs="Times New Roman" w:eastAsia="Times New Roman" w:hAnsi="Times New Roman"/>
          <w:sz w:val="18"/>
          <w:szCs w:val="18"/>
          <w:color w:val="auto"/>
        </w:rPr>
        <w:t>Other than in connection with standard adjustments (as set forth in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Committee shall not be permitted to take any other action with respect to an option or SAR that may be treated as a repricing, in each case, without approval of our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Committee is authorized to grant restricted stock, which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and has the right to receive dividends.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Awards, including RSUs</w:t>
      </w:r>
    </w:p>
    <w:p>
      <w:pPr>
        <w:spacing w:after="0" w:line="11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Bonus Stock and Awards in Lieu of Cash Obligations</w:t>
      </w:r>
    </w:p>
    <w:p>
      <w:pPr>
        <w:spacing w:after="0" w:line="11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Committee is authorized to grant shares of common stock as a bonus free of restrictions, or to grant shares of common stock or other awards in lieu of our obligations to pay cash under the 2016 Plan or other plans or compensatory arrangements, subject to such terms as the Committee may specify.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Equivalents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 dividends shall be paid on any unvested awards, and no dividend equivalents granted in connection with another award shall be paid or distributed prior to the vesting date of the related award (or portion thereof giving rise to the dividend equivalent).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Awards</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Committee. The amount of any performance awards to be distributed shall be conclusively determined by the Committee. Performance awards may be paid in a lump sum or in installments following the close of an applicable performance period, or, in accordance with procedures established by the Committee, on a deferred basis in a manner that does not violate the requirements of Section 409A of the Internal Revenue Code (“Section 409A”).</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the requirements of the 2016 Plan, the Committee will determine performance award terms, including the required levels of performance with respect to specified criteria, the corresponding amounts payable upon achievement of such levels of performance, termination and forfeiture provisions and the form of settlement.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deemed advisable by the Committee. Achievement of performance goals in respect of performance awards shall be measured over a performance period no shorter than 12 months and no longer than 5 years, as further specified by the Committee.</w:t>
      </w:r>
    </w:p>
    <w:p>
      <w:pPr>
        <w:spacing w:after="0" w:line="7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In granting performance awards, the Committee may establish unfunded award "pools," the amounts of which will be based upon the achievement of a performance goal or goals based on one or more of certain business criteria described in the 2016 Plan (including,</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9" w:name="page50"/>
    <w:bookmarkEnd w:id="49"/>
    <w:p>
      <w:pPr>
        <w:ind w:right="200"/>
        <w:spacing w:after="0" w:line="265" w:lineRule="auto"/>
        <w:rPr>
          <w:sz w:val="20"/>
          <w:szCs w:val="20"/>
          <w:color w:val="auto"/>
        </w:rPr>
      </w:pPr>
      <w:r>
        <w:rPr>
          <w:rFonts w:ascii="Times New Roman" w:cs="Times New Roman" w:eastAsia="Times New Roman" w:hAnsi="Times New Roman"/>
          <w:sz w:val="18"/>
          <w:szCs w:val="18"/>
          <w:color w:val="auto"/>
        </w:rPr>
        <w:t>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6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2016 Plan. The Committee may, in its discretion, determine that the amount payable as a performance award will be reduced from the amount of any potential award.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Stock-Based Awards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Terms of Awards</w:t>
      </w:r>
    </w:p>
    <w:p>
      <w:pPr>
        <w:spacing w:after="0" w:line="11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2016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w:t>
      </w:r>
    </w:p>
    <w:p>
      <w:pPr>
        <w:spacing w:after="0" w:line="8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Awards under the 2016 Plan are generally granted without a requirement that the participant pay consideration in the form of cash or property for the grant (as distinguished from the exercise), except to the extent required by law.</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Restriction on Repricing</w:t>
      </w:r>
    </w:p>
    <w:p>
      <w:pPr>
        <w:spacing w:after="0" w:line="11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As described above under “Stock Options and SARs,” repricing of stock options and SARs is not permitted without stockholder approval. The Committee may, however, grant awards in exchange for other awards under the 2016 Plan or under other Company plans, or other rights to payment from us, and may grant awards in addition to such other awards, rights or other awards.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Restrictions on Transferability</w:t>
      </w:r>
    </w:p>
    <w:p>
      <w:pPr>
        <w:spacing w:after="0" w:line="11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Under the 2016 Plan, no award can be pledged, hypothecated or otherwise encumbered or subject to any lien, obligation or liability of the participant to any party, or assigned or transferred by the participant other than by 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Committee pursuant to the express terms of an Award Agreement, are by gift or pursuant to a domestic relations order, and are to a “Permitted Assignee” that is a permissible transferee under the applicable rules of the Securities and Exchange Commission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w:t>
      </w:r>
    </w:p>
    <w:p>
      <w:pPr>
        <w:spacing w:after="0" w:line="3" w:lineRule="exact"/>
        <w:rPr>
          <w:sz w:val="20"/>
          <w:szCs w:val="20"/>
          <w:color w:val="auto"/>
        </w:rPr>
      </w:pPr>
    </w:p>
    <w:p>
      <w:pPr>
        <w:ind w:right="8000" w:firstLine="8"/>
        <w:spacing w:after="0" w:line="364" w:lineRule="auto"/>
        <w:tabs>
          <w:tab w:leader="none" w:pos="3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control the management of assets. </w:t>
      </w:r>
      <w:r>
        <w:rPr>
          <w:rFonts w:ascii="Times New Roman" w:cs="Times New Roman" w:eastAsia="Times New Roman" w:hAnsi="Times New Roman"/>
          <w:sz w:val="18"/>
          <w:szCs w:val="18"/>
          <w:u w:val="single" w:color="auto"/>
          <w:color w:val="auto"/>
        </w:rPr>
        <w:t>Clawback</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Awards made under the 2016 Plan shall be subject to the applicable provisions of the Company’s clawback or recoupment policies as may be in effect from time to time. In addition to the terms of the Company’s clawback policy, the 2016 Plan provides that, if a participant, while employed by or providing services to the Company, or after termination of employment or service violates a non-competition, non-solicitation or non-disclosure covenant or agreement, or otherwise engages in activity that is in conflict with or adverse to the interest of the Company, as determined by the Committee, then the participant’s awards under the 2016 Plan may be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ind w:right="60"/>
        <w:spacing w:after="0" w:line="375" w:lineRule="auto"/>
        <w:rPr>
          <w:sz w:val="20"/>
          <w:szCs w:val="20"/>
          <w:color w:val="auto"/>
        </w:rPr>
      </w:pPr>
      <w:r>
        <w:rPr>
          <w:rFonts w:ascii="Times New Roman" w:cs="Times New Roman" w:eastAsia="Times New Roman" w:hAnsi="Times New Roman"/>
          <w:sz w:val="18"/>
          <w:szCs w:val="18"/>
          <w:color w:val="auto"/>
        </w:rPr>
        <w:t xml:space="preserve">forfeited and the Committee may require the participant to pay to the Company all or any portion of the gain realized upon exercise or vesting of an award. </w:t>
      </w:r>
      <w:r>
        <w:rPr>
          <w:rFonts w:ascii="Times New Roman" w:cs="Times New Roman" w:eastAsia="Times New Roman" w:hAnsi="Times New Roman"/>
          <w:sz w:val="18"/>
          <w:szCs w:val="18"/>
          <w:u w:val="single" w:color="auto"/>
          <w:color w:val="auto"/>
        </w:rPr>
        <w:t>Change in Control</w:t>
      </w: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the 2016 Plan provides that Committee in effect immediately preceding the change in control may, in its sole discretion, accelerate the exercisability, the lapsing of restrictions or the expiration of deferral or vesting periods of any award upon a “double trigger,” i.e., upon certain terminations of employment without “justifiable cause” or for “good reason” within 6 months before or 18 months after a change in control. In addition, the Committee may provide in an award agreement that the performance goals relating to any performance based award will be deemed to have been met upon the occurrence of any "change in control," again upon a “double trigger” as described in this paragraph.</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and Termination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may amend, alter, suspend, discontinue or terminate the 2016 Plan or the Committee's authority to grant awards without further stockholder approval, except stockholder approval must be obtained, no later than the next annual meeting following Board approval for such amendment,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our Board may, in its discretion, seek stockholder approval in any circumstance in which it deems such approval advisable. Unless earlier terminated by our Board, the 2016 Plan will terminate at the earliest of (i) such time as no shares of common stock remain available for issuance under the 2016 Plan or (ii) the tenth anniversary of the effective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Income Tax Consequences of Awards</w:t>
      </w:r>
    </w:p>
    <w:p>
      <w:pPr>
        <w:spacing w:after="0" w:line="11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2016 Plan is not qualified under the provisions of Section 401(a) of the Internal Revenue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his/her holding period for those shares will begin on that date.</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his/her tax basis in the shares delivered, and his/her holding period for those shares will include his/her holding period for the shares delivered. The optionee's tax basis and holding period for the additional shares received on exercise of the option will be the same as if the optionee had exercised the option solely in exchange for cash.</w:t>
      </w:r>
    </w:p>
    <w:p>
      <w:pPr>
        <w:spacing w:after="0" w:line="7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will be entitled to a deduction for Federal income tax purposes equal to the amount of ordinary income taxable to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2016 Plan provides for the grant of stock options that qualify as "incentive stock options" as defined in Section 422 of the Internal Revenue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1" w:name="page52"/>
    <w:bookmarkEnd w:id="51"/>
    <w:p>
      <w:pPr>
        <w:ind w:right="160"/>
        <w:spacing w:after="0" w:line="260" w:lineRule="auto"/>
        <w:rPr>
          <w:sz w:val="20"/>
          <w:szCs w:val="20"/>
          <w:color w:val="auto"/>
        </w:rPr>
      </w:pPr>
      <w:r>
        <w:rPr>
          <w:rFonts w:ascii="Times New Roman" w:cs="Times New Roman" w:eastAsia="Times New Roman" w:hAnsi="Times New Roman"/>
          <w:sz w:val="18"/>
          <w:szCs w:val="18"/>
          <w:color w:val="auto"/>
        </w:rPr>
        <w:t>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general, there will be no federal income tax deduction allowed to us upon the grant or termination of SARs. Upon the exercise of a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Awards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Dividend Equivalents</w:t>
      </w:r>
    </w:p>
    <w:p>
      <w:pPr>
        <w:spacing w:after="0" w:line="119"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Generally, the recipient of a dividend equivalent award will recognize ordinary compensation income at the time the dividend equivalent award is received equal to the fair market value of the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409A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Importance of Consulting Tax Adviser</w:t>
      </w:r>
    </w:p>
    <w:p>
      <w:pPr>
        <w:spacing w:after="0" w:line="1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his/her particular situation, each recipient should consult his/her tax adviser as to the Federal, state, local and other tax consequences of the grant or exercise of an award or the disposition of stock acquired as a result of an award.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Awards granted under the 2016 Plan are within the discretion of the Committee. As discussed above under “</w:t>
      </w:r>
      <w:r>
        <w:rPr>
          <w:rFonts w:ascii="Times New Roman" w:cs="Times New Roman" w:eastAsia="Times New Roman" w:hAnsi="Times New Roman"/>
          <w:sz w:val="18"/>
          <w:szCs w:val="18"/>
          <w:i w:val="1"/>
          <w:iCs w:val="1"/>
          <w:color w:val="auto"/>
        </w:rPr>
        <w:t>Compensation Discussion and Analysis- Long-Term Incentive Plans</w:t>
      </w:r>
      <w:r>
        <w:rPr>
          <w:rFonts w:ascii="Times New Roman" w:cs="Times New Roman" w:eastAsia="Times New Roman" w:hAnsi="Times New Roman"/>
          <w:sz w:val="18"/>
          <w:szCs w:val="18"/>
          <w:color w:val="auto"/>
        </w:rPr>
        <w:t>”, if performance targets under the Company’s LTIPs are achieved, performance-based awards earned and approved by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from the 2016 Plan. The number of shares that may be awarded under the LTIP cannot currently be determined due to the fact that the number of shares will be based on the closing price of our common stock, as determined on the date of grant. However, assuming that we are able to achieve the performance targets, at target, we can estimate the amount of the award that each participant is entitled to receive. Assuming that the performance targets under the 2022-2024 LTIP, 2023-2025 LTIP and 2024-2026 LTIP are achieved at the target level, and further assuming that 50% of any award would be in equity, the total award value of shares that would be granted would be approximately $1.3 million for each of the respective LTIPs.</w:t>
      </w:r>
    </w:p>
    <w:p>
      <w:pPr>
        <w:spacing w:after="0" w:line="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reflects the value of performance-based awards, as discussed above, that could be earned, at target, by each Named Executive Officer, all of our current executive officers as a group (including Named Executive Officers), all employees as a group (excluding executive officers) and all non-executive directors as a group. The benefits and amounts that may be awarded under the 2016 Plan beyond fiscal 2024, the 2022-2024 LTIP, the 2023-2025 LTIP and the 2024-2026 LTIP cannot otherwise currently be determined.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Plan 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vMerge w:val="restart"/>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rPr>
              <w:t>Director Compensation - Estimate of</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Required Equity for Remainder of Fiscal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Performance-Based Portion of LTIPs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85"/>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dollars)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jc w:val="center"/>
              <w:ind w:right="55"/>
              <w:spacing w:after="0" w:line="186" w:lineRule="exact"/>
              <w:rPr>
                <w:sz w:val="20"/>
                <w:szCs w:val="20"/>
                <w:color w:val="auto"/>
              </w:rPr>
            </w:pPr>
            <w:r>
              <w:rPr>
                <w:rFonts w:ascii="Times New Roman" w:cs="Times New Roman" w:eastAsia="Times New Roman" w:hAnsi="Times New Roman"/>
                <w:sz w:val="13"/>
                <w:szCs w:val="13"/>
                <w:b w:val="1"/>
                <w:bCs w:val="1"/>
                <w:color w:val="auto"/>
                <w:w w:val="97"/>
              </w:rPr>
              <w:t xml:space="preserve">2024 </w:t>
            </w:r>
            <w:r>
              <w:rPr>
                <w:rFonts w:ascii="Times New Roman" w:cs="Times New Roman" w:eastAsia="Times New Roman" w:hAnsi="Times New Roman"/>
                <w:sz w:val="18"/>
                <w:szCs w:val="18"/>
                <w:b w:val="1"/>
                <w:bCs w:val="1"/>
                <w:color w:val="auto"/>
                <w:w w:val="97"/>
                <w:vertAlign w:val="superscript"/>
              </w:rPr>
              <w:t>(1)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Participant Name</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1,083,750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Allison Surette</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Group, including NEOs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Non-Executive Employee Group</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1,255,502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Director Group</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140" w:right="60" w:hanging="383"/>
        <w:spacing w:after="0" w:line="260"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Director Plan, non-employee directors are required to take 60% of their annual retainer in shares of common stock until the minimum equity ownership requirement is satisfied. In addition, the election of any director to receive shares of deferred stock must also be satisfied from shares available from the 2016 Plan. Based on the ownership of our directors as of May 4, 2024, the above represents the expected dollar value of compensation that will be required to be settled in shares of common stock through the end of fiscal 2024.</w:t>
      </w:r>
    </w:p>
    <w:p>
      <w:pPr>
        <w:spacing w:after="0" w:line="73" w:lineRule="exact"/>
        <w:rPr>
          <w:rFonts w:ascii="Times New Roman" w:cs="Times New Roman" w:eastAsia="Times New Roman" w:hAnsi="Times New Roman"/>
          <w:sz w:val="18"/>
          <w:szCs w:val="18"/>
          <w:color w:val="auto"/>
        </w:rPr>
      </w:pPr>
    </w:p>
    <w:p>
      <w:pPr>
        <w:jc w:val="both"/>
        <w:ind w:left="1140" w:right="280" w:hanging="383"/>
        <w:spacing w:after="0" w:line="265"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it is assumed that the performance awards under the existing LTIPs are paid out at target and that 50% of such award would be paid in equity. Any equity issued pursuant to the 2022-2024 LTIP, 2023-2025 LTIP and 2024-2026 LTIP, would vest on August 31, 2025, August 31, 2026, and August 31, 2027, respectively.</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approval of Proposal 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2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 xml:space="preserve">The future success of our Company depends, in large part, upon our ability to maintain a competitive position in attracting, retaining and motivating key personnel by providing them meaningful opportunities to share in the ownership of our Company, thus aligning their interests with those of our stockholders. </w:t>
      </w:r>
      <w:r>
        <w:rPr>
          <w:rFonts w:ascii="Times New Roman" w:cs="Times New Roman" w:eastAsia="Times New Roman" w:hAnsi="Times New Roman"/>
          <w:sz w:val="17"/>
          <w:szCs w:val="17"/>
          <w:b w:val="1"/>
          <w:bCs w:val="1"/>
          <w:color w:val="auto"/>
        </w:rPr>
        <w:t>Accordingly, the Board of Directors recommends that you vote “FOR” the amendments to the 2016 Incentive Compensation Plan.</w:t>
      </w:r>
    </w:p>
    <w:p>
      <w:pPr>
        <w:spacing w:after="0" w:line="2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8" w:right="6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8"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Subject to ratification by our stockholders, the Audit Committee has appointed KPMG LLP (“KPMG”) as our independent registered public accounting firm for the fiscal year ending February 1, 2025, subject to completion of KPMG’s customary client acceptance procedures. KPMG has served as our independent registered public accounting firm since June 6, 2013.</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8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Representatives of KPMG are expected to be present at the annual meeting to respond to appropriate stockholders' questions and to make any statements they consider appropriate.</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the fiscal years ended February 3, 2024 ("fiscal 2023") and January 28, 2023 ("fiscal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2022</w:t>
            </w:r>
          </w:p>
        </w:tc>
        <w:tc>
          <w:tcPr>
            <w:tcW w:w="100" w:type="dxa"/>
            <w:vAlign w:val="bottom"/>
          </w:tcPr>
          <w:p>
            <w:pPr>
              <w:spacing w:after="0"/>
              <w:rPr>
                <w:sz w:val="15"/>
                <w:szCs w:val="15"/>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1,025,678</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100" w:type="dxa"/>
            <w:vAlign w:val="bottom"/>
            <w:shd w:val="clear" w:color="auto" w:fill="CFF0FC"/>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 (2)</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236,622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1,264,080</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1,156,780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right="140" w:hanging="378"/>
        <w:spacing w:after="0" w:line="260"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 Fees related to professional services rendered in connection with the audits of our financial statements included in our Annual Reports on Form 10-K and services performed related to compliance with Section 404 of the Sarbanes-Oxley Act of 2002, reviews of the financial statements included in each of our Quarterly Reports on Form 10-Q, and </w:t>
      </w:r>
      <w:r>
        <w:rPr>
          <w:rFonts w:ascii="Times New Roman" w:cs="Times New Roman" w:eastAsia="Times New Roman" w:hAnsi="Times New Roman"/>
          <w:sz w:val="18"/>
          <w:szCs w:val="18"/>
          <w:color w:val="212121"/>
        </w:rPr>
        <w:t>services normally provided by the independent auditor in connection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with statutory and regulatory filings </w:t>
      </w:r>
      <w:r>
        <w:rPr>
          <w:rFonts w:ascii="Times New Roman" w:cs="Times New Roman" w:eastAsia="Times New Roman" w:hAnsi="Times New Roman"/>
          <w:sz w:val="18"/>
          <w:szCs w:val="18"/>
          <w:color w:val="252525"/>
        </w:rPr>
        <w:t>in both fiscal years.</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related to professional services rendered in connection with income tax return preparation and compliance services.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services provided in fiscal 2023 and fiscal 2022 under Audit Fees, Tax Fees and All Other Fees were pre-approved by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February 1,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recommend that you vote FOR the ratification of the appointment of KPMG LLP as our independent registered public accounting firm for the fiscal year ending February 1, 2025.</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February 3, 2024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February 3, 2024 with U.S. generally accepted accounting principles, their judgments as to the quality, not just the acceptability, of our accounting principles and such other matters as are required to be discussed with the Audit Committee by the applicable requirements of the Public Company Accounting Oversight Board (PCAOB) and the SEC.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8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 xml:space="preserve">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matters required to be discussed by PCAOB Auditing Standard No. 1301, </w:t>
      </w:r>
      <w:r>
        <w:rPr>
          <w:rFonts w:ascii="Times New Roman" w:cs="Times New Roman" w:eastAsia="Times New Roman" w:hAnsi="Times New Roman"/>
          <w:sz w:val="17"/>
          <w:szCs w:val="17"/>
          <w:i w:val="1"/>
          <w:iCs w:val="1"/>
          <w:color w:val="auto"/>
        </w:rPr>
        <w:t>Communications with Audit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Committees</w:t>
      </w:r>
      <w:r>
        <w:rPr>
          <w:rFonts w:ascii="Times New Roman" w:cs="Times New Roman" w:eastAsia="Times New Roman" w:hAnsi="Times New Roman"/>
          <w:sz w:val="17"/>
          <w:szCs w:val="17"/>
          <w:color w:val="auto"/>
        </w:rPr>
        <w:t>, and the overall quality of our financial reporting. The Audit Committee held six meetings during the fiscal year ended February 3, 2024.</w:t>
      </w:r>
    </w:p>
    <w:p>
      <w:pPr>
        <w:spacing w:after="0" w:line="166"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In reliance on the reviews and discussions referred to above, the Audit Committee recommended to the Board (and the Board approved) that the audited consolidated financial statements be included in the Annual Report on Form 10-K for the fiscal year ended February 3, 2024 for filing with the SEC.</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management was required to prepare as part of our Annual Report on Form 10-K for the year ended February 3, 2024 a report on its assessment of our internal control over financial reporting, including management’s assessment of the effectiveness of such internal controls. KPMG LLP issued an audit report relative to our internal control over financial reporting at February 3, 2024. During the course of the fiscal year ended February 3, 2024,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were included as part of our Annual Report on Form 10-K for the year ended February 3, 2024.</w:t>
      </w:r>
    </w:p>
    <w:p>
      <w:pPr>
        <w:spacing w:after="0" w:line="18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 xml:space="preserve">The Audit Committee is governed by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The members of the Audit Committee are considered independent because they satisfy the independence requirements for Board members prescribed by Nasdaq listing standards and Rule 10A-3 of the Exchange Act.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Lionel F. Conacher, Chair of the Audit Committee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Willem Mesdag</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Ivy Ross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56" w:name="page57"/>
    <w:bookmarkEnd w:id="5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persons known to us to be the beneficial owners of more than five percent of the issued and outstanding shares of our common stock as of June 12, 2024. We were informed that, except as indicated, each person has sole voting and investment power with respect to all shares of our common stock shown as beneficially owned by such person, subject to community property laws where applicable.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6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25"/>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60" w:type="dxa"/>
            <w:vAlign w:val="bottom"/>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9"/>
                <w:szCs w:val="19"/>
                <w:color w:val="auto"/>
              </w:rPr>
            </w:pP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AWM Investment Company, Inc.</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9,399,297</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 Special Situations Funds</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527 Madison Avenue, Suite 2600</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 New York 10022</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 1 Investments, LLC</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5,729,290</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Carr 115 Unit 1900</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Rincon, Puerto Rico 00677</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Wolf Hill Capital Management, LP</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4,174,730</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Mason Street</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2nd Floor</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Greenwich, Connecticut 06830</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BlackRock, Inc.</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3,863,613</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 Hudson Yards</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 New York 10001</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Seymour Holtzman</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3,667,591</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N Wilkes Barre Blvd.</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Wilkes Barre, PA 18702</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Vanguard Group</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2,903,673</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Vanguard Blvd.</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Malvern, Pennsylvania 19355</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-2658745</wp:posOffset>
            </wp:positionV>
            <wp:extent cx="7132320" cy="530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5308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-1725295</wp:posOffset>
            </wp:positionV>
            <wp:extent cx="7132320" cy="530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5308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-791845</wp:posOffset>
            </wp:positionV>
            <wp:extent cx="7132320" cy="402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197" w:lineRule="exact"/>
        <w:rPr>
          <w:sz w:val="20"/>
          <w:szCs w:val="20"/>
          <w:color w:val="auto"/>
        </w:rPr>
      </w:pPr>
    </w:p>
    <w:p>
      <w:pPr>
        <w:ind w:left="760" w:right="80" w:hanging="378"/>
        <w:spacing w:after="0" w:line="258"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58,235,323 shares of our common stock outstanding as of June 12, 2024.</w:t>
      </w:r>
    </w:p>
    <w:p>
      <w:pPr>
        <w:spacing w:after="0" w:line="181" w:lineRule="exact"/>
        <w:rPr>
          <w:rFonts w:ascii="Times New Roman" w:cs="Times New Roman" w:eastAsia="Times New Roman" w:hAnsi="Times New Roman"/>
          <w:sz w:val="18"/>
          <w:szCs w:val="18"/>
          <w:color w:val="auto"/>
        </w:rPr>
      </w:pPr>
    </w:p>
    <w:p>
      <w:pPr>
        <w:ind w:left="760" w:right="180" w:hanging="378"/>
        <w:spacing w:after="0" w:line="258"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3 to Schedule 13G dated February 14, 2024.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w:t>
      </w:r>
    </w:p>
    <w:p>
      <w:pPr>
        <w:spacing w:after="0" w:line="181" w:lineRule="exact"/>
        <w:rPr>
          <w:rFonts w:ascii="Times New Roman" w:cs="Times New Roman" w:eastAsia="Times New Roman" w:hAnsi="Times New Roman"/>
          <w:sz w:val="18"/>
          <w:szCs w:val="18"/>
          <w:color w:val="auto"/>
        </w:rPr>
      </w:pPr>
    </w:p>
    <w:p>
      <w:pPr>
        <w:ind w:left="760" w:right="100" w:hanging="378"/>
        <w:spacing w:after="0" w:line="256"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dated February 14, 2024 and Form 4 filed May 3, 2024. These shares are held by Fund 1 Investments, LLC, of which (i) 5,691,577 shares are held for the benefit of Pleasant Lake Onshore Feeder Fund, LP (the "PL Fund") and (ii) 37,713 shares are held for the benefit of an unaffiliated private fund (together with PL Fund, the “Funds”). Pleasant Lake Partners LLC serves as investment adviser to the Funds, and Fund 1 Investments, LLC serves as managing member of Pleasant Lake Partners LLC. Jonathan Lennon serves as managing member of Fund 1 Investments, LLC. Each of Fund 1 Investments, LLC, Pleasant Lake Partners LLC and Mr. Lennon disclaims beneficial ownership of these shares except to the extent of its or his pecuniary interest therein.</w:t>
      </w:r>
    </w:p>
    <w:p>
      <w:pPr>
        <w:spacing w:after="0" w:line="77" w:lineRule="exact"/>
        <w:rPr>
          <w:rFonts w:ascii="Times New Roman" w:cs="Times New Roman" w:eastAsia="Times New Roman" w:hAnsi="Times New Roman"/>
          <w:sz w:val="18"/>
          <w:szCs w:val="18"/>
          <w:color w:val="auto"/>
        </w:rPr>
      </w:pPr>
    </w:p>
    <w:p>
      <w:pPr>
        <w:ind w:left="760" w:right="80" w:hanging="378"/>
        <w:spacing w:after="0" w:line="254"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dated February 13, 2024. Of these shares, (i) 3,663,323 shares owned by Wolf Hill Partners, LP (the “Fund”) and (ii) 511,407 shares are held in certain separate managed accounts for whom Wolf Hill Capital Management, LP (“Wolf Hill Capital”) acts as sub-advisor ("Managed Accounts"). As investment manager of the Fund and sub-advisor to the Managed Accounts, Wolf Hill Capital may be deemed to indirectly beneficially own the shares held by the Fund and the Managed Accounts. Wolf Hill General Partner, LLC, as general partner of Wolf Hill Capital and the Fund (the “GP”), may be deemed to beneficially own the shares held by each of Wolf Hill Capital and the Fund. Gary Lehrman is the managing member of the GP and may be deemed to beneficially own shares beneficially owned by the GP. The Fund disclaims beneficial ownership of the shares held by the Managed Accounts, and the Managed Accounts disclaim beneficial ownership of the shares held by the Fund.</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80" w:right="299" w:bottom="1440" w:gutter="0" w:footer="0" w:header="0"/>
        </w:sectPr>
      </w:pPr>
    </w:p>
    <w:bookmarkStart w:id="57" w:name="page58"/>
    <w:bookmarkEnd w:id="57"/>
    <w:p>
      <w:pPr>
        <w:ind w:left="760" w:right="460" w:hanging="378"/>
        <w:spacing w:after="0" w:line="281"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dated January 29, 2024. Of these shares, BlackRock Inc. has sole voting power for 3,779,796 shares and sole dispositive power for 3,863,613 shares.</w:t>
      </w:r>
    </w:p>
    <w:p>
      <w:pPr>
        <w:spacing w:after="0" w:line="54" w:lineRule="exact"/>
        <w:rPr>
          <w:rFonts w:ascii="Times New Roman" w:cs="Times New Roman" w:eastAsia="Times New Roman" w:hAnsi="Times New Roman"/>
          <w:sz w:val="18"/>
          <w:szCs w:val="18"/>
          <w:color w:val="auto"/>
        </w:rPr>
      </w:pPr>
    </w:p>
    <w:p>
      <w:pPr>
        <w:jc w:val="both"/>
        <w:ind w:left="760" w:right="40" w:hanging="378"/>
        <w:spacing w:after="0" w:line="26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63 to Schedule 13D dated January 12, 2023. Of these shares, 278,733 shares are held by Jewelcor Management, Inc. Mr. Holtzman is the chairman, chief executive officer and president and, together with his wife, indirectly, the majority shareholder of Jewelcor Management, Inc.</w:t>
      </w:r>
    </w:p>
    <w:p>
      <w:pPr>
        <w:spacing w:after="0" w:line="69" w:lineRule="exact"/>
        <w:rPr>
          <w:rFonts w:ascii="Times New Roman" w:cs="Times New Roman" w:eastAsia="Times New Roman" w:hAnsi="Times New Roman"/>
          <w:sz w:val="18"/>
          <w:szCs w:val="18"/>
          <w:color w:val="auto"/>
        </w:rPr>
      </w:pPr>
    </w:p>
    <w:p>
      <w:pPr>
        <w:ind w:left="760" w:right="40" w:hanging="378"/>
        <w:spacing w:after="0" w:line="260"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dated February 13, 2024. Of these shares, The Vanguard Group possesses shared dispositive power for 104,331 shares, sole dispositive power for 2,799,342 shares of common stock and shared voting power of 85,021 shares.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as of June 12, 2024, with respect to our directors, our Named Executive Officers (as defined above under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and our directors and current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500" w:type="dxa"/>
            <w:vAlign w:val="bottom"/>
          </w:tcPr>
          <w:p>
            <w:pPr>
              <w:spacing w:after="0"/>
              <w:rPr>
                <w:sz w:val="17"/>
                <w:szCs w:val="17"/>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Percent of Class</w:t>
            </w:r>
          </w:p>
        </w:tc>
      </w:tr>
      <w:tr>
        <w:trPr>
          <w:trHeight w:val="225"/>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500" w:type="dxa"/>
            <w:vAlign w:val="bottom"/>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Lionel F. Conacher</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323,739</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Chairman of the Board</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Harvey S. Kanter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1,249,285</w:t>
            </w: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39"/>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Peter H. Stratton, Jr.</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504,673</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Anthony J. Gaeta</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359,292</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Stores and Real Estate Officer</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Robert S. Molloy</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420,572</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Allison Surette</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297,586</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Merchandise Officer</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Jack Boyle, Director</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522,627</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Carmen R. Bauza, Director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44,088</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Willem Mesdag, Director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3,049,227</w:t>
            </w: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Ivy Ross, Director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203,828</w:t>
            </w: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Elaine K. Rubin, Director</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94,763</w:t>
            </w:r>
          </w:p>
        </w:tc>
        <w:tc>
          <w:tcPr>
            <w:tcW w:w="5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Directors and executive officers as a group (15 persons)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7,523,156</w:t>
            </w: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-2316480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w:t>
      </w:r>
    </w:p>
    <w:p>
      <w:pPr>
        <w:spacing w:after="0" w:line="36" w:lineRule="exact"/>
        <w:rPr>
          <w:sz w:val="20"/>
          <w:szCs w:val="20"/>
          <w:color w:val="auto"/>
        </w:rPr>
      </w:pPr>
    </w:p>
    <w:p>
      <w:pPr>
        <w:ind w:left="380" w:right="140" w:hanging="372"/>
        <w:spacing w:after="0" w:line="254"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58,235,323 shares of our common stock outstanding as of June 12, 2024.</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830,863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267,510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203,808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172,952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211,704 shares subject to stock options exercisable within 60 days.</w:t>
      </w:r>
    </w:p>
    <w:p>
      <w:pPr>
        <w:spacing w:after="0" w:line="8" w:lineRule="exact"/>
        <w:rPr>
          <w:rFonts w:ascii="Times New Roman" w:cs="Times New Roman" w:eastAsia="Times New Roman" w:hAnsi="Times New Roman"/>
          <w:sz w:val="18"/>
          <w:szCs w:val="18"/>
          <w:color w:val="auto"/>
        </w:rPr>
      </w:pPr>
    </w:p>
    <w:p>
      <w:pPr>
        <w:ind w:left="380" w:right="240" w:hanging="372"/>
        <w:spacing w:after="0" w:line="250"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455,469 shares of deferred stock receivable upon Mr. Mesdag’s separation from the Board.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w:t>
      </w: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1,971,067 shares subject to stock options exercisable within 60 days and 455,469 shares of deferred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-2331085</wp:posOffset>
            </wp:positionV>
            <wp:extent cx="9505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92" w:right="2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Access to this information as well as other information on our Company is also available on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will furnish without charge to each person whose proxy is being solicited, upon request of any such person, a copy of the Annual Report for the year ended February 3, 2024 as filed with the SEC, including the financial statements and schedules thereto. A request for a copy of such report should be directed to Destination XL Group, Inc., 555 Turnpike Street, Canton, MA 02021, Attention: Investor Relations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22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$6,500 to aid in solicitation of proxies.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telephone (781)-828-9300 or via the “contact us” dropdown on the investor page of our website. We will send you a copy of the Proxy Statement promptly after we receive your request.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i w:val="1"/>
          <w:iCs w:val="1"/>
          <w:color w:val="auto"/>
        </w:rPr>
        <w:t>Stockholder proposals for inclusion in our proxy statement</w:t>
      </w:r>
      <w:r>
        <w:rPr>
          <w:rFonts w:ascii="Times New Roman" w:cs="Times New Roman" w:eastAsia="Times New Roman" w:hAnsi="Times New Roman"/>
          <w:sz w:val="17"/>
          <w:szCs w:val="17"/>
          <w:color w:val="auto"/>
        </w:rPr>
        <w:t>: Under the rules of the SEC, in order for any stockholder proposal to be included in our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and proxy card for presentation at the 2024 Annual Meeting of Stockholders, the proposal must be received by the Secretary of our Company at our principal executive offices by February 28, 2025 (120 days before the anniversary of the date this Proxy Statement is being mailed to our stockholders).</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Other stockholder proposals</w:t>
      </w:r>
      <w:r>
        <w:rPr>
          <w:rFonts w:ascii="Times New Roman" w:cs="Times New Roman" w:eastAsia="Times New Roman" w:hAnsi="Times New Roman"/>
          <w:sz w:val="18"/>
          <w:szCs w:val="18"/>
          <w:color w:val="auto"/>
        </w:rPr>
        <w:t>: Our By-Laws provide that for business to be properly brought before an Annual Meeting of Stockholders (or any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2025 Annual Meeting, a stockholder must deliver the requisite notice of such item to the Secretary of our Company not before April 10, 2025 or after May 10, 2025.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 In order for stockholders to give timely notice of nominations for directors for inclusion on a universal proxy card in connection with the 2024 Annual Meeting, notice must be submitted by the same deadline as disclosed above under the advance notice provisions of our By-Laws and must include the information in the notice required by our By-Laws and by Rule 14a-19(b)(2) and Rule 14a-19(b)(3) under the Exchange Act.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60" w:name="page61"/>
    <w:bookmarkEnd w:id="60"/>
    <w:p>
      <w:pPr>
        <w:ind w:left="10360"/>
        <w:spacing w:after="0"/>
        <w:rPr>
          <w:sz w:val="20"/>
          <w:szCs w:val="20"/>
          <w:color w:val="auto"/>
        </w:rPr>
      </w:pPr>
      <w:r>
        <w:rPr>
          <w:rFonts w:ascii="Times New Roman" w:cs="Times New Roman" w:eastAsia="Times New Roman" w:hAnsi="Times New Roman"/>
          <w:sz w:val="18"/>
          <w:szCs w:val="18"/>
          <w:b w:val="1"/>
          <w:bCs w:val="1"/>
          <w:i w:val="1"/>
          <w:iCs w:val="1"/>
          <w:color w:val="auto"/>
        </w:rPr>
        <w:t>Appendix A</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u w:val="single" w:color="auto"/>
          <w:color w:val="auto"/>
        </w:rPr>
        <w:t>Explanatory Note</w:t>
      </w:r>
      <w:r>
        <w:rPr>
          <w:rFonts w:ascii="Times New Roman" w:cs="Times New Roman" w:eastAsia="Times New Roman" w:hAnsi="Times New Roman"/>
          <w:sz w:val="18"/>
          <w:szCs w:val="18"/>
          <w:color w:val="auto"/>
        </w:rPr>
        <w:t>: This Appendix A contains a copy of the Destination XL Group, Inc. Second Amended and Restated 2016 Incentive Compensation Plan as proposed to be amended by Proposal 3 included in this Proxy Statement to which this Appendix A is attached.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Editing Guide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additions are shown in blue, bold and as underlined text;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deletions are shown in red, bold and as strike-throughs;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text, which has been moved, is shown in green, as lighter bold with underlined text or strike-through,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DESTINATION XL GROUP,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0000FF"/>
        </w:rPr>
        <w:t>SECOND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2016 INCENTIVE COMPENSATION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FF0000"/>
        </w:rPr>
        <w:t>(</w:t>
      </w:r>
      <w:r>
        <w:rPr>
          <w:rFonts w:ascii="Times New Roman" w:cs="Times New Roman" w:eastAsia="Times New Roman" w:hAnsi="Times New Roman"/>
          <w:sz w:val="25"/>
          <w:szCs w:val="25"/>
          <w:b w:val="1"/>
          <w:bCs w:val="1"/>
          <w:color w:val="FF0000"/>
          <w:strike w:val="1"/>
        </w:rPr>
        <w:t>AS AMENDED AND RESTATED</w:t>
      </w:r>
      <w:r>
        <w:rPr>
          <w:rFonts w:ascii="Times New Roman" w:cs="Times New Roman" w:eastAsia="Times New Roman" w:hAnsi="Times New Roman"/>
          <w:sz w:val="25"/>
          <w:szCs w:val="25"/>
          <w:b w:val="1"/>
          <w:bCs w:val="1"/>
          <w:color w:val="FF0000"/>
        </w:rPr>
        <w:t xml:space="preserve"> </w:t>
      </w:r>
      <w:r>
        <w:rPr>
          <w:rFonts w:ascii="Times New Roman" w:cs="Times New Roman" w:eastAsia="Times New Roman" w:hAnsi="Times New Roman"/>
          <w:sz w:val="25"/>
          <w:szCs w:val="25"/>
          <w:b w:val="1"/>
          <w:bCs w:val="1"/>
          <w:color w:val="000000"/>
        </w:rPr>
        <w:t>EFFECTIVE</w:t>
      </w:r>
      <w:r>
        <w:rPr>
          <w:rFonts w:ascii="Times New Roman" w:cs="Times New Roman" w:eastAsia="Times New Roman" w:hAnsi="Times New Roman"/>
          <w:sz w:val="25"/>
          <w:szCs w:val="25"/>
          <w:b w:val="1"/>
          <w:bCs w:val="1"/>
          <w:color w:val="FF0000"/>
        </w:rPr>
        <w:t xml:space="preserve"> </w:t>
      </w:r>
      <w:r>
        <w:rPr>
          <w:rFonts w:ascii="Times New Roman" w:cs="Times New Roman" w:eastAsia="Times New Roman" w:hAnsi="Times New Roman"/>
          <w:sz w:val="25"/>
          <w:szCs w:val="25"/>
          <w:b w:val="1"/>
          <w:bCs w:val="1"/>
          <w:u w:val="single" w:color="auto"/>
          <w:color w:val="0000FF"/>
        </w:rPr>
        <w:t>AUGUST __, 2024</w:t>
      </w:r>
      <w:r>
        <w:rPr>
          <w:rFonts w:ascii="Times New Roman" w:cs="Times New Roman" w:eastAsia="Times New Roman" w:hAnsi="Times New Roman"/>
          <w:sz w:val="25"/>
          <w:szCs w:val="25"/>
          <w:b w:val="1"/>
          <w:bCs w:val="1"/>
          <w:color w:val="FF0000"/>
        </w:rPr>
        <w:t xml:space="preserve"> </w:t>
      </w:r>
      <w:r>
        <w:rPr>
          <w:rFonts w:ascii="Times New Roman" w:cs="Times New Roman" w:eastAsia="Times New Roman" w:hAnsi="Times New Roman"/>
          <w:sz w:val="25"/>
          <w:szCs w:val="25"/>
          <w:b w:val="1"/>
          <w:bCs w:val="1"/>
          <w:color w:val="FF0000"/>
          <w:strike w:val="1"/>
        </w:rPr>
        <w:t>NOVEMBER 2, 2023</w:t>
      </w:r>
      <w:r>
        <w:rPr>
          <w:rFonts w:ascii="Times New Roman" w:cs="Times New Roman" w:eastAsia="Times New Roman" w:hAnsi="Times New Roman"/>
          <w:sz w:val="25"/>
          <w:szCs w:val="25"/>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0000FF"/>
        </w:rPr>
        <w:t>SECOND AMENDED AND RESTATED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2016 INCENTIVE COMPENSATION PLAN,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as amended and restated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shd w:val="clear" w:color="auto" w:fill="FF99CC"/>
          </w:tcPr>
          <w:p>
            <w:pPr>
              <w:spacing w:after="0"/>
              <w:rPr>
                <w:sz w:val="21"/>
                <w:szCs w:val="21"/>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1.</w:t>
            </w:r>
          </w:p>
        </w:tc>
        <w:tc>
          <w:tcPr>
            <w:tcW w:w="80" w:type="dxa"/>
            <w:vAlign w:val="bottom"/>
            <w:shd w:val="clear" w:color="auto" w:fill="FF99CC"/>
          </w:tcPr>
          <w:p>
            <w:pPr>
              <w:spacing w:after="0"/>
              <w:rPr>
                <w:sz w:val="21"/>
                <w:szCs w:val="21"/>
                <w:color w:val="auto"/>
              </w:rPr>
            </w:pPr>
          </w:p>
        </w:tc>
        <w:tc>
          <w:tcPr>
            <w:tcW w:w="100" w:type="dxa"/>
            <w:vAlign w:val="bottom"/>
            <w:shd w:val="clear" w:color="auto" w:fill="FF99CC"/>
          </w:tcPr>
          <w:p>
            <w:pPr>
              <w:spacing w:after="0"/>
              <w:rPr>
                <w:sz w:val="21"/>
                <w:szCs w:val="21"/>
                <w:color w:val="auto"/>
              </w:rPr>
            </w:pPr>
          </w:p>
        </w:tc>
        <w:tc>
          <w:tcPr>
            <w:tcW w:w="62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5"/>
              </w:rPr>
              <w:t>Purpose</w:t>
            </w:r>
          </w:p>
        </w:tc>
        <w:tc>
          <w:tcPr>
            <w:tcW w:w="220" w:type="dxa"/>
            <w:vAlign w:val="bottom"/>
            <w:shd w:val="clear" w:color="auto" w:fill="FF99CC"/>
          </w:tcPr>
          <w:p>
            <w:pPr>
              <w:spacing w:after="0"/>
              <w:rPr>
                <w:sz w:val="21"/>
                <w:szCs w:val="21"/>
                <w:color w:val="auto"/>
              </w:rPr>
            </w:pPr>
          </w:p>
        </w:tc>
        <w:tc>
          <w:tcPr>
            <w:tcW w:w="320" w:type="dxa"/>
            <w:vAlign w:val="bottom"/>
            <w:shd w:val="clear" w:color="auto" w:fill="FF99CC"/>
          </w:tcPr>
          <w:p>
            <w:pPr>
              <w:spacing w:after="0"/>
              <w:rPr>
                <w:sz w:val="21"/>
                <w:szCs w:val="21"/>
                <w:color w:val="auto"/>
              </w:rPr>
            </w:pPr>
          </w:p>
        </w:tc>
        <w:tc>
          <w:tcPr>
            <w:tcW w:w="260" w:type="dxa"/>
            <w:vAlign w:val="bottom"/>
            <w:shd w:val="clear" w:color="auto" w:fill="FF99CC"/>
          </w:tcPr>
          <w:p>
            <w:pPr>
              <w:spacing w:after="0"/>
              <w:rPr>
                <w:sz w:val="21"/>
                <w:szCs w:val="21"/>
                <w:color w:val="auto"/>
              </w:rPr>
            </w:pPr>
          </w:p>
        </w:tc>
        <w:tc>
          <w:tcPr>
            <w:tcW w:w="300" w:type="dxa"/>
            <w:vAlign w:val="bottom"/>
            <w:tcBorders>
              <w:left w:val="single" w:sz="8" w:color="FF99CC"/>
            </w:tcBorders>
            <w:shd w:val="clear" w:color="auto" w:fill="FF99CC"/>
          </w:tcPr>
          <w:p>
            <w:pPr>
              <w:spacing w:after="0"/>
              <w:rPr>
                <w:sz w:val="21"/>
                <w:szCs w:val="21"/>
                <w:color w:val="auto"/>
              </w:rPr>
            </w:pPr>
          </w:p>
        </w:tc>
        <w:tc>
          <w:tcPr>
            <w:tcW w:w="220" w:type="dxa"/>
            <w:vAlign w:val="bottom"/>
            <w:shd w:val="clear" w:color="auto" w:fill="FF99CC"/>
          </w:tcPr>
          <w:p>
            <w:pPr>
              <w:spacing w:after="0"/>
              <w:rPr>
                <w:sz w:val="21"/>
                <w:szCs w:val="21"/>
                <w:color w:val="auto"/>
              </w:rPr>
            </w:pPr>
          </w:p>
        </w:tc>
        <w:tc>
          <w:tcPr>
            <w:tcW w:w="100" w:type="dxa"/>
            <w:vAlign w:val="bottom"/>
            <w:shd w:val="clear" w:color="auto" w:fill="FF99CC"/>
          </w:tcPr>
          <w:p>
            <w:pPr>
              <w:spacing w:after="0"/>
              <w:rPr>
                <w:sz w:val="21"/>
                <w:szCs w:val="21"/>
                <w:color w:val="auto"/>
              </w:rPr>
            </w:pPr>
          </w:p>
        </w:tc>
        <w:tc>
          <w:tcPr>
            <w:tcW w:w="1080" w:type="dxa"/>
            <w:vAlign w:val="bottom"/>
            <w:shd w:val="clear" w:color="auto" w:fill="FF99CC"/>
          </w:tcPr>
          <w:p>
            <w:pPr>
              <w:spacing w:after="0"/>
              <w:rPr>
                <w:sz w:val="21"/>
                <w:szCs w:val="21"/>
                <w:color w:val="auto"/>
              </w:rPr>
            </w:pPr>
          </w:p>
        </w:tc>
        <w:tc>
          <w:tcPr>
            <w:tcW w:w="20" w:type="dxa"/>
            <w:vAlign w:val="bottom"/>
            <w:shd w:val="clear" w:color="auto" w:fill="FF99CC"/>
          </w:tcPr>
          <w:p>
            <w:pPr>
              <w:spacing w:after="0"/>
              <w:rPr>
                <w:sz w:val="21"/>
                <w:szCs w:val="21"/>
                <w:color w:val="auto"/>
              </w:rPr>
            </w:pPr>
          </w:p>
        </w:tc>
        <w:tc>
          <w:tcPr>
            <w:tcW w:w="7380" w:type="dxa"/>
            <w:vAlign w:val="bottom"/>
            <w:shd w:val="clear" w:color="auto" w:fill="FF99CC"/>
          </w:tcPr>
          <w:p>
            <w:pPr>
              <w:spacing w:after="0"/>
              <w:rPr>
                <w:sz w:val="21"/>
                <w:szCs w:val="21"/>
                <w:color w:val="auto"/>
              </w:rPr>
            </w:pPr>
          </w:p>
        </w:tc>
        <w:tc>
          <w:tcPr>
            <w:tcW w:w="80" w:type="dxa"/>
            <w:vAlign w:val="bottom"/>
            <w:shd w:val="clear" w:color="auto" w:fill="FF99CC"/>
          </w:tcPr>
          <w:p>
            <w:pPr>
              <w:spacing w:after="0"/>
              <w:rPr>
                <w:sz w:val="21"/>
                <w:szCs w:val="21"/>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w:t>
            </w:r>
          </w:p>
        </w:tc>
        <w:tc>
          <w:tcPr>
            <w:tcW w:w="20" w:type="dxa"/>
            <w:vAlign w:val="bottom"/>
            <w:shd w:val="clear" w:color="auto" w:fill="FF99CC"/>
          </w:tcPr>
          <w:p>
            <w:pPr>
              <w:spacing w:after="0"/>
              <w:rPr>
                <w:sz w:val="21"/>
                <w:szCs w:val="21"/>
                <w:color w:val="auto"/>
              </w:rPr>
            </w:pPr>
          </w:p>
        </w:tc>
      </w:tr>
      <w:tr>
        <w:trPr>
          <w:trHeight w:val="238"/>
        </w:trPr>
        <w:tc>
          <w:tcPr>
            <w:tcW w:w="20" w:type="dxa"/>
            <w:vAlign w:val="bottom"/>
            <w:shd w:val="clear" w:color="auto" w:fill="FF99CC"/>
          </w:tcPr>
          <w:p>
            <w:pPr>
              <w:spacing w:after="0"/>
              <w:rPr>
                <w:sz w:val="20"/>
                <w:szCs w:val="20"/>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2.</w:t>
            </w:r>
          </w:p>
        </w:tc>
        <w:tc>
          <w:tcPr>
            <w:tcW w:w="80" w:type="dxa"/>
            <w:vAlign w:val="bottom"/>
            <w:shd w:val="clear" w:color="auto" w:fill="FF99CC"/>
          </w:tcPr>
          <w:p>
            <w:pPr>
              <w:spacing w:after="0"/>
              <w:rPr>
                <w:sz w:val="20"/>
                <w:szCs w:val="20"/>
                <w:color w:val="auto"/>
              </w:rPr>
            </w:pPr>
          </w:p>
        </w:tc>
        <w:tc>
          <w:tcPr>
            <w:tcW w:w="100" w:type="dxa"/>
            <w:vAlign w:val="bottom"/>
            <w:shd w:val="clear" w:color="auto" w:fill="FF99CC"/>
          </w:tcPr>
          <w:p>
            <w:pPr>
              <w:spacing w:after="0"/>
              <w:rPr>
                <w:sz w:val="20"/>
                <w:szCs w:val="20"/>
                <w:color w:val="auto"/>
              </w:rPr>
            </w:pPr>
          </w:p>
        </w:tc>
        <w:tc>
          <w:tcPr>
            <w:tcW w:w="840" w:type="dxa"/>
            <w:vAlign w:val="bottom"/>
            <w:gridSpan w:val="2"/>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7"/>
              </w:rPr>
              <w:t>Definitions</w:t>
            </w:r>
          </w:p>
        </w:tc>
        <w:tc>
          <w:tcPr>
            <w:tcW w:w="320" w:type="dxa"/>
            <w:vAlign w:val="bottom"/>
            <w:shd w:val="clear" w:color="auto" w:fill="FF99CC"/>
          </w:tcPr>
          <w:p>
            <w:pPr>
              <w:spacing w:after="0"/>
              <w:rPr>
                <w:sz w:val="20"/>
                <w:szCs w:val="20"/>
                <w:color w:val="auto"/>
              </w:rPr>
            </w:pPr>
          </w:p>
        </w:tc>
        <w:tc>
          <w:tcPr>
            <w:tcW w:w="260" w:type="dxa"/>
            <w:vAlign w:val="bottom"/>
            <w:shd w:val="clear" w:color="auto" w:fill="FF99CC"/>
          </w:tcPr>
          <w:p>
            <w:pPr>
              <w:spacing w:after="0"/>
              <w:rPr>
                <w:sz w:val="20"/>
                <w:szCs w:val="20"/>
                <w:color w:val="auto"/>
              </w:rPr>
            </w:pPr>
          </w:p>
        </w:tc>
        <w:tc>
          <w:tcPr>
            <w:tcW w:w="300" w:type="dxa"/>
            <w:vAlign w:val="bottom"/>
            <w:tcBorders>
              <w:left w:val="single" w:sz="8" w:color="FF99CC"/>
            </w:tcBorders>
            <w:shd w:val="clear" w:color="auto" w:fill="FF99CC"/>
          </w:tcPr>
          <w:p>
            <w:pPr>
              <w:spacing w:after="0"/>
              <w:rPr>
                <w:sz w:val="20"/>
                <w:szCs w:val="20"/>
                <w:color w:val="auto"/>
              </w:rPr>
            </w:pPr>
          </w:p>
        </w:tc>
        <w:tc>
          <w:tcPr>
            <w:tcW w:w="220" w:type="dxa"/>
            <w:vAlign w:val="bottom"/>
            <w:shd w:val="clear" w:color="auto" w:fill="FF99CC"/>
          </w:tcPr>
          <w:p>
            <w:pPr>
              <w:spacing w:after="0"/>
              <w:rPr>
                <w:sz w:val="20"/>
                <w:szCs w:val="20"/>
                <w:color w:val="auto"/>
              </w:rPr>
            </w:pPr>
          </w:p>
        </w:tc>
        <w:tc>
          <w:tcPr>
            <w:tcW w:w="100" w:type="dxa"/>
            <w:vAlign w:val="bottom"/>
            <w:shd w:val="clear" w:color="auto" w:fill="FF99CC"/>
          </w:tcPr>
          <w:p>
            <w:pPr>
              <w:spacing w:after="0"/>
              <w:rPr>
                <w:sz w:val="20"/>
                <w:szCs w:val="20"/>
                <w:color w:val="auto"/>
              </w:rPr>
            </w:pPr>
          </w:p>
        </w:tc>
        <w:tc>
          <w:tcPr>
            <w:tcW w:w="1080" w:type="dxa"/>
            <w:vAlign w:val="bottom"/>
            <w:shd w:val="clear" w:color="auto" w:fill="FF99CC"/>
          </w:tcPr>
          <w:p>
            <w:pPr>
              <w:spacing w:after="0"/>
              <w:rPr>
                <w:sz w:val="20"/>
                <w:szCs w:val="20"/>
                <w:color w:val="auto"/>
              </w:rPr>
            </w:pPr>
          </w:p>
        </w:tc>
        <w:tc>
          <w:tcPr>
            <w:tcW w:w="20" w:type="dxa"/>
            <w:vAlign w:val="bottom"/>
            <w:shd w:val="clear" w:color="auto" w:fill="FF99CC"/>
          </w:tcPr>
          <w:p>
            <w:pPr>
              <w:spacing w:after="0"/>
              <w:rPr>
                <w:sz w:val="20"/>
                <w:szCs w:val="20"/>
                <w:color w:val="auto"/>
              </w:rPr>
            </w:pPr>
          </w:p>
        </w:tc>
        <w:tc>
          <w:tcPr>
            <w:tcW w:w="7380" w:type="dxa"/>
            <w:vAlign w:val="bottom"/>
            <w:shd w:val="clear" w:color="auto" w:fill="FF99CC"/>
          </w:tcPr>
          <w:p>
            <w:pPr>
              <w:spacing w:after="0"/>
              <w:rPr>
                <w:sz w:val="20"/>
                <w:szCs w:val="20"/>
                <w:color w:val="auto"/>
              </w:rPr>
            </w:pPr>
          </w:p>
        </w:tc>
        <w:tc>
          <w:tcPr>
            <w:tcW w:w="80" w:type="dxa"/>
            <w:vAlign w:val="bottom"/>
            <w:shd w:val="clear" w:color="auto" w:fill="FF99CC"/>
          </w:tcPr>
          <w:p>
            <w:pPr>
              <w:spacing w:after="0"/>
              <w:rPr>
                <w:sz w:val="20"/>
                <w:szCs w:val="20"/>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w:t>
            </w:r>
          </w:p>
        </w:tc>
        <w:tc>
          <w:tcPr>
            <w:tcW w:w="20" w:type="dxa"/>
            <w:vAlign w:val="bottom"/>
            <w:shd w:val="clear" w:color="auto" w:fill="FF99CC"/>
          </w:tcPr>
          <w:p>
            <w:pPr>
              <w:spacing w:after="0"/>
              <w:rPr>
                <w:sz w:val="20"/>
                <w:szCs w:val="20"/>
                <w:color w:val="auto"/>
              </w:rPr>
            </w:pPr>
          </w:p>
        </w:tc>
      </w:tr>
      <w:tr>
        <w:trPr>
          <w:trHeight w:val="238"/>
        </w:trPr>
        <w:tc>
          <w:tcPr>
            <w:tcW w:w="20" w:type="dxa"/>
            <w:vAlign w:val="bottom"/>
            <w:shd w:val="clear" w:color="auto" w:fill="FF99CC"/>
          </w:tcPr>
          <w:p>
            <w:pPr>
              <w:spacing w:after="0"/>
              <w:rPr>
                <w:sz w:val="20"/>
                <w:szCs w:val="20"/>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3.</w:t>
            </w:r>
          </w:p>
        </w:tc>
        <w:tc>
          <w:tcPr>
            <w:tcW w:w="80" w:type="dxa"/>
            <w:vAlign w:val="bottom"/>
            <w:shd w:val="clear" w:color="auto" w:fill="FF99CC"/>
          </w:tcPr>
          <w:p>
            <w:pPr>
              <w:spacing w:after="0"/>
              <w:rPr>
                <w:sz w:val="20"/>
                <w:szCs w:val="20"/>
                <w:color w:val="auto"/>
              </w:rPr>
            </w:pPr>
          </w:p>
        </w:tc>
        <w:tc>
          <w:tcPr>
            <w:tcW w:w="100" w:type="dxa"/>
            <w:vAlign w:val="bottom"/>
            <w:shd w:val="clear" w:color="auto" w:fill="FF99CC"/>
          </w:tcPr>
          <w:p>
            <w:pPr>
              <w:spacing w:after="0"/>
              <w:rPr>
                <w:sz w:val="20"/>
                <w:szCs w:val="20"/>
                <w:color w:val="auto"/>
              </w:rPr>
            </w:pPr>
          </w:p>
        </w:tc>
        <w:tc>
          <w:tcPr>
            <w:tcW w:w="1160" w:type="dxa"/>
            <w:vAlign w:val="bottom"/>
            <w:gridSpan w:val="3"/>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Administration</w:t>
            </w:r>
          </w:p>
        </w:tc>
        <w:tc>
          <w:tcPr>
            <w:tcW w:w="260" w:type="dxa"/>
            <w:vAlign w:val="bottom"/>
            <w:shd w:val="clear" w:color="auto" w:fill="FF99CC"/>
          </w:tcPr>
          <w:p>
            <w:pPr>
              <w:spacing w:after="0"/>
              <w:rPr>
                <w:sz w:val="20"/>
                <w:szCs w:val="20"/>
                <w:color w:val="auto"/>
              </w:rPr>
            </w:pPr>
          </w:p>
        </w:tc>
        <w:tc>
          <w:tcPr>
            <w:tcW w:w="300" w:type="dxa"/>
            <w:vAlign w:val="bottom"/>
            <w:tcBorders>
              <w:left w:val="single" w:sz="8" w:color="FF99CC"/>
            </w:tcBorders>
            <w:shd w:val="clear" w:color="auto" w:fill="FF99CC"/>
          </w:tcPr>
          <w:p>
            <w:pPr>
              <w:spacing w:after="0"/>
              <w:rPr>
                <w:sz w:val="20"/>
                <w:szCs w:val="20"/>
                <w:color w:val="auto"/>
              </w:rPr>
            </w:pPr>
          </w:p>
        </w:tc>
        <w:tc>
          <w:tcPr>
            <w:tcW w:w="220" w:type="dxa"/>
            <w:vAlign w:val="bottom"/>
            <w:shd w:val="clear" w:color="auto" w:fill="FF99CC"/>
          </w:tcPr>
          <w:p>
            <w:pPr>
              <w:spacing w:after="0"/>
              <w:rPr>
                <w:sz w:val="20"/>
                <w:szCs w:val="20"/>
                <w:color w:val="auto"/>
              </w:rPr>
            </w:pPr>
          </w:p>
        </w:tc>
        <w:tc>
          <w:tcPr>
            <w:tcW w:w="100" w:type="dxa"/>
            <w:vAlign w:val="bottom"/>
            <w:shd w:val="clear" w:color="auto" w:fill="FF99CC"/>
          </w:tcPr>
          <w:p>
            <w:pPr>
              <w:spacing w:after="0"/>
              <w:rPr>
                <w:sz w:val="20"/>
                <w:szCs w:val="20"/>
                <w:color w:val="auto"/>
              </w:rPr>
            </w:pPr>
          </w:p>
        </w:tc>
        <w:tc>
          <w:tcPr>
            <w:tcW w:w="1080" w:type="dxa"/>
            <w:vAlign w:val="bottom"/>
            <w:shd w:val="clear" w:color="auto" w:fill="FF99CC"/>
          </w:tcPr>
          <w:p>
            <w:pPr>
              <w:spacing w:after="0"/>
              <w:rPr>
                <w:sz w:val="20"/>
                <w:szCs w:val="20"/>
                <w:color w:val="auto"/>
              </w:rPr>
            </w:pPr>
          </w:p>
        </w:tc>
        <w:tc>
          <w:tcPr>
            <w:tcW w:w="20" w:type="dxa"/>
            <w:vAlign w:val="bottom"/>
            <w:shd w:val="clear" w:color="auto" w:fill="FF99CC"/>
          </w:tcPr>
          <w:p>
            <w:pPr>
              <w:spacing w:after="0"/>
              <w:rPr>
                <w:sz w:val="20"/>
                <w:szCs w:val="20"/>
                <w:color w:val="auto"/>
              </w:rPr>
            </w:pPr>
          </w:p>
        </w:tc>
        <w:tc>
          <w:tcPr>
            <w:tcW w:w="7380" w:type="dxa"/>
            <w:vAlign w:val="bottom"/>
            <w:shd w:val="clear" w:color="auto" w:fill="FF99CC"/>
          </w:tcPr>
          <w:p>
            <w:pPr>
              <w:spacing w:after="0"/>
              <w:rPr>
                <w:sz w:val="20"/>
                <w:szCs w:val="20"/>
                <w:color w:val="auto"/>
              </w:rPr>
            </w:pPr>
          </w:p>
        </w:tc>
        <w:tc>
          <w:tcPr>
            <w:tcW w:w="80" w:type="dxa"/>
            <w:vAlign w:val="bottom"/>
            <w:shd w:val="clear" w:color="auto" w:fill="FF99CC"/>
          </w:tcPr>
          <w:p>
            <w:pPr>
              <w:spacing w:after="0"/>
              <w:rPr>
                <w:sz w:val="20"/>
                <w:szCs w:val="20"/>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5</w:t>
            </w:r>
          </w:p>
        </w:tc>
        <w:tc>
          <w:tcPr>
            <w:tcW w:w="20" w:type="dxa"/>
            <w:vAlign w:val="bottom"/>
            <w:shd w:val="clear" w:color="auto" w:fill="FF99CC"/>
          </w:tcPr>
          <w:p>
            <w:pPr>
              <w:spacing w:after="0"/>
              <w:rPr>
                <w:sz w:val="20"/>
                <w:szCs w:val="20"/>
                <w:color w:val="auto"/>
              </w:rPr>
            </w:pPr>
          </w:p>
        </w:tc>
      </w:tr>
      <w:tr>
        <w:trPr>
          <w:trHeight w:val="238"/>
        </w:trPr>
        <w:tc>
          <w:tcPr>
            <w:tcW w:w="20" w:type="dxa"/>
            <w:vAlign w:val="bottom"/>
            <w:shd w:val="clear" w:color="auto" w:fill="FF99CC"/>
          </w:tcPr>
          <w:p>
            <w:pPr>
              <w:spacing w:after="0"/>
              <w:rPr>
                <w:sz w:val="20"/>
                <w:szCs w:val="20"/>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4.</w:t>
            </w:r>
          </w:p>
        </w:tc>
        <w:tc>
          <w:tcPr>
            <w:tcW w:w="80" w:type="dxa"/>
            <w:vAlign w:val="bottom"/>
            <w:shd w:val="clear" w:color="auto" w:fill="FF99CC"/>
          </w:tcPr>
          <w:p>
            <w:pPr>
              <w:spacing w:after="0"/>
              <w:rPr>
                <w:sz w:val="20"/>
                <w:szCs w:val="20"/>
                <w:color w:val="auto"/>
              </w:rPr>
            </w:pPr>
          </w:p>
        </w:tc>
        <w:tc>
          <w:tcPr>
            <w:tcW w:w="100" w:type="dxa"/>
            <w:vAlign w:val="bottom"/>
            <w:shd w:val="clear" w:color="auto" w:fill="FF99CC"/>
          </w:tcPr>
          <w:p>
            <w:pPr>
              <w:spacing w:after="0"/>
              <w:rPr>
                <w:sz w:val="20"/>
                <w:szCs w:val="20"/>
                <w:color w:val="auto"/>
              </w:rPr>
            </w:pPr>
          </w:p>
        </w:tc>
        <w:tc>
          <w:tcPr>
            <w:tcW w:w="1720" w:type="dxa"/>
            <w:vAlign w:val="bottom"/>
            <w:gridSpan w:val="5"/>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7"/>
              </w:rPr>
              <w:t>Shares Subject to Plan</w:t>
            </w:r>
          </w:p>
        </w:tc>
        <w:tc>
          <w:tcPr>
            <w:tcW w:w="220" w:type="dxa"/>
            <w:vAlign w:val="bottom"/>
            <w:shd w:val="clear" w:color="auto" w:fill="FF99CC"/>
          </w:tcPr>
          <w:p>
            <w:pPr>
              <w:spacing w:after="0"/>
              <w:rPr>
                <w:sz w:val="20"/>
                <w:szCs w:val="20"/>
                <w:color w:val="auto"/>
              </w:rPr>
            </w:pPr>
          </w:p>
        </w:tc>
        <w:tc>
          <w:tcPr>
            <w:tcW w:w="100" w:type="dxa"/>
            <w:vAlign w:val="bottom"/>
            <w:shd w:val="clear" w:color="auto" w:fill="FF99CC"/>
          </w:tcPr>
          <w:p>
            <w:pPr>
              <w:spacing w:after="0"/>
              <w:rPr>
                <w:sz w:val="20"/>
                <w:szCs w:val="20"/>
                <w:color w:val="auto"/>
              </w:rPr>
            </w:pPr>
          </w:p>
        </w:tc>
        <w:tc>
          <w:tcPr>
            <w:tcW w:w="1080" w:type="dxa"/>
            <w:vAlign w:val="bottom"/>
            <w:shd w:val="clear" w:color="auto" w:fill="FF99CC"/>
          </w:tcPr>
          <w:p>
            <w:pPr>
              <w:spacing w:after="0"/>
              <w:rPr>
                <w:sz w:val="20"/>
                <w:szCs w:val="20"/>
                <w:color w:val="auto"/>
              </w:rPr>
            </w:pPr>
          </w:p>
        </w:tc>
        <w:tc>
          <w:tcPr>
            <w:tcW w:w="20" w:type="dxa"/>
            <w:vAlign w:val="bottom"/>
            <w:shd w:val="clear" w:color="auto" w:fill="FF99CC"/>
          </w:tcPr>
          <w:p>
            <w:pPr>
              <w:spacing w:after="0"/>
              <w:rPr>
                <w:sz w:val="20"/>
                <w:szCs w:val="20"/>
                <w:color w:val="auto"/>
              </w:rPr>
            </w:pPr>
          </w:p>
        </w:tc>
        <w:tc>
          <w:tcPr>
            <w:tcW w:w="7380" w:type="dxa"/>
            <w:vAlign w:val="bottom"/>
            <w:shd w:val="clear" w:color="auto" w:fill="FF99CC"/>
          </w:tcPr>
          <w:p>
            <w:pPr>
              <w:spacing w:after="0"/>
              <w:rPr>
                <w:sz w:val="20"/>
                <w:szCs w:val="20"/>
                <w:color w:val="auto"/>
              </w:rPr>
            </w:pPr>
          </w:p>
        </w:tc>
        <w:tc>
          <w:tcPr>
            <w:tcW w:w="80" w:type="dxa"/>
            <w:vAlign w:val="bottom"/>
            <w:shd w:val="clear" w:color="auto" w:fill="FF99CC"/>
          </w:tcPr>
          <w:p>
            <w:pPr>
              <w:spacing w:after="0"/>
              <w:rPr>
                <w:sz w:val="20"/>
                <w:szCs w:val="20"/>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5</w:t>
            </w:r>
          </w:p>
        </w:tc>
        <w:tc>
          <w:tcPr>
            <w:tcW w:w="20" w:type="dxa"/>
            <w:vAlign w:val="bottom"/>
            <w:shd w:val="clear" w:color="auto" w:fill="FF99CC"/>
          </w:tcPr>
          <w:p>
            <w:pPr>
              <w:spacing w:after="0"/>
              <w:rPr>
                <w:sz w:val="20"/>
                <w:szCs w:val="20"/>
                <w:color w:val="auto"/>
              </w:rPr>
            </w:pPr>
          </w:p>
        </w:tc>
      </w:tr>
      <w:tr>
        <w:trPr>
          <w:trHeight w:val="243"/>
        </w:trPr>
        <w:tc>
          <w:tcPr>
            <w:tcW w:w="20" w:type="dxa"/>
            <w:vAlign w:val="bottom"/>
            <w:shd w:val="clear" w:color="auto" w:fill="FF99CC"/>
          </w:tcPr>
          <w:p>
            <w:pPr>
              <w:spacing w:after="0"/>
              <w:rPr>
                <w:sz w:val="21"/>
                <w:szCs w:val="21"/>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5.</w:t>
            </w:r>
          </w:p>
        </w:tc>
        <w:tc>
          <w:tcPr>
            <w:tcW w:w="80" w:type="dxa"/>
            <w:vAlign w:val="bottom"/>
            <w:shd w:val="clear" w:color="auto" w:fill="FF99CC"/>
          </w:tcPr>
          <w:p>
            <w:pPr>
              <w:spacing w:after="0"/>
              <w:rPr>
                <w:sz w:val="21"/>
                <w:szCs w:val="21"/>
                <w:color w:val="auto"/>
              </w:rPr>
            </w:pPr>
          </w:p>
        </w:tc>
        <w:tc>
          <w:tcPr>
            <w:tcW w:w="100" w:type="dxa"/>
            <w:vAlign w:val="bottom"/>
            <w:shd w:val="clear" w:color="auto" w:fill="FF99CC"/>
          </w:tcPr>
          <w:p>
            <w:pPr>
              <w:spacing w:after="0"/>
              <w:rPr>
                <w:sz w:val="21"/>
                <w:szCs w:val="21"/>
                <w:color w:val="auto"/>
              </w:rPr>
            </w:pPr>
          </w:p>
        </w:tc>
        <w:tc>
          <w:tcPr>
            <w:tcW w:w="3120" w:type="dxa"/>
            <w:vAlign w:val="bottom"/>
            <w:gridSpan w:val="8"/>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8"/>
              </w:rPr>
              <w:t>Eligibility; Per-Participation Limitations</w:t>
            </w:r>
          </w:p>
        </w:tc>
        <w:tc>
          <w:tcPr>
            <w:tcW w:w="20" w:type="dxa"/>
            <w:vAlign w:val="bottom"/>
            <w:shd w:val="clear" w:color="auto" w:fill="FF99CC"/>
          </w:tcPr>
          <w:p>
            <w:pPr>
              <w:spacing w:after="0"/>
              <w:rPr>
                <w:sz w:val="21"/>
                <w:szCs w:val="21"/>
                <w:color w:val="auto"/>
              </w:rPr>
            </w:pPr>
          </w:p>
        </w:tc>
        <w:tc>
          <w:tcPr>
            <w:tcW w:w="7380" w:type="dxa"/>
            <w:vAlign w:val="bottom"/>
            <w:shd w:val="clear" w:color="auto" w:fill="FF99CC"/>
          </w:tcPr>
          <w:p>
            <w:pPr>
              <w:spacing w:after="0"/>
              <w:rPr>
                <w:sz w:val="21"/>
                <w:szCs w:val="21"/>
                <w:color w:val="auto"/>
              </w:rPr>
            </w:pPr>
          </w:p>
        </w:tc>
        <w:tc>
          <w:tcPr>
            <w:tcW w:w="80" w:type="dxa"/>
            <w:vAlign w:val="bottom"/>
            <w:shd w:val="clear" w:color="auto" w:fill="FF99CC"/>
          </w:tcPr>
          <w:p>
            <w:pPr>
              <w:spacing w:after="0"/>
              <w:rPr>
                <w:sz w:val="21"/>
                <w:szCs w:val="21"/>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6</w:t>
            </w:r>
          </w:p>
        </w:tc>
        <w:tc>
          <w:tcPr>
            <w:tcW w:w="20" w:type="dxa"/>
            <w:vAlign w:val="bottom"/>
            <w:shd w:val="clear" w:color="auto" w:fill="FF99CC"/>
          </w:tcPr>
          <w:p>
            <w:pPr>
              <w:spacing w:after="0"/>
              <w:rPr>
                <w:sz w:val="21"/>
                <w:szCs w:val="21"/>
                <w:color w:val="auto"/>
              </w:rPr>
            </w:pPr>
          </w:p>
        </w:tc>
      </w:tr>
      <w:tr>
        <w:trPr>
          <w:trHeight w:val="243"/>
        </w:trPr>
        <w:tc>
          <w:tcPr>
            <w:tcW w:w="20" w:type="dxa"/>
            <w:vAlign w:val="bottom"/>
            <w:shd w:val="clear" w:color="auto" w:fill="FF99CC"/>
          </w:tcPr>
          <w:p>
            <w:pPr>
              <w:spacing w:after="0"/>
              <w:rPr>
                <w:sz w:val="21"/>
                <w:szCs w:val="21"/>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6.</w:t>
            </w:r>
          </w:p>
        </w:tc>
        <w:tc>
          <w:tcPr>
            <w:tcW w:w="80" w:type="dxa"/>
            <w:vAlign w:val="bottom"/>
            <w:shd w:val="clear" w:color="auto" w:fill="FF99CC"/>
          </w:tcPr>
          <w:p>
            <w:pPr>
              <w:spacing w:after="0"/>
              <w:rPr>
                <w:sz w:val="21"/>
                <w:szCs w:val="21"/>
                <w:color w:val="auto"/>
              </w:rPr>
            </w:pPr>
          </w:p>
        </w:tc>
        <w:tc>
          <w:tcPr>
            <w:tcW w:w="100" w:type="dxa"/>
            <w:vAlign w:val="bottom"/>
            <w:shd w:val="clear" w:color="auto" w:fill="FF99CC"/>
          </w:tcPr>
          <w:p>
            <w:pPr>
              <w:spacing w:after="0"/>
              <w:rPr>
                <w:sz w:val="21"/>
                <w:szCs w:val="21"/>
                <w:color w:val="auto"/>
              </w:rPr>
            </w:pPr>
          </w:p>
        </w:tc>
        <w:tc>
          <w:tcPr>
            <w:tcW w:w="2040" w:type="dxa"/>
            <w:vAlign w:val="bottom"/>
            <w:gridSpan w:val="7"/>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Award Vesting Limitations</w:t>
            </w:r>
          </w:p>
        </w:tc>
        <w:tc>
          <w:tcPr>
            <w:tcW w:w="1080" w:type="dxa"/>
            <w:vAlign w:val="bottom"/>
            <w:shd w:val="clear" w:color="auto" w:fill="FF99CC"/>
          </w:tcPr>
          <w:p>
            <w:pPr>
              <w:spacing w:after="0"/>
              <w:rPr>
                <w:sz w:val="21"/>
                <w:szCs w:val="21"/>
                <w:color w:val="auto"/>
              </w:rPr>
            </w:pPr>
          </w:p>
        </w:tc>
        <w:tc>
          <w:tcPr>
            <w:tcW w:w="20" w:type="dxa"/>
            <w:vAlign w:val="bottom"/>
            <w:shd w:val="clear" w:color="auto" w:fill="FF99CC"/>
          </w:tcPr>
          <w:p>
            <w:pPr>
              <w:spacing w:after="0"/>
              <w:rPr>
                <w:sz w:val="21"/>
                <w:szCs w:val="21"/>
                <w:color w:val="auto"/>
              </w:rPr>
            </w:pPr>
          </w:p>
        </w:tc>
        <w:tc>
          <w:tcPr>
            <w:tcW w:w="7380" w:type="dxa"/>
            <w:vAlign w:val="bottom"/>
            <w:shd w:val="clear" w:color="auto" w:fill="FF99CC"/>
          </w:tcPr>
          <w:p>
            <w:pPr>
              <w:spacing w:after="0"/>
              <w:rPr>
                <w:sz w:val="21"/>
                <w:szCs w:val="21"/>
                <w:color w:val="auto"/>
              </w:rPr>
            </w:pPr>
          </w:p>
        </w:tc>
        <w:tc>
          <w:tcPr>
            <w:tcW w:w="80" w:type="dxa"/>
            <w:vAlign w:val="bottom"/>
            <w:shd w:val="clear" w:color="auto" w:fill="FF99CC"/>
          </w:tcPr>
          <w:p>
            <w:pPr>
              <w:spacing w:after="0"/>
              <w:rPr>
                <w:sz w:val="21"/>
                <w:szCs w:val="21"/>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6</w:t>
            </w:r>
          </w:p>
        </w:tc>
        <w:tc>
          <w:tcPr>
            <w:tcW w:w="20" w:type="dxa"/>
            <w:vAlign w:val="bottom"/>
            <w:shd w:val="clear" w:color="auto" w:fill="FF99CC"/>
          </w:tcPr>
          <w:p>
            <w:pPr>
              <w:spacing w:after="0"/>
              <w:rPr>
                <w:sz w:val="21"/>
                <w:szCs w:val="21"/>
                <w:color w:val="auto"/>
              </w:rPr>
            </w:pPr>
          </w:p>
        </w:tc>
      </w:tr>
      <w:tr>
        <w:trPr>
          <w:trHeight w:val="243"/>
        </w:trPr>
        <w:tc>
          <w:tcPr>
            <w:tcW w:w="20" w:type="dxa"/>
            <w:vAlign w:val="bottom"/>
            <w:shd w:val="clear" w:color="auto" w:fill="FF99CC"/>
          </w:tcPr>
          <w:p>
            <w:pPr>
              <w:spacing w:after="0"/>
              <w:rPr>
                <w:sz w:val="21"/>
                <w:szCs w:val="21"/>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7.</w:t>
            </w:r>
          </w:p>
        </w:tc>
        <w:tc>
          <w:tcPr>
            <w:tcW w:w="80" w:type="dxa"/>
            <w:vAlign w:val="bottom"/>
            <w:shd w:val="clear" w:color="auto" w:fill="FF99CC"/>
          </w:tcPr>
          <w:p>
            <w:pPr>
              <w:spacing w:after="0"/>
              <w:rPr>
                <w:sz w:val="21"/>
                <w:szCs w:val="21"/>
                <w:color w:val="auto"/>
              </w:rPr>
            </w:pPr>
          </w:p>
        </w:tc>
        <w:tc>
          <w:tcPr>
            <w:tcW w:w="100" w:type="dxa"/>
            <w:vAlign w:val="bottom"/>
            <w:shd w:val="clear" w:color="auto" w:fill="FF99CC"/>
          </w:tcPr>
          <w:p>
            <w:pPr>
              <w:spacing w:after="0"/>
              <w:rPr>
                <w:sz w:val="21"/>
                <w:szCs w:val="21"/>
                <w:color w:val="auto"/>
              </w:rPr>
            </w:pPr>
          </w:p>
        </w:tc>
        <w:tc>
          <w:tcPr>
            <w:tcW w:w="1940" w:type="dxa"/>
            <w:vAlign w:val="bottom"/>
            <w:gridSpan w:val="6"/>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Specific Terms of Awards</w:t>
            </w:r>
          </w:p>
        </w:tc>
        <w:tc>
          <w:tcPr>
            <w:tcW w:w="1180" w:type="dxa"/>
            <w:vAlign w:val="bottom"/>
            <w:gridSpan w:val="2"/>
            <w:shd w:val="clear" w:color="auto" w:fill="FF99CC"/>
          </w:tcPr>
          <w:p>
            <w:pPr>
              <w:spacing w:after="0"/>
              <w:rPr>
                <w:sz w:val="21"/>
                <w:szCs w:val="21"/>
                <w:color w:val="auto"/>
              </w:rPr>
            </w:pPr>
          </w:p>
        </w:tc>
        <w:tc>
          <w:tcPr>
            <w:tcW w:w="20" w:type="dxa"/>
            <w:vAlign w:val="bottom"/>
            <w:shd w:val="clear" w:color="auto" w:fill="FF99CC"/>
          </w:tcPr>
          <w:p>
            <w:pPr>
              <w:spacing w:after="0"/>
              <w:rPr>
                <w:sz w:val="21"/>
                <w:szCs w:val="21"/>
                <w:color w:val="auto"/>
              </w:rPr>
            </w:pPr>
          </w:p>
        </w:tc>
        <w:tc>
          <w:tcPr>
            <w:tcW w:w="7380" w:type="dxa"/>
            <w:vAlign w:val="bottom"/>
            <w:shd w:val="clear" w:color="auto" w:fill="FF99CC"/>
          </w:tcPr>
          <w:p>
            <w:pPr>
              <w:spacing w:after="0"/>
              <w:rPr>
                <w:sz w:val="21"/>
                <w:szCs w:val="21"/>
                <w:color w:val="auto"/>
              </w:rPr>
            </w:pPr>
          </w:p>
        </w:tc>
        <w:tc>
          <w:tcPr>
            <w:tcW w:w="80" w:type="dxa"/>
            <w:vAlign w:val="bottom"/>
            <w:shd w:val="clear" w:color="auto" w:fill="FF99CC"/>
          </w:tcPr>
          <w:p>
            <w:pPr>
              <w:spacing w:after="0"/>
              <w:rPr>
                <w:sz w:val="21"/>
                <w:szCs w:val="21"/>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6</w:t>
            </w:r>
          </w:p>
        </w:tc>
        <w:tc>
          <w:tcPr>
            <w:tcW w:w="20" w:type="dxa"/>
            <w:vAlign w:val="bottom"/>
            <w:shd w:val="clear" w:color="auto" w:fill="FF99CC"/>
          </w:tcPr>
          <w:p>
            <w:pPr>
              <w:spacing w:after="0"/>
              <w:rPr>
                <w:sz w:val="21"/>
                <w:szCs w:val="21"/>
                <w:color w:val="auto"/>
              </w:rPr>
            </w:pPr>
          </w:p>
        </w:tc>
      </w:tr>
      <w:tr>
        <w:trPr>
          <w:trHeight w:val="243"/>
        </w:trPr>
        <w:tc>
          <w:tcPr>
            <w:tcW w:w="20" w:type="dxa"/>
            <w:vAlign w:val="bottom"/>
            <w:shd w:val="clear" w:color="auto" w:fill="FF99CC"/>
          </w:tcPr>
          <w:p>
            <w:pPr>
              <w:spacing w:after="0"/>
              <w:rPr>
                <w:sz w:val="21"/>
                <w:szCs w:val="21"/>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8.</w:t>
            </w:r>
          </w:p>
        </w:tc>
        <w:tc>
          <w:tcPr>
            <w:tcW w:w="80" w:type="dxa"/>
            <w:vAlign w:val="bottom"/>
            <w:shd w:val="clear" w:color="auto" w:fill="FF99CC"/>
          </w:tcPr>
          <w:p>
            <w:pPr>
              <w:spacing w:after="0"/>
              <w:rPr>
                <w:sz w:val="21"/>
                <w:szCs w:val="21"/>
                <w:color w:val="auto"/>
              </w:rPr>
            </w:pPr>
          </w:p>
        </w:tc>
        <w:tc>
          <w:tcPr>
            <w:tcW w:w="100" w:type="dxa"/>
            <w:vAlign w:val="bottom"/>
            <w:shd w:val="clear" w:color="auto" w:fill="FF99CC"/>
          </w:tcPr>
          <w:p>
            <w:pPr>
              <w:spacing w:after="0"/>
              <w:rPr>
                <w:sz w:val="21"/>
                <w:szCs w:val="21"/>
                <w:color w:val="auto"/>
              </w:rPr>
            </w:pPr>
          </w:p>
        </w:tc>
        <w:tc>
          <w:tcPr>
            <w:tcW w:w="3140" w:type="dxa"/>
            <w:vAlign w:val="bottom"/>
            <w:gridSpan w:val="9"/>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9"/>
              </w:rPr>
              <w:t>Certain Provisions Applicable to Awards</w:t>
            </w:r>
          </w:p>
        </w:tc>
        <w:tc>
          <w:tcPr>
            <w:tcW w:w="7380" w:type="dxa"/>
            <w:vAlign w:val="bottom"/>
            <w:shd w:val="clear" w:color="auto" w:fill="FF99CC"/>
          </w:tcPr>
          <w:p>
            <w:pPr>
              <w:spacing w:after="0"/>
              <w:rPr>
                <w:sz w:val="21"/>
                <w:szCs w:val="21"/>
                <w:color w:val="auto"/>
              </w:rPr>
            </w:pPr>
          </w:p>
        </w:tc>
        <w:tc>
          <w:tcPr>
            <w:tcW w:w="80" w:type="dxa"/>
            <w:vAlign w:val="bottom"/>
            <w:shd w:val="clear" w:color="auto" w:fill="FF99CC"/>
          </w:tcPr>
          <w:p>
            <w:pPr>
              <w:spacing w:after="0"/>
              <w:rPr>
                <w:sz w:val="21"/>
                <w:szCs w:val="21"/>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11</w:t>
            </w:r>
          </w:p>
        </w:tc>
        <w:tc>
          <w:tcPr>
            <w:tcW w:w="20" w:type="dxa"/>
            <w:vAlign w:val="bottom"/>
            <w:shd w:val="clear" w:color="auto" w:fill="FF99CC"/>
          </w:tcPr>
          <w:p>
            <w:pPr>
              <w:spacing w:after="0"/>
              <w:rPr>
                <w:sz w:val="21"/>
                <w:szCs w:val="21"/>
                <w:color w:val="auto"/>
              </w:rPr>
            </w:pPr>
          </w:p>
        </w:tc>
      </w:tr>
      <w:tr>
        <w:trPr>
          <w:trHeight w:val="243"/>
        </w:trPr>
        <w:tc>
          <w:tcPr>
            <w:tcW w:w="20" w:type="dxa"/>
            <w:vAlign w:val="bottom"/>
            <w:shd w:val="clear" w:color="auto" w:fill="FF99CC"/>
          </w:tcPr>
          <w:p>
            <w:pPr>
              <w:spacing w:after="0"/>
              <w:rPr>
                <w:sz w:val="21"/>
                <w:szCs w:val="21"/>
                <w:color w:val="auto"/>
              </w:rPr>
            </w:pPr>
          </w:p>
        </w:tc>
        <w:tc>
          <w:tcPr>
            <w:tcW w:w="140" w:type="dxa"/>
            <w:vAlign w:val="bottom"/>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9.</w:t>
            </w:r>
          </w:p>
        </w:tc>
        <w:tc>
          <w:tcPr>
            <w:tcW w:w="80" w:type="dxa"/>
            <w:vAlign w:val="bottom"/>
            <w:shd w:val="clear" w:color="auto" w:fill="FF99CC"/>
          </w:tcPr>
          <w:p>
            <w:pPr>
              <w:spacing w:after="0"/>
              <w:rPr>
                <w:sz w:val="21"/>
                <w:szCs w:val="21"/>
                <w:color w:val="auto"/>
              </w:rPr>
            </w:pPr>
          </w:p>
        </w:tc>
        <w:tc>
          <w:tcPr>
            <w:tcW w:w="100" w:type="dxa"/>
            <w:vAlign w:val="bottom"/>
            <w:shd w:val="clear" w:color="auto" w:fill="FF99CC"/>
          </w:tcPr>
          <w:p>
            <w:pPr>
              <w:spacing w:after="0"/>
              <w:rPr>
                <w:sz w:val="21"/>
                <w:szCs w:val="21"/>
                <w:color w:val="auto"/>
              </w:rPr>
            </w:pPr>
          </w:p>
        </w:tc>
        <w:tc>
          <w:tcPr>
            <w:tcW w:w="3120" w:type="dxa"/>
            <w:vAlign w:val="bottom"/>
            <w:gridSpan w:val="8"/>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rPr>
              <w:t>Code Section 162(m) Provisions</w:t>
            </w:r>
          </w:p>
        </w:tc>
        <w:tc>
          <w:tcPr>
            <w:tcW w:w="7400" w:type="dxa"/>
            <w:vAlign w:val="bottom"/>
            <w:gridSpan w:val="2"/>
            <w:shd w:val="clear" w:color="auto" w:fill="FF99CC"/>
          </w:tcPr>
          <w:p>
            <w:pPr>
              <w:spacing w:after="0"/>
              <w:rPr>
                <w:sz w:val="21"/>
                <w:szCs w:val="21"/>
                <w:color w:val="auto"/>
              </w:rPr>
            </w:pPr>
          </w:p>
        </w:tc>
        <w:tc>
          <w:tcPr>
            <w:tcW w:w="80" w:type="dxa"/>
            <w:vAlign w:val="bottom"/>
            <w:shd w:val="clear" w:color="auto" w:fill="FF99CC"/>
          </w:tcPr>
          <w:p>
            <w:pPr>
              <w:spacing w:after="0"/>
              <w:rPr>
                <w:sz w:val="21"/>
                <w:szCs w:val="21"/>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13</w:t>
            </w:r>
          </w:p>
        </w:tc>
        <w:tc>
          <w:tcPr>
            <w:tcW w:w="20" w:type="dxa"/>
            <w:vAlign w:val="bottom"/>
            <w:shd w:val="clear" w:color="auto" w:fill="FF99CC"/>
          </w:tcPr>
          <w:p>
            <w:pPr>
              <w:spacing w:after="0"/>
              <w:rPr>
                <w:sz w:val="21"/>
                <w:szCs w:val="21"/>
                <w:color w:val="auto"/>
              </w:rPr>
            </w:pPr>
          </w:p>
        </w:tc>
      </w:tr>
      <w:tr>
        <w:trPr>
          <w:trHeight w:val="243"/>
        </w:trPr>
        <w:tc>
          <w:tcPr>
            <w:tcW w:w="20" w:type="dxa"/>
            <w:vAlign w:val="bottom"/>
            <w:shd w:val="clear" w:color="auto" w:fill="FF99CC"/>
          </w:tcPr>
          <w:p>
            <w:pPr>
              <w:spacing w:after="0"/>
              <w:rPr>
                <w:sz w:val="21"/>
                <w:szCs w:val="21"/>
                <w:color w:val="auto"/>
              </w:rPr>
            </w:pPr>
          </w:p>
        </w:tc>
        <w:tc>
          <w:tcPr>
            <w:tcW w:w="220" w:type="dxa"/>
            <w:vAlign w:val="bottom"/>
            <w:gridSpan w:val="2"/>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10.</w:t>
            </w:r>
          </w:p>
        </w:tc>
        <w:tc>
          <w:tcPr>
            <w:tcW w:w="100" w:type="dxa"/>
            <w:vAlign w:val="bottom"/>
            <w:shd w:val="clear" w:color="auto" w:fill="FF99CC"/>
          </w:tcPr>
          <w:p>
            <w:pPr>
              <w:spacing w:after="0"/>
              <w:rPr>
                <w:sz w:val="21"/>
                <w:szCs w:val="21"/>
                <w:color w:val="auto"/>
              </w:rPr>
            </w:pPr>
          </w:p>
        </w:tc>
        <w:tc>
          <w:tcPr>
            <w:tcW w:w="1420" w:type="dxa"/>
            <w:vAlign w:val="bottom"/>
            <w:gridSpan w:val="4"/>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Change in Control</w:t>
            </w:r>
          </w:p>
        </w:tc>
        <w:tc>
          <w:tcPr>
            <w:tcW w:w="9100" w:type="dxa"/>
            <w:vAlign w:val="bottom"/>
            <w:tcBorders>
              <w:left w:val="single" w:sz="8" w:color="FF99CC"/>
            </w:tcBorders>
            <w:gridSpan w:val="6"/>
            <w:shd w:val="clear" w:color="auto" w:fill="FF99CC"/>
          </w:tcPr>
          <w:p>
            <w:pPr>
              <w:spacing w:after="0"/>
              <w:rPr>
                <w:sz w:val="21"/>
                <w:szCs w:val="21"/>
                <w:color w:val="auto"/>
              </w:rPr>
            </w:pPr>
          </w:p>
        </w:tc>
        <w:tc>
          <w:tcPr>
            <w:tcW w:w="80" w:type="dxa"/>
            <w:vAlign w:val="bottom"/>
            <w:shd w:val="clear" w:color="auto" w:fill="FF99CC"/>
          </w:tcPr>
          <w:p>
            <w:pPr>
              <w:spacing w:after="0"/>
              <w:rPr>
                <w:sz w:val="21"/>
                <w:szCs w:val="21"/>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13</w:t>
            </w:r>
          </w:p>
        </w:tc>
        <w:tc>
          <w:tcPr>
            <w:tcW w:w="20" w:type="dxa"/>
            <w:vAlign w:val="bottom"/>
            <w:shd w:val="clear" w:color="auto" w:fill="FF99CC"/>
          </w:tcPr>
          <w:p>
            <w:pPr>
              <w:spacing w:after="0"/>
              <w:rPr>
                <w:sz w:val="21"/>
                <w:szCs w:val="21"/>
                <w:color w:val="auto"/>
              </w:rPr>
            </w:pPr>
          </w:p>
        </w:tc>
      </w:tr>
      <w:tr>
        <w:trPr>
          <w:trHeight w:val="256"/>
        </w:trPr>
        <w:tc>
          <w:tcPr>
            <w:tcW w:w="20" w:type="dxa"/>
            <w:vAlign w:val="bottom"/>
            <w:shd w:val="clear" w:color="auto" w:fill="FF99CC"/>
          </w:tcPr>
          <w:p>
            <w:pPr>
              <w:spacing w:after="0"/>
              <w:rPr>
                <w:sz w:val="22"/>
                <w:szCs w:val="22"/>
                <w:color w:val="auto"/>
              </w:rPr>
            </w:pPr>
          </w:p>
        </w:tc>
        <w:tc>
          <w:tcPr>
            <w:tcW w:w="220" w:type="dxa"/>
            <w:vAlign w:val="bottom"/>
            <w:gridSpan w:val="2"/>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11.</w:t>
            </w:r>
          </w:p>
        </w:tc>
        <w:tc>
          <w:tcPr>
            <w:tcW w:w="100" w:type="dxa"/>
            <w:vAlign w:val="bottom"/>
            <w:shd w:val="clear" w:color="auto" w:fill="FF99CC"/>
          </w:tcPr>
          <w:p>
            <w:pPr>
              <w:spacing w:after="0"/>
              <w:rPr>
                <w:sz w:val="22"/>
                <w:szCs w:val="22"/>
                <w:color w:val="auto"/>
              </w:rPr>
            </w:pPr>
          </w:p>
        </w:tc>
        <w:tc>
          <w:tcPr>
            <w:tcW w:w="1420" w:type="dxa"/>
            <w:vAlign w:val="bottom"/>
            <w:gridSpan w:val="4"/>
            <w:shd w:val="clear" w:color="auto" w:fill="FF99CC"/>
          </w:tcPr>
          <w:p>
            <w:pPr>
              <w:spacing w:after="0"/>
              <w:rPr>
                <w:sz w:val="20"/>
                <w:szCs w:val="20"/>
                <w:color w:val="auto"/>
              </w:rPr>
            </w:pPr>
            <w:r>
              <w:rPr>
                <w:rFonts w:ascii="Times New Roman" w:cs="Times New Roman" w:eastAsia="Times New Roman" w:hAnsi="Times New Roman"/>
                <w:sz w:val="18"/>
                <w:szCs w:val="18"/>
                <w:b w:val="1"/>
                <w:bCs w:val="1"/>
                <w:color w:val="FF0000"/>
                <w:strike w:val="1"/>
                <w:w w:val="94"/>
              </w:rPr>
              <w:t>General Provisions</w:t>
            </w:r>
          </w:p>
        </w:tc>
        <w:tc>
          <w:tcPr>
            <w:tcW w:w="9100" w:type="dxa"/>
            <w:vAlign w:val="bottom"/>
            <w:tcBorders>
              <w:left w:val="single" w:sz="8" w:color="FF99CC"/>
            </w:tcBorders>
            <w:gridSpan w:val="6"/>
            <w:shd w:val="clear" w:color="auto" w:fill="FF99CC"/>
          </w:tcPr>
          <w:p>
            <w:pPr>
              <w:spacing w:after="0"/>
              <w:rPr>
                <w:sz w:val="22"/>
                <w:szCs w:val="22"/>
                <w:color w:val="auto"/>
              </w:rPr>
            </w:pPr>
          </w:p>
        </w:tc>
        <w:tc>
          <w:tcPr>
            <w:tcW w:w="80" w:type="dxa"/>
            <w:vAlign w:val="bottom"/>
            <w:shd w:val="clear" w:color="auto" w:fill="FF99CC"/>
          </w:tcPr>
          <w:p>
            <w:pPr>
              <w:spacing w:after="0"/>
              <w:rPr>
                <w:sz w:val="22"/>
                <w:szCs w:val="22"/>
                <w:color w:val="auto"/>
              </w:rPr>
            </w:pPr>
          </w:p>
        </w:tc>
        <w:tc>
          <w:tcPr>
            <w:tcW w:w="280" w:type="dxa"/>
            <w:vAlign w:val="bottom"/>
            <w:shd w:val="clear" w:color="auto" w:fill="FF99CC"/>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15</w:t>
            </w:r>
          </w:p>
        </w:tc>
        <w:tc>
          <w:tcPr>
            <w:tcW w:w="20" w:type="dxa"/>
            <w:vAlign w:val="bottom"/>
            <w:shd w:val="clear" w:color="auto" w:fill="FF99CC"/>
          </w:tcPr>
          <w:p>
            <w:pPr>
              <w:spacing w:after="0"/>
              <w:rPr>
                <w:sz w:val="22"/>
                <w:szCs w:val="22"/>
                <w:color w:val="auto"/>
              </w:rPr>
            </w:pPr>
          </w:p>
        </w:tc>
      </w:tr>
      <w:tr>
        <w:trPr>
          <w:trHeight w:val="620"/>
        </w:trPr>
        <w:tc>
          <w:tcPr>
            <w:tcW w:w="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1.</w:t>
            </w:r>
          </w:p>
        </w:tc>
        <w:tc>
          <w:tcPr>
            <w:tcW w:w="80" w:type="dxa"/>
            <w:vAlign w:val="bottom"/>
          </w:tcPr>
          <w:p>
            <w:pPr>
              <w:spacing w:after="0"/>
              <w:rPr>
                <w:sz w:val="24"/>
                <w:szCs w:val="24"/>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Purpose</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A-3</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9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2.</w:t>
            </w:r>
          </w:p>
        </w:tc>
        <w:tc>
          <w:tcPr>
            <w:tcW w:w="80" w:type="dxa"/>
            <w:vAlign w:val="bottom"/>
          </w:tcPr>
          <w:p>
            <w:pPr>
              <w:spacing w:after="0"/>
              <w:rPr>
                <w:sz w:val="19"/>
                <w:szCs w:val="19"/>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Definitions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A-3</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3.</w:t>
            </w:r>
          </w:p>
        </w:tc>
        <w:tc>
          <w:tcPr>
            <w:tcW w:w="80" w:type="dxa"/>
            <w:vAlign w:val="bottom"/>
          </w:tcPr>
          <w:p>
            <w:pPr>
              <w:spacing w:after="0"/>
              <w:rPr>
                <w:sz w:val="19"/>
                <w:szCs w:val="19"/>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Administration</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A-6</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9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4.</w:t>
            </w:r>
          </w:p>
        </w:tc>
        <w:tc>
          <w:tcPr>
            <w:tcW w:w="80" w:type="dxa"/>
            <w:vAlign w:val="bottom"/>
          </w:tcPr>
          <w:p>
            <w:pPr>
              <w:spacing w:after="0"/>
              <w:rPr>
                <w:sz w:val="19"/>
                <w:szCs w:val="19"/>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Shares Subject to Plan</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A-7</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8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5.</w:t>
            </w:r>
          </w:p>
        </w:tc>
        <w:tc>
          <w:tcPr>
            <w:tcW w:w="80" w:type="dxa"/>
            <w:vAlign w:val="bottom"/>
          </w:tcPr>
          <w:p>
            <w:pPr>
              <w:spacing w:after="0"/>
              <w:rPr>
                <w:sz w:val="19"/>
                <w:szCs w:val="19"/>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Eligibility; Per-Participation Limitations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A-8</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gridSpan w:val="8"/>
            <w:shd w:val="clear" w:color="auto" w:fill="0000FF"/>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6.</w:t>
            </w:r>
          </w:p>
        </w:tc>
        <w:tc>
          <w:tcPr>
            <w:tcW w:w="80" w:type="dxa"/>
            <w:vAlign w:val="bottom"/>
          </w:tcPr>
          <w:p>
            <w:pPr>
              <w:spacing w:after="0"/>
              <w:rPr>
                <w:sz w:val="19"/>
                <w:szCs w:val="19"/>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Award Vesting Limitations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A-8</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7.</w:t>
            </w:r>
          </w:p>
        </w:tc>
        <w:tc>
          <w:tcPr>
            <w:tcW w:w="80" w:type="dxa"/>
            <w:vAlign w:val="bottom"/>
          </w:tcPr>
          <w:p>
            <w:pPr>
              <w:spacing w:after="0"/>
              <w:rPr>
                <w:sz w:val="19"/>
                <w:szCs w:val="19"/>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Specific Terms of Awards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A-8</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8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8.</w:t>
            </w:r>
          </w:p>
        </w:tc>
        <w:tc>
          <w:tcPr>
            <w:tcW w:w="80" w:type="dxa"/>
            <w:vAlign w:val="bottom"/>
          </w:tcPr>
          <w:p>
            <w:pPr>
              <w:spacing w:after="0"/>
              <w:rPr>
                <w:sz w:val="19"/>
                <w:szCs w:val="19"/>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Certain Provisions Applicable to Awards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1"/>
              </w:rPr>
              <w:t>A-13</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gridSpan w:val="9"/>
            <w:shd w:val="clear" w:color="auto" w:fill="0000FF"/>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8"/>
              </w:rPr>
              <w:t>9.</w:t>
            </w:r>
          </w:p>
        </w:tc>
        <w:tc>
          <w:tcPr>
            <w:tcW w:w="80" w:type="dxa"/>
            <w:vAlign w:val="bottom"/>
          </w:tcPr>
          <w:p>
            <w:pPr>
              <w:spacing w:after="0"/>
              <w:rPr>
                <w:sz w:val="19"/>
                <w:szCs w:val="19"/>
                <w:color w:val="auto"/>
              </w:rPr>
            </w:pP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Change in Control</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1"/>
              </w:rPr>
              <w:t>A-15</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9100" w:type="dxa"/>
            <w:vAlign w:val="bottom"/>
            <w:gridSpan w:val="6"/>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8"/>
              </w:rPr>
              <w:t>10.</w:t>
            </w:r>
          </w:p>
        </w:tc>
        <w:tc>
          <w:tcPr>
            <w:tcW w:w="106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General Provisions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1"/>
              </w:rPr>
              <w:t>A-17</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2" w:name="page63"/>
    <w:bookmarkEnd w:id="62"/>
    <w:p>
      <w:pPr>
        <w:jc w:val="center"/>
        <w:ind w:right="496"/>
        <w:spacing w:after="0"/>
        <w:rPr>
          <w:sz w:val="20"/>
          <w:szCs w:val="20"/>
          <w:color w:val="auto"/>
        </w:rPr>
      </w:pPr>
      <w:r>
        <w:rPr>
          <w:rFonts w:ascii="Times New Roman" w:cs="Times New Roman" w:eastAsia="Times New Roman" w:hAnsi="Times New Roman"/>
          <w:sz w:val="22"/>
          <w:szCs w:val="22"/>
          <w:b w:val="1"/>
          <w:bCs w:val="1"/>
          <w:color w:val="auto"/>
        </w:rPr>
        <w:t>DESTINATION XL GROUP, INC.</w:t>
      </w:r>
    </w:p>
    <w:p>
      <w:pPr>
        <w:spacing w:after="0" w:line="7" w:lineRule="exact"/>
        <w:rPr>
          <w:sz w:val="20"/>
          <w:szCs w:val="20"/>
          <w:color w:val="auto"/>
        </w:rPr>
      </w:pPr>
    </w:p>
    <w:p>
      <w:pPr>
        <w:jc w:val="center"/>
        <w:ind w:right="556"/>
        <w:spacing w:after="0"/>
        <w:rPr>
          <w:sz w:val="20"/>
          <w:szCs w:val="20"/>
          <w:color w:val="auto"/>
        </w:rPr>
      </w:pPr>
      <w:r>
        <w:rPr>
          <w:rFonts w:ascii="Times New Roman" w:cs="Times New Roman" w:eastAsia="Times New Roman" w:hAnsi="Times New Roman"/>
          <w:sz w:val="22"/>
          <w:szCs w:val="22"/>
          <w:b w:val="1"/>
          <w:bCs w:val="1"/>
          <w:u w:val="single" w:color="auto"/>
          <w:color w:val="0000FF"/>
        </w:rPr>
        <w:t>SECOND AMENDED AND RESTATED</w:t>
      </w:r>
    </w:p>
    <w:p>
      <w:pPr>
        <w:jc w:val="center"/>
        <w:ind w:right="496"/>
        <w:spacing w:after="0"/>
        <w:rPr>
          <w:sz w:val="20"/>
          <w:szCs w:val="20"/>
          <w:color w:val="auto"/>
        </w:rPr>
      </w:pPr>
      <w:r>
        <w:rPr>
          <w:rFonts w:ascii="Times New Roman" w:cs="Times New Roman" w:eastAsia="Times New Roman" w:hAnsi="Times New Roman"/>
          <w:sz w:val="22"/>
          <w:szCs w:val="22"/>
          <w:b w:val="1"/>
          <w:bCs w:val="1"/>
          <w:color w:val="auto"/>
        </w:rPr>
        <w:t>2016 INCENTIVE COMPENSATION PLAN</w:t>
      </w:r>
    </w:p>
    <w:p>
      <w:pPr>
        <w:spacing w:after="0" w:line="79" w:lineRule="exact"/>
        <w:rPr>
          <w:sz w:val="20"/>
          <w:szCs w:val="20"/>
          <w:color w:val="auto"/>
        </w:rPr>
      </w:pPr>
    </w:p>
    <w:p>
      <w:pPr>
        <w:ind w:left="504" w:right="140" w:hanging="504"/>
        <w:spacing w:after="0" w:line="254" w:lineRule="auto"/>
        <w:tabs>
          <w:tab w:leader="none" w:pos="504"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0000FF"/>
        </w:rPr>
        <w:t>SECOND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DESTINATION XL GROUP, INC. 2016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w:t>
      </w:r>
      <w:r>
        <w:rPr>
          <w:rFonts w:ascii="Times New Roman" w:cs="Times New Roman" w:eastAsia="Times New Roman" w:hAnsi="Times New Roman"/>
          <w:sz w:val="18"/>
          <w:szCs w:val="18"/>
          <w:b w:val="1"/>
          <w:bCs w:val="1"/>
          <w:color w:val="FF0000"/>
          <w:strike w:val="1"/>
        </w:rPr>
        <w:t>s</w:t>
      </w:r>
      <w:r>
        <w:rPr>
          <w:rFonts w:ascii="Times New Roman" w:cs="Times New Roman" w:eastAsia="Times New Roman" w:hAnsi="Times New Roman"/>
          <w:sz w:val="18"/>
          <w:szCs w:val="18"/>
          <w:b w:val="1"/>
          <w:bCs w:val="1"/>
          <w:u w:val="single" w:color="auto"/>
          <w:color w:val="0000FF"/>
        </w:rPr>
        <w:t>d</w:t>
      </w:r>
      <w:r>
        <w:rPr>
          <w:rFonts w:ascii="Times New Roman" w:cs="Times New Roman" w:eastAsia="Times New Roman" w:hAnsi="Times New Roman"/>
          <w:sz w:val="18"/>
          <w:szCs w:val="18"/>
          <w:color w:val="auto"/>
        </w:rPr>
        <w:t xml:space="preserve"> the 2006 Incentive Compensation Plan which was last amended effective as of August 1, 2013. The Plan was originally adopted effective as of August 4, 2016 and was amended effective as of August 8, 2019, August 12, 2020 and August 5, 2021.</w:t>
      </w:r>
    </w:p>
    <w:p>
      <w:pPr>
        <w:spacing w:after="0" w:line="78" w:lineRule="exact"/>
        <w:rPr>
          <w:rFonts w:ascii="Times New Roman" w:cs="Times New Roman" w:eastAsia="Times New Roman" w:hAnsi="Times New Roman"/>
          <w:sz w:val="18"/>
          <w:szCs w:val="18"/>
          <w:b w:val="1"/>
          <w:bCs w:val="1"/>
          <w:i w:val="1"/>
          <w:iCs w:val="1"/>
          <w:color w:val="auto"/>
        </w:rPr>
      </w:pPr>
    </w:p>
    <w:p>
      <w:pPr>
        <w:ind w:left="504" w:right="160" w:hanging="504"/>
        <w:spacing w:after="0" w:line="286" w:lineRule="auto"/>
        <w:tabs>
          <w:tab w:leader="none" w:pos="504"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color w:val="auto"/>
        </w:rPr>
        <w:t>. For purposes of the Plan, the following terms shall be defined as set forth below, in addition to such terms defined in Section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 and elsewhere herein.</w:t>
      </w:r>
    </w:p>
    <w:p>
      <w:pPr>
        <w:spacing w:after="0" w:line="46" w:lineRule="exact"/>
        <w:rPr>
          <w:rFonts w:ascii="Times New Roman" w:cs="Times New Roman" w:eastAsia="Times New Roman" w:hAnsi="Times New Roman"/>
          <w:sz w:val="18"/>
          <w:szCs w:val="18"/>
          <w:b w:val="1"/>
          <w:bCs w:val="1"/>
          <w:i w:val="1"/>
          <w:iCs w:val="1"/>
          <w:color w:val="auto"/>
        </w:rPr>
      </w:pPr>
    </w:p>
    <w:p>
      <w:pPr>
        <w:ind w:left="1024" w:right="180" w:hanging="514"/>
        <w:spacing w:after="0" w:line="268" w:lineRule="auto"/>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61" w:lineRule="exact"/>
        <w:rPr>
          <w:rFonts w:ascii="Times New Roman" w:cs="Times New Roman" w:eastAsia="Times New Roman" w:hAnsi="Times New Roman"/>
          <w:sz w:val="18"/>
          <w:szCs w:val="18"/>
          <w:color w:val="auto"/>
        </w:rPr>
      </w:pPr>
    </w:p>
    <w:p>
      <w:pPr>
        <w:ind w:left="1024" w:right="300" w:hanging="514"/>
        <w:spacing w:after="0" w:line="286" w:lineRule="auto"/>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any written agreement, contract or other instrument or document evidencing any Award granted by the Committee hereunder.</w:t>
      </w:r>
    </w:p>
    <w:p>
      <w:pPr>
        <w:spacing w:after="0" w:line="46" w:lineRule="exact"/>
        <w:rPr>
          <w:rFonts w:ascii="Times New Roman" w:cs="Times New Roman" w:eastAsia="Times New Roman" w:hAnsi="Times New Roman"/>
          <w:sz w:val="18"/>
          <w:szCs w:val="18"/>
          <w:color w:val="auto"/>
        </w:rPr>
      </w:pPr>
    </w:p>
    <w:p>
      <w:pPr>
        <w:ind w:left="1024" w:right="80" w:hanging="514"/>
        <w:spacing w:after="0" w:line="262" w:lineRule="auto"/>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Beneficiary</w:t>
      </w:r>
      <w:r>
        <w:rPr>
          <w:rFonts w:ascii="Times New Roman" w:cs="Times New Roman" w:eastAsia="Times New Roman" w:hAnsi="Times New Roman"/>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(b) hereof. If, upon a Participant’s death, there is no designated Beneficiary or surviving designated Beneficiary, then the term Beneficiary means the Participant’s estate.</w:t>
      </w:r>
    </w:p>
    <w:p>
      <w:pPr>
        <w:spacing w:after="0" w:line="30" w:lineRule="exact"/>
        <w:rPr>
          <w:rFonts w:ascii="Times New Roman" w:cs="Times New Roman" w:eastAsia="Times New Roman" w:hAnsi="Times New Roman"/>
          <w:sz w:val="18"/>
          <w:szCs w:val="18"/>
          <w:color w:val="auto"/>
        </w:rPr>
      </w:pPr>
    </w:p>
    <w:p>
      <w:pPr>
        <w:ind w:left="1024" w:right="240" w:hanging="514"/>
        <w:spacing w:after="0" w:line="245" w:lineRule="exact"/>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have the meaning ascribed to such term in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under the Exchange Act and any successor to such Rule.</w:t>
      </w:r>
    </w:p>
    <w:p>
      <w:pPr>
        <w:spacing w:after="0" w:line="86" w:lineRule="exact"/>
        <w:rPr>
          <w:rFonts w:ascii="Times New Roman" w:cs="Times New Roman" w:eastAsia="Times New Roman" w:hAnsi="Times New Roman"/>
          <w:sz w:val="18"/>
          <w:szCs w:val="18"/>
          <w:color w:val="auto"/>
        </w:rPr>
      </w:pPr>
    </w:p>
    <w:p>
      <w:pPr>
        <w:ind w:left="1024" w:hanging="514"/>
        <w:spacing w:after="0"/>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Company’s Board of Directors.</w:t>
      </w:r>
    </w:p>
    <w:p>
      <w:pPr>
        <w:spacing w:after="0" w:line="116" w:lineRule="exact"/>
        <w:rPr>
          <w:rFonts w:ascii="Times New Roman" w:cs="Times New Roman" w:eastAsia="Times New Roman" w:hAnsi="Times New Roman"/>
          <w:sz w:val="18"/>
          <w:szCs w:val="18"/>
          <w:color w:val="auto"/>
        </w:rPr>
      </w:pPr>
    </w:p>
    <w:p>
      <w:pPr>
        <w:ind w:left="1024" w:hanging="514"/>
        <w:spacing w:after="0"/>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means a Change in Control as defined in Section </w:t>
      </w:r>
      <w:r>
        <w:rPr>
          <w:rFonts w:ascii="Times New Roman" w:cs="Times New Roman" w:eastAsia="Times New Roman" w:hAnsi="Times New Roman"/>
          <w:sz w:val="18"/>
          <w:szCs w:val="18"/>
          <w:b w:val="1"/>
          <w:bCs w:val="1"/>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(b) of the Plan.</w:t>
      </w:r>
    </w:p>
    <w:p>
      <w:pPr>
        <w:spacing w:after="0" w:line="116" w:lineRule="exact"/>
        <w:rPr>
          <w:rFonts w:ascii="Times New Roman" w:cs="Times New Roman" w:eastAsia="Times New Roman" w:hAnsi="Times New Roman"/>
          <w:sz w:val="18"/>
          <w:szCs w:val="18"/>
          <w:color w:val="auto"/>
        </w:rPr>
      </w:pPr>
    </w:p>
    <w:p>
      <w:pPr>
        <w:ind w:left="1024" w:right="400" w:hanging="514"/>
        <w:spacing w:after="0" w:line="286" w:lineRule="auto"/>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from time to time, including regulations thereunder and successor provisions and regulations thereto.</w:t>
      </w:r>
    </w:p>
    <w:p>
      <w:pPr>
        <w:spacing w:after="0" w:line="46" w:lineRule="exact"/>
        <w:rPr>
          <w:rFonts w:ascii="Times New Roman" w:cs="Times New Roman" w:eastAsia="Times New Roman" w:hAnsi="Times New Roman"/>
          <w:sz w:val="18"/>
          <w:szCs w:val="18"/>
          <w:color w:val="auto"/>
        </w:rPr>
      </w:pPr>
    </w:p>
    <w:p>
      <w:pPr>
        <w:ind w:left="1024" w:hanging="514"/>
        <w:spacing w:after="0" w:line="269" w:lineRule="auto"/>
        <w:tabs>
          <w:tab w:leader="none" w:pos="102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xml:space="preserve">”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w:t>
      </w:r>
      <w:r>
        <w:rPr>
          <w:rFonts w:ascii="Times New Roman" w:cs="Times New Roman" w:eastAsia="Times New Roman" w:hAnsi="Times New Roman"/>
          <w:sz w:val="17"/>
          <w:szCs w:val="17"/>
          <w:b w:val="1"/>
          <w:bCs w:val="1"/>
          <w:u w:val="single" w:color="auto"/>
          <w:color w:val="0000FF"/>
        </w:rPr>
        <w:t>and</w:t>
      </w:r>
      <w:r>
        <w:rPr>
          <w:rFonts w:ascii="Times New Roman" w:cs="Times New Roman" w:eastAsia="Times New Roman" w:hAnsi="Times New Roman"/>
          <w:sz w:val="17"/>
          <w:szCs w:val="17"/>
          <w:color w:val="auto"/>
        </w:rPr>
        <w:t xml:space="preserve"> (ii)</w:t>
      </w:r>
      <w:r>
        <w:rPr>
          <w:rFonts w:ascii="Times New Roman" w:cs="Times New Roman" w:eastAsia="Times New Roman" w:hAnsi="Times New Roman"/>
          <w:sz w:val="17"/>
          <w:szCs w:val="17"/>
          <w:b w:val="1"/>
          <w:bCs w:val="1"/>
          <w:color w:val="FF0000"/>
          <w:strike w:val="1"/>
        </w:rPr>
        <w:t>an “outside director” within the meaning of Section 162(m) of the Code, and</w:t>
      </w:r>
    </w:p>
    <w:p>
      <w:pPr>
        <w:spacing w:after="0" w:line="2" w:lineRule="exact"/>
        <w:rPr>
          <w:rFonts w:ascii="Times New Roman" w:cs="Times New Roman" w:eastAsia="Times New Roman" w:hAnsi="Times New Roman"/>
          <w:sz w:val="17"/>
          <w:szCs w:val="17"/>
          <w:color w:val="auto"/>
        </w:rPr>
      </w:pPr>
    </w:p>
    <w:p>
      <w:pPr>
        <w:ind w:left="1024" w:right="100" w:hanging="5"/>
        <w:spacing w:after="0" w:line="260" w:lineRule="auto"/>
        <w:tabs>
          <w:tab w:leader="none" w:pos="1338" w:val="left"/>
        </w:tabs>
        <w:numPr>
          <w:ilvl w:val="2"/>
          <w:numId w:val="56"/>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color w:val="auto"/>
        </w:rPr>
        <w:t>“Independent”; provided, however, the failure of the Committee to be so comprised shall not invalidate any Award that otherwise satisfies the terms of the Plan.</w:t>
      </w:r>
    </w:p>
    <w:p>
      <w:pPr>
        <w:spacing w:after="0" w:line="68" w:lineRule="exact"/>
        <w:rPr>
          <w:rFonts w:ascii="Times New Roman" w:cs="Times New Roman" w:eastAsia="Times New Roman" w:hAnsi="Times New Roman"/>
          <w:sz w:val="18"/>
          <w:szCs w:val="18"/>
          <w:b w:val="1"/>
          <w:bCs w:val="1"/>
          <w:color w:val="FF0000"/>
          <w:strike w:val="1"/>
        </w:rPr>
      </w:pPr>
    </w:p>
    <w:p>
      <w:pPr>
        <w:ind w:left="1024" w:right="440" w:hanging="514"/>
        <w:spacing w:after="0" w:line="268" w:lineRule="auto"/>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xml:space="preserve">” means any person (other than an Employee or a Director, solely with respect to rendering services in such person’s capacity as a </w:t>
      </w:r>
      <w:r>
        <w:rPr>
          <w:rFonts w:ascii="Times New Roman" w:cs="Times New Roman" w:eastAsia="Times New Roman" w:hAnsi="Times New Roman"/>
          <w:sz w:val="18"/>
          <w:szCs w:val="18"/>
          <w:b w:val="1"/>
          <w:bCs w:val="1"/>
          <w:color w:val="FF0000"/>
          <w:strike w:val="1"/>
        </w:rPr>
        <w:t>d</w:t>
      </w:r>
      <w:r>
        <w:rPr>
          <w:rFonts w:ascii="Times New Roman" w:cs="Times New Roman" w:eastAsia="Times New Roman" w:hAnsi="Times New Roman"/>
          <w:sz w:val="18"/>
          <w:szCs w:val="18"/>
          <w:b w:val="1"/>
          <w:bCs w:val="1"/>
          <w:u w:val="single" w:color="auto"/>
          <w:color w:val="0000FF"/>
        </w:rPr>
        <w:t>D</w:t>
      </w:r>
      <w:r>
        <w:rPr>
          <w:rFonts w:ascii="Times New Roman" w:cs="Times New Roman" w:eastAsia="Times New Roman" w:hAnsi="Times New Roman"/>
          <w:sz w:val="18"/>
          <w:szCs w:val="18"/>
          <w:color w:val="auto"/>
        </w:rPr>
        <w:t>irector) who is engaged by the Company or any Related Entity to render consulting or advisory services to the Company or such Related Entity.</w:t>
      </w:r>
    </w:p>
    <w:p>
      <w:pPr>
        <w:spacing w:after="0" w:line="61" w:lineRule="exact"/>
        <w:rPr>
          <w:rFonts w:ascii="Times New Roman" w:cs="Times New Roman" w:eastAsia="Times New Roman" w:hAnsi="Times New Roman"/>
          <w:sz w:val="18"/>
          <w:szCs w:val="18"/>
          <w:color w:val="auto"/>
        </w:rPr>
      </w:pPr>
    </w:p>
    <w:p>
      <w:pPr>
        <w:ind w:left="1024" w:right="140" w:hanging="514"/>
        <w:spacing w:after="0" w:line="263" w:lineRule="auto"/>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w:t>
      </w:r>
    </w:p>
    <w:p>
      <w:pPr>
        <w:ind w:left="1024" w:right="20" w:hanging="5"/>
        <w:spacing w:after="0" w:line="250" w:lineRule="auto"/>
        <w:tabs>
          <w:tab w:leader="none" w:pos="1238"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472440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268" w:right="339" w:bottom="1440" w:gutter="0" w:footer="0" w:header="0"/>
        </w:sectPr>
      </w:pPr>
    </w:p>
    <w:bookmarkStart w:id="63" w:name="page64"/>
    <w:bookmarkEnd w:id="63"/>
    <w:p>
      <w:pPr>
        <w:ind w:left="-8" w:firstLine="8"/>
        <w:spacing w:after="0" w:line="286" w:lineRule="auto"/>
        <w:tabs>
          <w:tab w:leader="none" w:pos="365" w:val="left"/>
        </w:tabs>
        <w:numPr>
          <w:ilvl w:val="0"/>
          <w:numId w:val="58"/>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i w:val="1"/>
          <w:iCs w:val="1"/>
          <w:color w:val="FF0000"/>
          <w:strike w:val="1"/>
        </w:rPr>
        <w:t>Covered Employee</w:t>
      </w:r>
      <w:r>
        <w:rPr>
          <w:rFonts w:ascii="Times New Roman" w:cs="Times New Roman" w:eastAsia="Times New Roman" w:hAnsi="Times New Roman"/>
          <w:sz w:val="18"/>
          <w:szCs w:val="18"/>
          <w:b w:val="1"/>
          <w:bCs w:val="1"/>
          <w:color w:val="FF0000"/>
          <w:strike w:val="1"/>
        </w:rPr>
        <w:t>” means an Eligible Person who is a “covered employee” within the meaning of Section 162(m)(3) of the Code, or any successor provision thereto.</w:t>
      </w:r>
    </w:p>
    <w:p>
      <w:pPr>
        <w:spacing w:after="0" w:line="46" w:lineRule="exact"/>
        <w:rPr>
          <w:rFonts w:ascii="Times New Roman" w:cs="Times New Roman" w:eastAsia="Times New Roman" w:hAnsi="Times New Roman"/>
          <w:sz w:val="18"/>
          <w:szCs w:val="18"/>
          <w:b w:val="1"/>
          <w:bCs w:val="1"/>
          <w:color w:val="FF0000"/>
          <w:strike w:val="1"/>
        </w:rPr>
      </w:pPr>
    </w:p>
    <w:p>
      <w:pPr>
        <w:ind w:left="1532" w:right="60" w:hanging="514"/>
        <w:spacing w:after="0" w:line="268"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(l)</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Deferred Stock</w:t>
      </w:r>
      <w:r>
        <w:rPr>
          <w:rFonts w:ascii="Times New Roman" w:cs="Times New Roman" w:eastAsia="Times New Roman" w:hAnsi="Times New Roman"/>
          <w:sz w:val="18"/>
          <w:szCs w:val="18"/>
          <w:color w:val="000000"/>
        </w:rPr>
        <w:t>” means a right to receive Shares, cash measured based upon the value of Shares or a combination thereof, at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end of a specified deferral period, which right is not subject to a substantial risk of forfeiture (other than the potential clawback of benefits under Section 8(f) hereof).</w:t>
      </w:r>
    </w:p>
    <w:p>
      <w:pPr>
        <w:spacing w:after="0" w:line="61" w:lineRule="exact"/>
        <w:rPr>
          <w:rFonts w:ascii="Times New Roman" w:cs="Times New Roman" w:eastAsia="Times New Roman" w:hAnsi="Times New Roman"/>
          <w:sz w:val="18"/>
          <w:szCs w:val="18"/>
          <w:b w:val="1"/>
          <w:bCs w:val="1"/>
          <w:color w:val="FF0000"/>
        </w:rPr>
      </w:pPr>
    </w:p>
    <w:p>
      <w:pPr>
        <w:ind w:left="1532" w:right="500" w:hanging="514"/>
        <w:spacing w:after="0" w:line="286"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(m)</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Deferred Award</w:t>
      </w:r>
      <w:r>
        <w:rPr>
          <w:rFonts w:ascii="Times New Roman" w:cs="Times New Roman" w:eastAsia="Times New Roman" w:hAnsi="Times New Roman"/>
          <w:sz w:val="18"/>
          <w:szCs w:val="18"/>
          <w:color w:val="000000"/>
        </w:rPr>
        <w:t>” means an Award of Deferred Stock or Restricted Stock Units granted to a Participant under Section 7(e)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hereof.</w:t>
      </w:r>
    </w:p>
    <w:p>
      <w:pPr>
        <w:spacing w:after="0" w:line="46" w:lineRule="exact"/>
        <w:rPr>
          <w:rFonts w:ascii="Times New Roman" w:cs="Times New Roman" w:eastAsia="Times New Roman" w:hAnsi="Times New Roman"/>
          <w:sz w:val="18"/>
          <w:szCs w:val="18"/>
          <w:b w:val="1"/>
          <w:bCs w:val="1"/>
          <w:color w:val="FF0000"/>
        </w:rPr>
      </w:pPr>
    </w:p>
    <w:p>
      <w:pPr>
        <w:ind w:left="1532" w:hanging="514"/>
        <w:spacing w:after="0"/>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Director</w:t>
      </w:r>
      <w:r>
        <w:rPr>
          <w:rFonts w:ascii="Times New Roman" w:cs="Times New Roman" w:eastAsia="Times New Roman" w:hAnsi="Times New Roman"/>
          <w:sz w:val="18"/>
          <w:szCs w:val="18"/>
          <w:color w:val="000000"/>
        </w:rPr>
        <w:t>” means a member of the Board or the board of directors of any Related Entity.</w:t>
      </w:r>
    </w:p>
    <w:p>
      <w:pPr>
        <w:spacing w:after="0" w:line="116" w:lineRule="exact"/>
        <w:rPr>
          <w:rFonts w:ascii="Times New Roman" w:cs="Times New Roman" w:eastAsia="Times New Roman" w:hAnsi="Times New Roman"/>
          <w:sz w:val="18"/>
          <w:szCs w:val="18"/>
          <w:b w:val="1"/>
          <w:bCs w:val="1"/>
          <w:color w:val="FF0000"/>
        </w:rPr>
      </w:pPr>
    </w:p>
    <w:p>
      <w:pPr>
        <w:ind w:left="1532" w:right="580" w:hanging="514"/>
        <w:spacing w:after="0" w:line="286"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Disability</w:t>
      </w:r>
      <w:r>
        <w:rPr>
          <w:rFonts w:ascii="Times New Roman" w:cs="Times New Roman" w:eastAsia="Times New Roman" w:hAnsi="Times New Roman"/>
          <w:sz w:val="18"/>
          <w:szCs w:val="18"/>
          <w:color w:val="000000"/>
        </w:rPr>
        <w:t>” means a permanent and total disability (within the meaning of Section 22(e) of the Code), as determined by a</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medical doctor satisfactory to the Committee.</w:t>
      </w:r>
    </w:p>
    <w:p>
      <w:pPr>
        <w:spacing w:after="0" w:line="46" w:lineRule="exact"/>
        <w:rPr>
          <w:rFonts w:ascii="Times New Roman" w:cs="Times New Roman" w:eastAsia="Times New Roman" w:hAnsi="Times New Roman"/>
          <w:sz w:val="18"/>
          <w:szCs w:val="18"/>
          <w:b w:val="1"/>
          <w:bCs w:val="1"/>
          <w:color w:val="FF0000"/>
        </w:rPr>
      </w:pPr>
    </w:p>
    <w:p>
      <w:pPr>
        <w:ind w:left="1532" w:right="40" w:hanging="514"/>
        <w:spacing w:after="0" w:line="286"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(p)</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Dividend Equivalent</w:t>
      </w:r>
      <w:r>
        <w:rPr>
          <w:rFonts w:ascii="Times New Roman" w:cs="Times New Roman" w:eastAsia="Times New Roman" w:hAnsi="Times New Roman"/>
          <w:sz w:val="18"/>
          <w:szCs w:val="18"/>
          <w:color w:val="000000"/>
        </w:rPr>
        <w:t>” means a right, granted to a Participant under Section 7(g) hereof, to receive cash, Shares, other Awards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other property equal in value to dividends paid with respect to a specified number of Shares, or other periodic payments.</w:t>
      </w:r>
    </w:p>
    <w:p>
      <w:pPr>
        <w:spacing w:after="0" w:line="46" w:lineRule="exact"/>
        <w:rPr>
          <w:rFonts w:ascii="Times New Roman" w:cs="Times New Roman" w:eastAsia="Times New Roman" w:hAnsi="Times New Roman"/>
          <w:sz w:val="18"/>
          <w:szCs w:val="18"/>
          <w:b w:val="1"/>
          <w:bCs w:val="1"/>
          <w:color w:val="FF0000"/>
        </w:rPr>
      </w:pPr>
    </w:p>
    <w:p>
      <w:pPr>
        <w:ind w:left="1532" w:hanging="514"/>
        <w:spacing w:after="0"/>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(q)</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Effective Date</w:t>
      </w:r>
      <w:r>
        <w:rPr>
          <w:rFonts w:ascii="Times New Roman" w:cs="Times New Roman" w:eastAsia="Times New Roman" w:hAnsi="Times New Roman"/>
          <w:sz w:val="18"/>
          <w:szCs w:val="18"/>
          <w:color w:val="000000"/>
        </w:rPr>
        <w:t>” means the effective date of the Plan, which shall be the Shareholder Approval Date.</w:t>
      </w:r>
    </w:p>
    <w:p>
      <w:pPr>
        <w:spacing w:after="0" w:line="116" w:lineRule="exact"/>
        <w:rPr>
          <w:rFonts w:ascii="Times New Roman" w:cs="Times New Roman" w:eastAsia="Times New Roman" w:hAnsi="Times New Roman"/>
          <w:sz w:val="18"/>
          <w:szCs w:val="18"/>
          <w:b w:val="1"/>
          <w:bCs w:val="1"/>
          <w:color w:val="FF0000"/>
        </w:rPr>
      </w:pPr>
    </w:p>
    <w:p>
      <w:pPr>
        <w:ind w:left="1532" w:right="20" w:hanging="514"/>
        <w:spacing w:after="0" w:line="255"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Eligible Person</w:t>
      </w:r>
      <w:r>
        <w:rPr>
          <w:rFonts w:ascii="Times New Roman" w:cs="Times New Roman" w:eastAsia="Times New Roman" w:hAnsi="Times New Roman"/>
          <w:sz w:val="18"/>
          <w:szCs w:val="18"/>
          <w:color w:val="000000"/>
        </w:rPr>
        <w:t>” means each officer, Director, Employee, Consultant and other person who provides services to the Company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74" w:lineRule="exact"/>
        <w:rPr>
          <w:rFonts w:ascii="Times New Roman" w:cs="Times New Roman" w:eastAsia="Times New Roman" w:hAnsi="Times New Roman"/>
          <w:sz w:val="18"/>
          <w:szCs w:val="18"/>
          <w:b w:val="1"/>
          <w:bCs w:val="1"/>
          <w:color w:val="FF0000"/>
        </w:rPr>
      </w:pPr>
    </w:p>
    <w:p>
      <w:pPr>
        <w:jc w:val="both"/>
        <w:ind w:left="1532" w:right="60" w:hanging="514"/>
        <w:spacing w:after="0" w:line="262"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Employee</w:t>
      </w:r>
      <w:r>
        <w:rPr>
          <w:rFonts w:ascii="Times New Roman" w:cs="Times New Roman" w:eastAsia="Times New Roman" w:hAnsi="Times New Roman"/>
          <w:sz w:val="18"/>
          <w:szCs w:val="18"/>
          <w:color w:val="000000"/>
        </w:rPr>
        <w:t>” means any person, including an officer or Director, who is an employee of the Company or any Related Entity, or is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67" w:lineRule="exact"/>
        <w:rPr>
          <w:rFonts w:ascii="Times New Roman" w:cs="Times New Roman" w:eastAsia="Times New Roman" w:hAnsi="Times New Roman"/>
          <w:sz w:val="18"/>
          <w:szCs w:val="18"/>
          <w:b w:val="1"/>
          <w:bCs w:val="1"/>
          <w:color w:val="FF0000"/>
        </w:rPr>
      </w:pPr>
    </w:p>
    <w:p>
      <w:pPr>
        <w:ind w:left="1532" w:right="440" w:hanging="514"/>
        <w:spacing w:after="0" w:line="286"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Exchange Act</w:t>
      </w:r>
      <w:r>
        <w:rPr>
          <w:rFonts w:ascii="Times New Roman" w:cs="Times New Roman" w:eastAsia="Times New Roman" w:hAnsi="Times New Roman"/>
          <w:sz w:val="18"/>
          <w:szCs w:val="18"/>
          <w:color w:val="000000"/>
        </w:rPr>
        <w:t>” means the Securities Exchange Act of 1934, as amended from time to time, including rules thereunder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successor provisions and rules thereto.</w:t>
      </w:r>
    </w:p>
    <w:p>
      <w:pPr>
        <w:spacing w:after="0" w:line="46" w:lineRule="exact"/>
        <w:rPr>
          <w:rFonts w:ascii="Times New Roman" w:cs="Times New Roman" w:eastAsia="Times New Roman" w:hAnsi="Times New Roman"/>
          <w:sz w:val="18"/>
          <w:szCs w:val="18"/>
          <w:b w:val="1"/>
          <w:bCs w:val="1"/>
          <w:color w:val="FF0000"/>
        </w:rPr>
      </w:pPr>
    </w:p>
    <w:p>
      <w:pPr>
        <w:ind w:left="1532" w:right="100" w:hanging="514"/>
        <w:spacing w:after="0" w:line="259"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(u)</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Fair Market Value</w:t>
      </w:r>
      <w:r>
        <w:rPr>
          <w:rFonts w:ascii="Times New Roman" w:cs="Times New Roman" w:eastAsia="Times New Roman" w:hAnsi="Times New Roman"/>
          <w:sz w:val="18"/>
          <w:szCs w:val="18"/>
          <w:color w:val="000000"/>
        </w:rPr>
        <w:t>” means the fair market value of Shares, Awards or other property on the date as of which the value is being</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69" w:lineRule="exact"/>
        <w:rPr>
          <w:rFonts w:ascii="Times New Roman" w:cs="Times New Roman" w:eastAsia="Times New Roman" w:hAnsi="Times New Roman"/>
          <w:sz w:val="18"/>
          <w:szCs w:val="18"/>
          <w:b w:val="1"/>
          <w:bCs w:val="1"/>
          <w:color w:val="FF0000"/>
        </w:rPr>
      </w:pPr>
    </w:p>
    <w:p>
      <w:pPr>
        <w:ind w:left="1532" w:hanging="514"/>
        <w:spacing w:after="0"/>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(v)</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Full Value Award</w:t>
      </w:r>
      <w:r>
        <w:rPr>
          <w:rFonts w:ascii="Times New Roman" w:cs="Times New Roman" w:eastAsia="Times New Roman" w:hAnsi="Times New Roman"/>
          <w:sz w:val="18"/>
          <w:szCs w:val="18"/>
          <w:color w:val="000000"/>
        </w:rPr>
        <w:t>” means any Award other than an option or a Stock Appreciation Right and that is settled in Shares.</w:t>
      </w:r>
    </w:p>
    <w:p>
      <w:pPr>
        <w:spacing w:after="0" w:line="116" w:lineRule="exact"/>
        <w:rPr>
          <w:rFonts w:ascii="Times New Roman" w:cs="Times New Roman" w:eastAsia="Times New Roman" w:hAnsi="Times New Roman"/>
          <w:sz w:val="18"/>
          <w:szCs w:val="18"/>
          <w:b w:val="1"/>
          <w:bCs w:val="1"/>
          <w:color w:val="FF0000"/>
        </w:rPr>
      </w:pPr>
    </w:p>
    <w:p>
      <w:pPr>
        <w:ind w:left="1532" w:right="60" w:hanging="514"/>
        <w:spacing w:after="0" w:line="253" w:lineRule="auto"/>
        <w:tabs>
          <w:tab w:leader="none" w:pos="1532" w:val="left"/>
        </w:tabs>
        <w:numPr>
          <w:ilvl w:val="1"/>
          <w:numId w:val="58"/>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(w)</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Good Reason</w:t>
      </w:r>
      <w:r>
        <w:rPr>
          <w:rFonts w:ascii="Times New Roman" w:cs="Times New Roman" w:eastAsia="Times New Roman" w:hAnsi="Times New Roman"/>
          <w:sz w:val="18"/>
          <w:szCs w:val="18"/>
          <w:color w:val="000000"/>
        </w:rPr>
        <w:t>” means the same definition of Good Reason, or any substantially similar term, in the Participant’s employment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w:t>
      </w:r>
    </w:p>
    <w:p>
      <w:pPr>
        <w:ind w:left="1532" w:right="40"/>
        <w:spacing w:after="0" w:line="250" w:lineRule="auto"/>
        <w:rPr>
          <w:sz w:val="20"/>
          <w:szCs w:val="20"/>
          <w:color w:val="auto"/>
        </w:rPr>
      </w:pPr>
      <w:r>
        <w:rPr>
          <w:rFonts w:ascii="Times New Roman" w:cs="Times New Roman" w:eastAsia="Times New Roman" w:hAnsi="Times New Roman"/>
          <w:sz w:val="18"/>
          <w:szCs w:val="18"/>
          <w:color w:val="auto"/>
        </w:rPr>
        <w:t>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472440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0" w:right="339" w:bottom="1440" w:gutter="0" w:footer="0" w:header="0"/>
        </w:sectPr>
      </w:pPr>
    </w:p>
    <w:bookmarkStart w:id="64" w:name="page65"/>
    <w:bookmarkEnd w:id="64"/>
    <w:p>
      <w:pPr>
        <w:jc w:val="both"/>
        <w:ind w:left="514" w:right="120"/>
        <w:spacing w:after="0" w:line="258" w:lineRule="auto"/>
        <w:rPr>
          <w:sz w:val="20"/>
          <w:szCs w:val="20"/>
          <w:color w:val="auto"/>
        </w:rPr>
      </w:pPr>
      <w:r>
        <w:rPr>
          <w:rFonts w:ascii="Times New Roman" w:cs="Times New Roman" w:eastAsia="Times New Roman" w:hAnsi="Times New Roman"/>
          <w:sz w:val="18"/>
          <w:szCs w:val="18"/>
          <w:color w:val="auto"/>
        </w:rPr>
        <w:t>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70" w:lineRule="exact"/>
        <w:rPr>
          <w:sz w:val="20"/>
          <w:szCs w:val="20"/>
          <w:color w:val="auto"/>
        </w:rPr>
      </w:pPr>
    </w:p>
    <w:p>
      <w:pPr>
        <w:ind w:left="514" w:hanging="514"/>
        <w:spacing w:after="0" w:line="286" w:lineRule="auto"/>
        <w:tabs>
          <w:tab w:leader="none" w:pos="514" w:val="left"/>
        </w:tabs>
        <w:numPr>
          <w:ilvl w:val="0"/>
          <w:numId w:val="59"/>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(x)</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Incentive Stock Option</w:t>
      </w:r>
      <w:r>
        <w:rPr>
          <w:rFonts w:ascii="Times New Roman" w:cs="Times New Roman" w:eastAsia="Times New Roman" w:hAnsi="Times New Roman"/>
          <w:sz w:val="18"/>
          <w:szCs w:val="18"/>
          <w:color w:val="000000"/>
        </w:rPr>
        <w:t>” means any Option intended to be designated as an incentive stock option within the meaning of Section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422 of the Code or any successor provision thereto.</w:t>
      </w:r>
    </w:p>
    <w:p>
      <w:pPr>
        <w:spacing w:after="0" w:line="46" w:lineRule="exact"/>
        <w:rPr>
          <w:rFonts w:ascii="Times New Roman" w:cs="Times New Roman" w:eastAsia="Times New Roman" w:hAnsi="Times New Roman"/>
          <w:sz w:val="18"/>
          <w:szCs w:val="18"/>
          <w:b w:val="1"/>
          <w:bCs w:val="1"/>
          <w:color w:val="FF0000"/>
        </w:rPr>
      </w:pPr>
    </w:p>
    <w:p>
      <w:pPr>
        <w:ind w:left="514" w:right="240" w:hanging="514"/>
        <w:spacing w:after="0" w:line="268" w:lineRule="auto"/>
        <w:tabs>
          <w:tab w:leader="none" w:pos="514" w:val="left"/>
        </w:tabs>
        <w:numPr>
          <w:ilvl w:val="0"/>
          <w:numId w:val="59"/>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Independent</w:t>
      </w:r>
      <w:r>
        <w:rPr>
          <w:rFonts w:ascii="Times New Roman" w:cs="Times New Roman" w:eastAsia="Times New Roman" w:hAnsi="Times New Roman"/>
          <w:sz w:val="18"/>
          <w:szCs w:val="18"/>
          <w:color w:val="000000"/>
        </w:rPr>
        <w:t>”, when referring to either the Board or members of the Committee, shall have the same meaning as used in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rules of the Nasdaq Stock Market or any national securities exchange on which any securities of the Company are listed for trading, and if not listed for trading, by the rules of the Nasdaq Stock Market.</w:t>
      </w:r>
    </w:p>
    <w:p>
      <w:pPr>
        <w:spacing w:after="0" w:line="61" w:lineRule="exact"/>
        <w:rPr>
          <w:rFonts w:ascii="Times New Roman" w:cs="Times New Roman" w:eastAsia="Times New Roman" w:hAnsi="Times New Roman"/>
          <w:sz w:val="18"/>
          <w:szCs w:val="18"/>
          <w:b w:val="1"/>
          <w:bCs w:val="1"/>
          <w:color w:val="FF0000"/>
        </w:rPr>
      </w:pPr>
    </w:p>
    <w:p>
      <w:pPr>
        <w:ind w:left="514" w:hanging="514"/>
        <w:spacing w:after="0"/>
        <w:tabs>
          <w:tab w:leader="none" w:pos="514" w:val="left"/>
        </w:tabs>
        <w:numPr>
          <w:ilvl w:val="0"/>
          <w:numId w:val="59"/>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(z)</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Incumbent Board</w:t>
      </w:r>
      <w:r>
        <w:rPr>
          <w:rFonts w:ascii="Times New Roman" w:cs="Times New Roman" w:eastAsia="Times New Roman" w:hAnsi="Times New Roman"/>
          <w:sz w:val="18"/>
          <w:szCs w:val="18"/>
          <w:color w:val="000000"/>
        </w:rPr>
        <w:t>” means the Incumbent Board as defined in Section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000000"/>
        </w:rPr>
        <w:t>(b)(ii) of the Plan.</w:t>
      </w:r>
    </w:p>
    <w:p>
      <w:pPr>
        <w:spacing w:after="0" w:line="116" w:lineRule="exact"/>
        <w:rPr>
          <w:rFonts w:ascii="Times New Roman" w:cs="Times New Roman" w:eastAsia="Times New Roman" w:hAnsi="Times New Roman"/>
          <w:sz w:val="18"/>
          <w:szCs w:val="18"/>
          <w:b w:val="1"/>
          <w:bCs w:val="1"/>
          <w:color w:val="FF0000"/>
        </w:rPr>
      </w:pPr>
    </w:p>
    <w:p>
      <w:pPr>
        <w:ind w:left="514" w:right="20" w:hanging="514"/>
        <w:spacing w:after="0" w:line="253" w:lineRule="auto"/>
        <w:tabs>
          <w:tab w:leader="none" w:pos="514" w:val="left"/>
        </w:tabs>
        <w:numPr>
          <w:ilvl w:val="0"/>
          <w:numId w:val="59"/>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(aa)</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Justifiable Cause</w:t>
      </w:r>
      <w:r>
        <w:rPr>
          <w:rFonts w:ascii="Times New Roman" w:cs="Times New Roman" w:eastAsia="Times New Roman" w:hAnsi="Times New Roman"/>
          <w:sz w:val="18"/>
          <w:szCs w:val="18"/>
          <w:color w:val="000000"/>
        </w:rPr>
        <w:t>” means the same definition as used in the Participant’s employment agreement, if any, that is in effect at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w:t>
      </w:r>
      <w:r>
        <w:rPr>
          <w:rFonts w:ascii="Times New Roman" w:cs="Times New Roman" w:eastAsia="Times New Roman" w:hAnsi="Times New Roman"/>
          <w:sz w:val="18"/>
          <w:szCs w:val="18"/>
          <w:b w:val="1"/>
          <w:bCs w:val="1"/>
          <w:color w:val="FF0000"/>
          <w:strike w:val="1"/>
        </w:rPr>
        <w:t>e</w:t>
      </w:r>
      <w:r>
        <w:rPr>
          <w:rFonts w:ascii="Times New Roman" w:cs="Times New Roman" w:eastAsia="Times New Roman" w:hAnsi="Times New Roman"/>
          <w:sz w:val="18"/>
          <w:szCs w:val="18"/>
          <w:color w:val="000000"/>
        </w:rPr>
        <w:t xml:space="preserve"> of guilty to, or pleas</w:t>
      </w:r>
      <w:r>
        <w:rPr>
          <w:rFonts w:ascii="Times New Roman" w:cs="Times New Roman" w:eastAsia="Times New Roman" w:hAnsi="Times New Roman"/>
          <w:sz w:val="18"/>
          <w:szCs w:val="18"/>
          <w:b w:val="1"/>
          <w:bCs w:val="1"/>
          <w:color w:val="FF0000"/>
          <w:strike w:val="1"/>
        </w:rPr>
        <w:t>e</w:t>
      </w:r>
      <w:r>
        <w:rPr>
          <w:rFonts w:ascii="Times New Roman" w:cs="Times New Roman" w:eastAsia="Times New Roman" w:hAnsi="Times New Roman"/>
          <w:sz w:val="18"/>
          <w:szCs w:val="18"/>
          <w:color w:val="000000"/>
        </w:rPr>
        <w:t xml:space="preserv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78" w:lineRule="exact"/>
        <w:rPr>
          <w:sz w:val="20"/>
          <w:szCs w:val="20"/>
          <w:color w:val="auto"/>
        </w:rPr>
      </w:pPr>
    </w:p>
    <w:p>
      <w:pPr>
        <w:jc w:val="both"/>
        <w:ind w:left="514" w:right="300" w:hanging="514"/>
        <w:spacing w:after="0" w:line="268" w:lineRule="auto"/>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(bb)</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Listing Market</w:t>
      </w:r>
      <w:r>
        <w:rPr>
          <w:rFonts w:ascii="Times New Roman" w:cs="Times New Roman" w:eastAsia="Times New Roman" w:hAnsi="Times New Roman"/>
          <w:sz w:val="18"/>
          <w:szCs w:val="18"/>
          <w:color w:val="000000"/>
        </w:rPr>
        <w:t>” means the Nasdaq Stock Market or any national securities exchange on which the Company’s securities are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listed for trading and, if not listed for trading on the Nasdaq Stock Market or a national securities exchange, then the Nasdaq Stock Market.</w:t>
      </w:r>
    </w:p>
    <w:p>
      <w:pPr>
        <w:spacing w:after="0" w:line="61" w:lineRule="exact"/>
        <w:rPr>
          <w:rFonts w:ascii="Times New Roman" w:cs="Times New Roman" w:eastAsia="Times New Roman" w:hAnsi="Times New Roman"/>
          <w:sz w:val="18"/>
          <w:szCs w:val="18"/>
          <w:b w:val="1"/>
          <w:bCs w:val="1"/>
          <w:color w:val="FF0000"/>
        </w:rPr>
      </w:pPr>
    </w:p>
    <w:p>
      <w:pPr>
        <w:ind w:left="514" w:right="20" w:hanging="514"/>
        <w:spacing w:after="0" w:line="286" w:lineRule="auto"/>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(cc)</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Option</w:t>
      </w:r>
      <w:r>
        <w:rPr>
          <w:rFonts w:ascii="Times New Roman" w:cs="Times New Roman" w:eastAsia="Times New Roman" w:hAnsi="Times New Roman"/>
          <w:sz w:val="18"/>
          <w:szCs w:val="18"/>
          <w:color w:val="000000"/>
        </w:rPr>
        <w:t>” means a right granted to a Participant under Section 7(b) hereof, to purchase Shares or other Awards at a specified price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during specified time periods.</w:t>
      </w:r>
    </w:p>
    <w:p>
      <w:pPr>
        <w:spacing w:after="0" w:line="46" w:lineRule="exact"/>
        <w:rPr>
          <w:rFonts w:ascii="Times New Roman" w:cs="Times New Roman" w:eastAsia="Times New Roman" w:hAnsi="Times New Roman"/>
          <w:sz w:val="18"/>
          <w:szCs w:val="18"/>
          <w:b w:val="1"/>
          <w:bCs w:val="1"/>
          <w:color w:val="FF0000"/>
        </w:rPr>
      </w:pPr>
    </w:p>
    <w:p>
      <w:pPr>
        <w:ind w:left="514" w:right="520" w:hanging="514"/>
        <w:spacing w:after="0" w:line="286" w:lineRule="auto"/>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(dd)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Optionee</w:t>
      </w:r>
      <w:r>
        <w:rPr>
          <w:rFonts w:ascii="Times New Roman" w:cs="Times New Roman" w:eastAsia="Times New Roman" w:hAnsi="Times New Roman"/>
          <w:sz w:val="18"/>
          <w:szCs w:val="18"/>
          <w:color w:val="000000"/>
        </w:rPr>
        <w:t>” means a person to whom an Option is granted under this Plan or any person who succeeds to the rights of such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person under this Plan.</w:t>
      </w:r>
    </w:p>
    <w:p>
      <w:pPr>
        <w:spacing w:after="0" w:line="46" w:lineRule="exact"/>
        <w:rPr>
          <w:rFonts w:ascii="Times New Roman" w:cs="Times New Roman" w:eastAsia="Times New Roman" w:hAnsi="Times New Roman"/>
          <w:sz w:val="18"/>
          <w:szCs w:val="18"/>
          <w:b w:val="1"/>
          <w:bCs w:val="1"/>
          <w:color w:val="FF0000"/>
        </w:rPr>
      </w:pPr>
    </w:p>
    <w:p>
      <w:pPr>
        <w:ind w:left="514" w:hanging="514"/>
        <w:spacing w:after="0"/>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(ee)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Other Stock-Based Awards</w:t>
      </w:r>
      <w:r>
        <w:rPr>
          <w:rFonts w:ascii="Times New Roman" w:cs="Times New Roman" w:eastAsia="Times New Roman" w:hAnsi="Times New Roman"/>
          <w:sz w:val="18"/>
          <w:szCs w:val="18"/>
          <w:color w:val="000000"/>
        </w:rPr>
        <w:t>” means Awards granted to a Participant under Section 7(i) hereof.</w:t>
      </w:r>
    </w:p>
    <w:p>
      <w:pPr>
        <w:spacing w:after="0" w:line="116" w:lineRule="exact"/>
        <w:rPr>
          <w:rFonts w:ascii="Times New Roman" w:cs="Times New Roman" w:eastAsia="Times New Roman" w:hAnsi="Times New Roman"/>
          <w:sz w:val="18"/>
          <w:szCs w:val="18"/>
          <w:b w:val="1"/>
          <w:bCs w:val="1"/>
          <w:color w:val="FF0000"/>
        </w:rPr>
      </w:pPr>
    </w:p>
    <w:p>
      <w:pPr>
        <w:ind w:left="514" w:right="20" w:hanging="514"/>
        <w:spacing w:after="0" w:line="286" w:lineRule="auto"/>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(ff)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Participant</w:t>
      </w:r>
      <w:r>
        <w:rPr>
          <w:rFonts w:ascii="Times New Roman" w:cs="Times New Roman" w:eastAsia="Times New Roman" w:hAnsi="Times New Roman"/>
          <w:sz w:val="18"/>
          <w:szCs w:val="18"/>
          <w:color w:val="000000"/>
        </w:rPr>
        <w:t>” means a person who has been granted an Award under the Plan which remains outstanding, including a person who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is no longer an Eligible Person.</w:t>
      </w:r>
    </w:p>
    <w:p>
      <w:pPr>
        <w:spacing w:after="0" w:line="46" w:lineRule="exact"/>
        <w:rPr>
          <w:rFonts w:ascii="Times New Roman" w:cs="Times New Roman" w:eastAsia="Times New Roman" w:hAnsi="Times New Roman"/>
          <w:sz w:val="18"/>
          <w:szCs w:val="18"/>
          <w:b w:val="1"/>
          <w:bCs w:val="1"/>
          <w:color w:val="FF0000"/>
        </w:rPr>
      </w:pPr>
    </w:p>
    <w:p>
      <w:pPr>
        <w:ind w:left="514" w:hanging="514"/>
        <w:spacing w:after="0"/>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(gg)</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Performance Award</w:t>
      </w:r>
      <w:r>
        <w:rPr>
          <w:rFonts w:ascii="Times New Roman" w:cs="Times New Roman" w:eastAsia="Times New Roman" w:hAnsi="Times New Roman"/>
          <w:sz w:val="18"/>
          <w:szCs w:val="18"/>
          <w:color w:val="000000"/>
        </w:rPr>
        <w:t>” means any Award of Performance Shares or Performance Units granted pursuant to Section 7(h).</w:t>
      </w:r>
    </w:p>
    <w:p>
      <w:pPr>
        <w:spacing w:after="0" w:line="116" w:lineRule="exact"/>
        <w:rPr>
          <w:rFonts w:ascii="Times New Roman" w:cs="Times New Roman" w:eastAsia="Times New Roman" w:hAnsi="Times New Roman"/>
          <w:sz w:val="18"/>
          <w:szCs w:val="18"/>
          <w:b w:val="1"/>
          <w:bCs w:val="1"/>
          <w:color w:val="FF0000"/>
        </w:rPr>
      </w:pPr>
    </w:p>
    <w:p>
      <w:pPr>
        <w:ind w:left="514" w:right="180" w:hanging="514"/>
        <w:spacing w:after="0" w:line="317" w:lineRule="auto"/>
        <w:tabs>
          <w:tab w:leader="none" w:pos="514" w:val="left"/>
        </w:tabs>
        <w:numPr>
          <w:ilvl w:val="0"/>
          <w:numId w:val="60"/>
        </w:numPr>
        <w:rPr>
          <w:rFonts w:ascii="Times New Roman" w:cs="Times New Roman" w:eastAsia="Times New Roman" w:hAnsi="Times New Roman"/>
          <w:sz w:val="17"/>
          <w:szCs w:val="17"/>
          <w:b w:val="1"/>
          <w:bCs w:val="1"/>
          <w:color w:val="FF0000"/>
        </w:rPr>
      </w:pPr>
      <w:r>
        <w:rPr>
          <w:rFonts w:ascii="Times New Roman" w:cs="Times New Roman" w:eastAsia="Times New Roman" w:hAnsi="Times New Roman"/>
          <w:sz w:val="17"/>
          <w:szCs w:val="17"/>
          <w:b w:val="1"/>
          <w:bCs w:val="1"/>
          <w:color w:val="FF0000"/>
          <w:strike w:val="1"/>
        </w:rPr>
        <w:t>(hh)</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000000"/>
        </w:rPr>
        <w:t>Performance Period</w:t>
      </w:r>
      <w:r>
        <w:rPr>
          <w:rFonts w:ascii="Times New Roman" w:cs="Times New Roman" w:eastAsia="Times New Roman" w:hAnsi="Times New Roman"/>
          <w:sz w:val="17"/>
          <w:szCs w:val="17"/>
          <w:color w:val="000000"/>
        </w:rPr>
        <w:t>” means that period established by the Committee at the time any Performance Award is granted or at any</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time thereafter during which any performance goals specified by the Committee with respect to such Award are to be measured.</w:t>
      </w:r>
    </w:p>
    <w:p>
      <w:pPr>
        <w:spacing w:after="0" w:line="22" w:lineRule="exact"/>
        <w:rPr>
          <w:rFonts w:ascii="Times New Roman" w:cs="Times New Roman" w:eastAsia="Times New Roman" w:hAnsi="Times New Roman"/>
          <w:sz w:val="17"/>
          <w:szCs w:val="17"/>
          <w:b w:val="1"/>
          <w:bCs w:val="1"/>
          <w:color w:val="FF0000"/>
        </w:rPr>
      </w:pPr>
    </w:p>
    <w:p>
      <w:pPr>
        <w:ind w:left="514" w:right="140" w:hanging="514"/>
        <w:spacing w:after="0" w:line="262" w:lineRule="auto"/>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(ii)</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Performance Share</w:t>
      </w:r>
      <w:r>
        <w:rPr>
          <w:rFonts w:ascii="Times New Roman" w:cs="Times New Roman" w:eastAsia="Times New Roman" w:hAnsi="Times New Roman"/>
          <w:sz w:val="18"/>
          <w:szCs w:val="18"/>
          <w:color w:val="000000"/>
        </w:rPr>
        <w:t>” means any grant pursuant to Section 7(h) of a unit valued by reference to a designated number of Shares,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67" w:lineRule="exact"/>
        <w:rPr>
          <w:rFonts w:ascii="Times New Roman" w:cs="Times New Roman" w:eastAsia="Times New Roman" w:hAnsi="Times New Roman"/>
          <w:sz w:val="18"/>
          <w:szCs w:val="18"/>
          <w:b w:val="1"/>
          <w:bCs w:val="1"/>
          <w:color w:val="FF0000"/>
        </w:rPr>
      </w:pPr>
    </w:p>
    <w:p>
      <w:pPr>
        <w:ind w:left="514" w:right="20" w:hanging="514"/>
        <w:spacing w:after="0" w:line="262" w:lineRule="auto"/>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(jj)</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Performance Unit</w:t>
      </w:r>
      <w:r>
        <w:rPr>
          <w:rFonts w:ascii="Times New Roman" w:cs="Times New Roman" w:eastAsia="Times New Roman" w:hAnsi="Times New Roman"/>
          <w:sz w:val="18"/>
          <w:szCs w:val="18"/>
          <w:color w:val="000000"/>
        </w:rPr>
        <w:t>” means any grant pursuant to Section 7(h) of a unit valued by reference to a designated amount of property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67" w:lineRule="exact"/>
        <w:rPr>
          <w:rFonts w:ascii="Times New Roman" w:cs="Times New Roman" w:eastAsia="Times New Roman" w:hAnsi="Times New Roman"/>
          <w:sz w:val="18"/>
          <w:szCs w:val="18"/>
          <w:b w:val="1"/>
          <w:bCs w:val="1"/>
          <w:color w:val="FF0000"/>
        </w:rPr>
      </w:pPr>
    </w:p>
    <w:p>
      <w:pPr>
        <w:ind w:left="514" w:right="300" w:hanging="514"/>
        <w:spacing w:after="0" w:line="263" w:lineRule="auto"/>
        <w:tabs>
          <w:tab w:leader="none" w:pos="514" w:val="left"/>
        </w:tabs>
        <w:numPr>
          <w:ilvl w:val="0"/>
          <w:numId w:val="60"/>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(kk)</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Person</w:t>
      </w:r>
      <w:r>
        <w:rPr>
          <w:rFonts w:ascii="Times New Roman" w:cs="Times New Roman" w:eastAsia="Times New Roman" w:hAnsi="Times New Roman"/>
          <w:sz w:val="18"/>
          <w:szCs w:val="18"/>
          <w:color w:val="000000"/>
        </w:rPr>
        <w:t>” shall have the meaning ascribed to such term in Section 3(a)(9) of the Exchange Act and used in Sections 13(d)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14(d) thereof, and shall include a “group” as defined in Section 13(d) thereof.</w:t>
      </w:r>
    </w:p>
    <w:p>
      <w:pPr>
        <w:ind w:left="4454"/>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472440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092" w:right="339" w:bottom="1440" w:gutter="0" w:footer="0" w:header="0"/>
        </w:sectPr>
      </w:pPr>
    </w:p>
    <w:bookmarkStart w:id="65" w:name="page66"/>
    <w:bookmarkEnd w:id="65"/>
    <w:p>
      <w:pPr>
        <w:ind w:left="1024" w:hanging="514"/>
        <w:spacing w:after="0"/>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(ll)</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PriorPlan</w:t>
      </w:r>
      <w:r>
        <w:rPr>
          <w:rFonts w:ascii="Times New Roman" w:cs="Times New Roman" w:eastAsia="Times New Roman" w:hAnsi="Times New Roman"/>
          <w:sz w:val="18"/>
          <w:szCs w:val="18"/>
          <w:color w:val="000000"/>
        </w:rPr>
        <w:t>” means the Company’s 2006 Incentive Compensation Plan.</w:t>
      </w:r>
    </w:p>
    <w:p>
      <w:pPr>
        <w:spacing w:after="0" w:line="116" w:lineRule="exact"/>
        <w:rPr>
          <w:rFonts w:ascii="Times New Roman" w:cs="Times New Roman" w:eastAsia="Times New Roman" w:hAnsi="Times New Roman"/>
          <w:sz w:val="18"/>
          <w:szCs w:val="18"/>
          <w:b w:val="1"/>
          <w:bCs w:val="1"/>
          <w:color w:val="FF0000"/>
        </w:rPr>
      </w:pPr>
    </w:p>
    <w:p>
      <w:pPr>
        <w:ind w:left="1024" w:right="60" w:hanging="514"/>
        <w:spacing w:after="0" w:line="259" w:lineRule="auto"/>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(mm)</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Related Entity</w:t>
      </w:r>
      <w:r>
        <w:rPr>
          <w:rFonts w:ascii="Times New Roman" w:cs="Times New Roman" w:eastAsia="Times New Roman" w:hAnsi="Times New Roman"/>
          <w:sz w:val="18"/>
          <w:szCs w:val="18"/>
          <w:color w:val="000000"/>
        </w:rPr>
        <w:t>” means any Subsidiary, and any business, corporation, partnership, limited liability company or other entity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69" w:lineRule="exact"/>
        <w:rPr>
          <w:rFonts w:ascii="Times New Roman" w:cs="Times New Roman" w:eastAsia="Times New Roman" w:hAnsi="Times New Roman"/>
          <w:sz w:val="18"/>
          <w:szCs w:val="18"/>
          <w:b w:val="1"/>
          <w:bCs w:val="1"/>
          <w:color w:val="FF0000"/>
        </w:rPr>
      </w:pPr>
    </w:p>
    <w:p>
      <w:pPr>
        <w:ind w:left="1024" w:right="280" w:hanging="514"/>
        <w:spacing w:after="0" w:line="262" w:lineRule="auto"/>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(nn)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Restricted Stock</w:t>
      </w:r>
      <w:r>
        <w:rPr>
          <w:rFonts w:ascii="Times New Roman" w:cs="Times New Roman" w:eastAsia="Times New Roman" w:hAnsi="Times New Roman"/>
          <w:sz w:val="18"/>
          <w:szCs w:val="18"/>
          <w:color w:val="000000"/>
        </w:rPr>
        <w:t>” means any Share issued with such risks of forfeiture and other restrictions as the Committee, in its sole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67" w:lineRule="exact"/>
        <w:rPr>
          <w:rFonts w:ascii="Times New Roman" w:cs="Times New Roman" w:eastAsia="Times New Roman" w:hAnsi="Times New Roman"/>
          <w:sz w:val="18"/>
          <w:szCs w:val="18"/>
          <w:b w:val="1"/>
          <w:bCs w:val="1"/>
          <w:color w:val="FF0000"/>
        </w:rPr>
      </w:pPr>
    </w:p>
    <w:p>
      <w:pPr>
        <w:ind w:left="1024" w:hanging="514"/>
        <w:spacing w:after="0"/>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(oo)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Restricted Stock Award</w:t>
      </w:r>
      <w:r>
        <w:rPr>
          <w:rFonts w:ascii="Times New Roman" w:cs="Times New Roman" w:eastAsia="Times New Roman" w:hAnsi="Times New Roman"/>
          <w:sz w:val="18"/>
          <w:szCs w:val="18"/>
          <w:color w:val="000000"/>
        </w:rPr>
        <w:t>” means an Award of Restricted Stock granted to a Participant under Section 7(d) hereof.</w:t>
      </w:r>
    </w:p>
    <w:p>
      <w:pPr>
        <w:spacing w:after="0" w:line="116" w:lineRule="exact"/>
        <w:rPr>
          <w:rFonts w:ascii="Times New Roman" w:cs="Times New Roman" w:eastAsia="Times New Roman" w:hAnsi="Times New Roman"/>
          <w:sz w:val="18"/>
          <w:szCs w:val="18"/>
          <w:b w:val="1"/>
          <w:bCs w:val="1"/>
          <w:color w:val="FF0000"/>
        </w:rPr>
      </w:pPr>
    </w:p>
    <w:p>
      <w:pPr>
        <w:ind w:left="1024" w:right="440" w:hanging="514"/>
        <w:spacing w:after="0" w:line="286" w:lineRule="auto"/>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(pp)</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Restricted Stock Unit</w:t>
      </w:r>
      <w:r>
        <w:rPr>
          <w:rFonts w:ascii="Times New Roman" w:cs="Times New Roman" w:eastAsia="Times New Roman" w:hAnsi="Times New Roman"/>
          <w:sz w:val="18"/>
          <w:szCs w:val="18"/>
          <w:color w:val="000000"/>
        </w:rPr>
        <w:t>” means a right to receive Shares, including Restricted Stock, cash measured based upon the value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Shares or a combination thereof, at the end of a specified deferral period, which right is subject to a risk of forfeiture.</w:t>
      </w:r>
    </w:p>
    <w:p>
      <w:pPr>
        <w:spacing w:after="0" w:line="46" w:lineRule="exact"/>
        <w:rPr>
          <w:rFonts w:ascii="Times New Roman" w:cs="Times New Roman" w:eastAsia="Times New Roman" w:hAnsi="Times New Roman"/>
          <w:sz w:val="18"/>
          <w:szCs w:val="18"/>
          <w:b w:val="1"/>
          <w:bCs w:val="1"/>
          <w:color w:val="FF0000"/>
        </w:rPr>
      </w:pPr>
    </w:p>
    <w:p>
      <w:pPr>
        <w:ind w:left="1024" w:hanging="514"/>
        <w:spacing w:after="0"/>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(qq)</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Restricted Stock Unit Award</w:t>
      </w:r>
      <w:r>
        <w:rPr>
          <w:rFonts w:ascii="Times New Roman" w:cs="Times New Roman" w:eastAsia="Times New Roman" w:hAnsi="Times New Roman"/>
          <w:sz w:val="18"/>
          <w:szCs w:val="18"/>
          <w:color w:val="000000"/>
        </w:rPr>
        <w:t>” means an Award of Restricted Stock Unit granted to a Participant under Section 7(e) hereof.</w:t>
      </w:r>
    </w:p>
    <w:p>
      <w:pPr>
        <w:spacing w:after="0" w:line="116" w:lineRule="exact"/>
        <w:rPr>
          <w:rFonts w:ascii="Times New Roman" w:cs="Times New Roman" w:eastAsia="Times New Roman" w:hAnsi="Times New Roman"/>
          <w:sz w:val="18"/>
          <w:szCs w:val="18"/>
          <w:b w:val="1"/>
          <w:bCs w:val="1"/>
          <w:color w:val="FF0000"/>
        </w:rPr>
      </w:pPr>
    </w:p>
    <w:p>
      <w:pPr>
        <w:ind w:left="1024" w:right="260" w:hanging="514"/>
        <w:spacing w:after="0" w:line="286" w:lineRule="auto"/>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(rr)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Rule 16b-3</w:t>
      </w:r>
      <w:r>
        <w:rPr>
          <w:rFonts w:ascii="Times New Roman" w:cs="Times New Roman" w:eastAsia="Times New Roman" w:hAnsi="Times New Roman"/>
          <w:sz w:val="18"/>
          <w:szCs w:val="18"/>
          <w:color w:val="000000"/>
        </w:rPr>
        <w:t>” means Rule 16b-3, as from time to time in effect and applicable to the Plan and Participants, promulgated by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Securities and Exchange Commission under Section 16 of the Exchange Act.</w:t>
      </w:r>
    </w:p>
    <w:p>
      <w:pPr>
        <w:spacing w:after="0" w:line="46" w:lineRule="exact"/>
        <w:rPr>
          <w:rFonts w:ascii="Times New Roman" w:cs="Times New Roman" w:eastAsia="Times New Roman" w:hAnsi="Times New Roman"/>
          <w:sz w:val="18"/>
          <w:szCs w:val="18"/>
          <w:b w:val="1"/>
          <w:bCs w:val="1"/>
          <w:color w:val="FF0000"/>
        </w:rPr>
      </w:pPr>
    </w:p>
    <w:p>
      <w:pPr>
        <w:ind w:left="1024" w:right="100" w:hanging="514"/>
        <w:spacing w:after="0" w:line="268" w:lineRule="auto"/>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(ss)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Shareholder Approval Date</w:t>
      </w:r>
      <w:r>
        <w:rPr>
          <w:rFonts w:ascii="Times New Roman" w:cs="Times New Roman" w:eastAsia="Times New Roman" w:hAnsi="Times New Roman"/>
          <w:sz w:val="18"/>
          <w:szCs w:val="18"/>
          <w:color w:val="000000"/>
        </w:rPr>
        <w:t>” means the date on which this Plan is approved by shareholders of the Company eligible to vote in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the election of directors, by a vote sufficient to meet the requirements </w:t>
      </w:r>
      <w:r>
        <w:rPr>
          <w:rFonts w:ascii="Times New Roman" w:cs="Times New Roman" w:eastAsia="Times New Roman" w:hAnsi="Times New Roman"/>
          <w:sz w:val="18"/>
          <w:szCs w:val="18"/>
          <w:b w:val="1"/>
          <w:bCs w:val="1"/>
          <w:color w:val="FF0000"/>
          <w:strike w:val="1"/>
        </w:rPr>
        <w:t>Sections 162(m) and</w:t>
      </w:r>
      <w:r>
        <w:rPr>
          <w:rFonts w:ascii="Times New Roman" w:cs="Times New Roman" w:eastAsia="Times New Roman" w:hAnsi="Times New Roman"/>
          <w:sz w:val="18"/>
          <w:szCs w:val="18"/>
          <w:b w:val="1"/>
          <w:bCs w:val="1"/>
          <w:u w:val="single" w:color="auto"/>
          <w:color w:val="0000FF"/>
        </w:rPr>
        <w:t>of</w:t>
      </w:r>
      <w:r>
        <w:rPr>
          <w:rFonts w:ascii="Times New Roman" w:cs="Times New Roman" w:eastAsia="Times New Roman" w:hAnsi="Times New Roman"/>
          <w:sz w:val="18"/>
          <w:szCs w:val="18"/>
          <w:color w:val="000000"/>
        </w:rPr>
        <w:t>422 of the Code, Rule 16b-3 under the Exchange Act and applicable requirements under the rules of the Listing Market.</w:t>
      </w:r>
    </w:p>
    <w:p>
      <w:pPr>
        <w:spacing w:after="0" w:line="61" w:lineRule="exact"/>
        <w:rPr>
          <w:rFonts w:ascii="Times New Roman" w:cs="Times New Roman" w:eastAsia="Times New Roman" w:hAnsi="Times New Roman"/>
          <w:sz w:val="18"/>
          <w:szCs w:val="18"/>
          <w:b w:val="1"/>
          <w:bCs w:val="1"/>
          <w:color w:val="FF0000"/>
        </w:rPr>
      </w:pPr>
    </w:p>
    <w:p>
      <w:pPr>
        <w:ind w:left="1024" w:right="500" w:hanging="514"/>
        <w:spacing w:after="0" w:line="286" w:lineRule="auto"/>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(tt)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Shares</w:t>
      </w:r>
      <w:r>
        <w:rPr>
          <w:rFonts w:ascii="Times New Roman" w:cs="Times New Roman" w:eastAsia="Times New Roman" w:hAnsi="Times New Roman"/>
          <w:sz w:val="18"/>
          <w:szCs w:val="18"/>
          <w:color w:val="000000"/>
        </w:rPr>
        <w:t>” means the shares of common stock of the Company, par value $.01 per share, and such other securities as may be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substituted (or resubstituted) for Shares pursuant to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000000"/>
        </w:rPr>
        <w:t>(c) hereof.</w:t>
      </w:r>
    </w:p>
    <w:p>
      <w:pPr>
        <w:spacing w:after="0" w:line="46" w:lineRule="exact"/>
        <w:rPr>
          <w:rFonts w:ascii="Times New Roman" w:cs="Times New Roman" w:eastAsia="Times New Roman" w:hAnsi="Times New Roman"/>
          <w:sz w:val="18"/>
          <w:szCs w:val="18"/>
          <w:b w:val="1"/>
          <w:bCs w:val="1"/>
          <w:color w:val="FF0000"/>
        </w:rPr>
      </w:pPr>
    </w:p>
    <w:p>
      <w:pPr>
        <w:ind w:left="1024" w:hanging="514"/>
        <w:spacing w:after="0"/>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(uu)</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Stock Appreciation Right</w:t>
      </w:r>
      <w:r>
        <w:rPr>
          <w:rFonts w:ascii="Times New Roman" w:cs="Times New Roman" w:eastAsia="Times New Roman" w:hAnsi="Times New Roman"/>
          <w:sz w:val="18"/>
          <w:szCs w:val="18"/>
          <w:color w:val="000000"/>
        </w:rPr>
        <w:t>” means a right granted to a Participant under Section 7(c) hereof.</w:t>
      </w:r>
    </w:p>
    <w:p>
      <w:pPr>
        <w:spacing w:after="0" w:line="116" w:lineRule="exact"/>
        <w:rPr>
          <w:rFonts w:ascii="Times New Roman" w:cs="Times New Roman" w:eastAsia="Times New Roman" w:hAnsi="Times New Roman"/>
          <w:sz w:val="18"/>
          <w:szCs w:val="18"/>
          <w:b w:val="1"/>
          <w:bCs w:val="1"/>
          <w:color w:val="FF0000"/>
        </w:rPr>
      </w:pPr>
    </w:p>
    <w:p>
      <w:pPr>
        <w:jc w:val="both"/>
        <w:ind w:left="1024" w:right="180" w:hanging="514"/>
        <w:spacing w:after="0" w:line="262" w:lineRule="auto"/>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(vv)</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Subsidiary</w:t>
      </w:r>
      <w:r>
        <w:rPr>
          <w:rFonts w:ascii="Times New Roman" w:cs="Times New Roman" w:eastAsia="Times New Roman" w:hAnsi="Times New Roman"/>
          <w:sz w:val="18"/>
          <w:szCs w:val="18"/>
          <w:color w:val="000000"/>
        </w:rPr>
        <w:t>” means any corporation or other entity in which the Company has a direct or indirect ownership interest of 50%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67" w:lineRule="exact"/>
        <w:rPr>
          <w:rFonts w:ascii="Times New Roman" w:cs="Times New Roman" w:eastAsia="Times New Roman" w:hAnsi="Times New Roman"/>
          <w:sz w:val="18"/>
          <w:szCs w:val="18"/>
          <w:b w:val="1"/>
          <w:bCs w:val="1"/>
          <w:color w:val="FF0000"/>
        </w:rPr>
      </w:pPr>
    </w:p>
    <w:p>
      <w:pPr>
        <w:ind w:left="1024" w:right="40" w:hanging="514"/>
        <w:spacing w:after="0" w:line="268" w:lineRule="auto"/>
        <w:tabs>
          <w:tab w:leader="none" w:pos="1024" w:val="left"/>
        </w:tabs>
        <w:numPr>
          <w:ilvl w:val="1"/>
          <w:numId w:val="61"/>
        </w:numPr>
        <w:rPr>
          <w:rFonts w:ascii="Times New Roman" w:cs="Times New Roman" w:eastAsia="Times New Roman" w:hAnsi="Times New Roman"/>
          <w:sz w:val="18"/>
          <w:szCs w:val="18"/>
          <w:b w:val="1"/>
          <w:bCs w:val="1"/>
          <w:color w:val="FF0000"/>
        </w:rPr>
      </w:pPr>
      <w:r>
        <w:rPr>
          <w:rFonts w:ascii="Times New Roman" w:cs="Times New Roman" w:eastAsia="Times New Roman" w:hAnsi="Times New Roman"/>
          <w:sz w:val="18"/>
          <w:szCs w:val="18"/>
          <w:b w:val="1"/>
          <w:bCs w:val="1"/>
          <w:color w:val="FF0000"/>
          <w:strike w:val="1"/>
        </w:rPr>
        <w:t>(ww)</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Substitute Awards</w:t>
      </w:r>
      <w:r>
        <w:rPr>
          <w:rFonts w:ascii="Times New Roman" w:cs="Times New Roman" w:eastAsia="Times New Roman" w:hAnsi="Times New Roman"/>
          <w:sz w:val="18"/>
          <w:szCs w:val="18"/>
          <w:color w:val="000000"/>
        </w:rPr>
        <w:t>” shall mean Awards granted or Shares issued by the Company in assumption of, or in substitution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exchange for, Awards previously granted, or the right or obligation to make future Awards, by a company acquired by the Company or any Related Entity or with which the Company or any Related Entity combines.</w:t>
      </w:r>
    </w:p>
    <w:p>
      <w:pPr>
        <w:spacing w:after="0" w:line="61" w:lineRule="exact"/>
        <w:rPr>
          <w:rFonts w:ascii="Times New Roman" w:cs="Times New Roman" w:eastAsia="Times New Roman" w:hAnsi="Times New Roman"/>
          <w:sz w:val="18"/>
          <w:szCs w:val="18"/>
          <w:b w:val="1"/>
          <w:bCs w:val="1"/>
          <w:color w:val="FF0000"/>
        </w:rPr>
      </w:pPr>
    </w:p>
    <w:p>
      <w:pPr>
        <w:ind w:left="504" w:hanging="504"/>
        <w:spacing w:after="0"/>
        <w:tabs>
          <w:tab w:leader="none" w:pos="504"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b w:val="1"/>
          <w:bCs w:val="1"/>
          <w:i w:val="1"/>
          <w:iCs w:val="1"/>
          <w:color w:val="auto"/>
        </w:rPr>
      </w:pPr>
    </w:p>
    <w:p>
      <w:pPr>
        <w:ind w:left="1024" w:hanging="514"/>
        <w:spacing w:after="0" w:line="253" w:lineRule="auto"/>
        <w:tabs>
          <w:tab w:leader="none" w:pos="1024" w:val="left"/>
        </w:tabs>
        <w:numPr>
          <w:ilvl w:val="1"/>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Authority of the Committee</w:t>
      </w:r>
      <w:r>
        <w:rPr>
          <w:rFonts w:ascii="Times New Roman" w:cs="Times New Roman" w:eastAsia="Times New Roman" w:hAnsi="Times New Roman"/>
          <w:sz w:val="18"/>
          <w:szCs w:val="18"/>
          <w:color w:val="auto"/>
        </w:rPr>
        <w:t>. The Plan shall be administered by the Committee, except to the extent the Board elects to administer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80" w:lineRule="exact"/>
        <w:rPr>
          <w:rFonts w:ascii="Times New Roman" w:cs="Times New Roman" w:eastAsia="Times New Roman" w:hAnsi="Times New Roman"/>
          <w:sz w:val="18"/>
          <w:szCs w:val="18"/>
          <w:b w:val="1"/>
          <w:bCs w:val="1"/>
          <w:i w:val="1"/>
          <w:iCs w:val="1"/>
          <w:color w:val="auto"/>
        </w:rPr>
      </w:pPr>
    </w:p>
    <w:p>
      <w:pPr>
        <w:ind w:left="1024" w:hanging="514"/>
        <w:spacing w:after="0"/>
        <w:tabs>
          <w:tab w:leader="none" w:pos="1024" w:val="left"/>
        </w:tabs>
        <w:numPr>
          <w:ilvl w:val="1"/>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Manner of Exercise of Committee Authority</w:t>
      </w:r>
      <w:r>
        <w:rPr>
          <w:rFonts w:ascii="Times New Roman" w:cs="Times New Roman" w:eastAsia="Times New Roman" w:hAnsi="Times New Roman"/>
          <w:sz w:val="18"/>
          <w:szCs w:val="18"/>
          <w:color w:val="auto"/>
        </w:rPr>
        <w:t>. The Committee, and not the Board, shall exercise sole and exclusive discretion (i) on</w:t>
      </w:r>
    </w:p>
    <w:p>
      <w:pPr>
        <w:spacing w:after="0" w:line="31" w:lineRule="exact"/>
        <w:rPr>
          <w:sz w:val="20"/>
          <w:szCs w:val="20"/>
          <w:color w:val="auto"/>
        </w:rPr>
      </w:pPr>
    </w:p>
    <w:p>
      <w:pPr>
        <w:ind w:left="1024"/>
        <w:spacing w:after="0" w:line="250" w:lineRule="auto"/>
        <w:rPr>
          <w:sz w:val="20"/>
          <w:szCs w:val="20"/>
          <w:color w:val="auto"/>
        </w:rPr>
      </w:pPr>
      <w:r>
        <w:rPr>
          <w:rFonts w:ascii="Times New Roman" w:cs="Times New Roman" w:eastAsia="Times New Roman" w:hAnsi="Times New Roman"/>
          <w:sz w:val="18"/>
          <w:szCs w:val="18"/>
          <w:color w:val="auto"/>
        </w:rPr>
        <w:t>any matter relating to a Participant then subject to Section 16 of the Exchange Act with respect to the Company to the extent necessary in order that transactions by such Participant shall be exempt under Rule 16b-3</w:t>
      </w:r>
    </w:p>
    <w:p>
      <w:pPr>
        <w:jc w:val="center"/>
        <w:ind w:right="496"/>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472440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088" w:right="339" w:bottom="1440" w:gutter="0" w:footer="0" w:header="0"/>
        </w:sectPr>
      </w:pPr>
    </w:p>
    <w:bookmarkStart w:id="66" w:name="page67"/>
    <w:bookmarkEnd w:id="66"/>
    <w:p>
      <w:pPr>
        <w:ind w:left="1024" w:right="20"/>
        <w:spacing w:after="0" w:line="253" w:lineRule="auto"/>
        <w:rPr>
          <w:sz w:val="20"/>
          <w:szCs w:val="20"/>
          <w:color w:val="auto"/>
        </w:rPr>
      </w:pPr>
      <w:r>
        <w:rPr>
          <w:rFonts w:ascii="Times New Roman" w:cs="Times New Roman" w:eastAsia="Times New Roman" w:hAnsi="Times New Roman"/>
          <w:sz w:val="18"/>
          <w:szCs w:val="18"/>
          <w:color w:val="auto"/>
        </w:rPr>
        <w:t>under the Exchange Act</w:t>
      </w:r>
      <w:r>
        <w:rPr>
          <w:rFonts w:ascii="Times New Roman" w:cs="Times New Roman" w:eastAsia="Times New Roman" w:hAnsi="Times New Roman"/>
          <w:sz w:val="18"/>
          <w:szCs w:val="18"/>
          <w:b w:val="1"/>
          <w:bCs w:val="1"/>
          <w:color w:val="FF0000"/>
          <w:strike w:val="1"/>
        </w:rPr>
        <w:t>, (ii) with respect to any Award that is intended to qualify as “performance-based compensation”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Section 162(m), to the extent necessary in order for such Award to so qualify</w:t>
      </w:r>
      <w:r>
        <w:rPr>
          <w:rFonts w:ascii="Times New Roman" w:cs="Times New Roman" w:eastAsia="Times New Roman" w:hAnsi="Times New Roman"/>
          <w:sz w:val="18"/>
          <w:szCs w:val="18"/>
          <w:color w:val="000000"/>
        </w:rPr>
        <w:t>; and (ii</w:t>
      </w:r>
      <w:r>
        <w:rPr>
          <w:rFonts w:ascii="Times New Roman" w:cs="Times New Roman" w:eastAsia="Times New Roman" w:hAnsi="Times New Roman"/>
          <w:sz w:val="18"/>
          <w:szCs w:val="18"/>
          <w:b w:val="1"/>
          <w:bCs w:val="1"/>
          <w:color w:val="FF0000"/>
          <w:strike w:val="1"/>
        </w:rPr>
        <w:t>i</w:t>
      </w:r>
      <w:r>
        <w:rPr>
          <w:rFonts w:ascii="Times New Roman" w:cs="Times New Roman" w:eastAsia="Times New Roman" w:hAnsi="Times New Roman"/>
          <w:sz w:val="18"/>
          <w:szCs w:val="18"/>
          <w:color w:val="000000"/>
        </w:rPr>
        <w:t>) with respect to any Award to an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Independent Director. Any action of the Committee shall be final, conclusive and binding on all persons, including the Company, its Related Entities, Eligible Persons, Participants, Beneficiaries, transferees under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000000"/>
        </w:rPr>
        <w:t xml:space="preserve">(b)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w:t>
      </w:r>
      <w:r>
        <w:rPr>
          <w:rFonts w:ascii="Times New Roman" w:cs="Times New Roman" w:eastAsia="Times New Roman" w:hAnsi="Times New Roman"/>
          <w:sz w:val="18"/>
          <w:szCs w:val="18"/>
          <w:b w:val="1"/>
          <w:bCs w:val="1"/>
          <w:color w:val="FF0000"/>
        </w:rPr>
        <w:t>and will not cause Awards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intended to qualify as “performance-based compensation” under Code Section 162(m) to fail to so qualify</w:t>
      </w:r>
      <w:r>
        <w:rPr>
          <w:rFonts w:ascii="Times New Roman" w:cs="Times New Roman" w:eastAsia="Times New Roman" w:hAnsi="Times New Roman"/>
          <w:sz w:val="18"/>
          <w:szCs w:val="18"/>
          <w:color w:val="000000"/>
        </w:rPr>
        <w:t>. The Committee may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appoint agents to assist it in administering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-354965</wp:posOffset>
            </wp:positionV>
            <wp:extent cx="13290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58" w:lineRule="exact"/>
        <w:rPr>
          <w:sz w:val="20"/>
          <w:szCs w:val="20"/>
          <w:color w:val="auto"/>
        </w:rPr>
      </w:pPr>
    </w:p>
    <w:p>
      <w:pPr>
        <w:ind w:left="1024" w:hanging="514"/>
        <w:spacing w:after="0" w:line="257" w:lineRule="auto"/>
        <w:tabs>
          <w:tab w:leader="none" w:pos="1024" w:val="left"/>
        </w:tabs>
        <w:numPr>
          <w:ilvl w:val="1"/>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Limitation of Liability</w:t>
      </w:r>
      <w:r>
        <w:rPr>
          <w:rFonts w:ascii="Times New Roman" w:cs="Times New Roman" w:eastAsia="Times New Roman" w:hAnsi="Times New Roman"/>
          <w:sz w:val="18"/>
          <w:szCs w:val="18"/>
          <w:color w:val="auto"/>
        </w:rPr>
        <w:t>. The Committee and the Board, and each member thereof, shall be entitled to, in good faith, rely or act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72" w:lineRule="exact"/>
        <w:rPr>
          <w:rFonts w:ascii="Times New Roman" w:cs="Times New Roman" w:eastAsia="Times New Roman" w:hAnsi="Times New Roman"/>
          <w:sz w:val="18"/>
          <w:szCs w:val="18"/>
          <w:b w:val="1"/>
          <w:bCs w:val="1"/>
          <w:i w:val="1"/>
          <w:iCs w:val="1"/>
          <w:color w:val="auto"/>
        </w:rPr>
      </w:pPr>
    </w:p>
    <w:p>
      <w:pPr>
        <w:ind w:left="504" w:hanging="504"/>
        <w:spacing w:after="0"/>
        <w:tabs>
          <w:tab w:leader="none" w:pos="504"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Shares Subject to Plan</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b w:val="1"/>
          <w:bCs w:val="1"/>
          <w:i w:val="1"/>
          <w:iCs w:val="1"/>
          <w:color w:val="auto"/>
        </w:rPr>
      </w:pPr>
    </w:p>
    <w:p>
      <w:pPr>
        <w:ind w:left="1024" w:right="40" w:hanging="514"/>
        <w:spacing w:after="0" w:line="255" w:lineRule="auto"/>
        <w:tabs>
          <w:tab w:leader="none" w:pos="1024" w:val="left"/>
        </w:tabs>
        <w:numPr>
          <w:ilvl w:val="1"/>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Limitation on Overall Number of Shares Available for Delivery Under Plan</w:t>
      </w:r>
      <w:r>
        <w:rPr>
          <w:rFonts w:ascii="Times New Roman" w:cs="Times New Roman" w:eastAsia="Times New Roman" w:hAnsi="Times New Roman"/>
          <w:sz w:val="18"/>
          <w:szCs w:val="18"/>
          <w:color w:val="auto"/>
        </w:rPr>
        <w:t>. Subject to adjustment as provided in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hereof, the aggregate number of Shares reserved and available for delivery under the Plan shall be equal to the sum of (i) </w:t>
      </w:r>
      <w:r>
        <w:rPr>
          <w:rFonts w:ascii="Times New Roman" w:cs="Times New Roman" w:eastAsia="Times New Roman" w:hAnsi="Times New Roman"/>
          <w:sz w:val="18"/>
          <w:szCs w:val="18"/>
          <w:b w:val="1"/>
          <w:bCs w:val="1"/>
          <w:color w:val="FF0000"/>
          <w:strike w:val="1"/>
        </w:rPr>
        <w:t>14,595,000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20,745,000</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Shares plus (ii) the number of Shares available for issuance but not granted under the Prior Plan, and (iii) the number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Shares that are credited back to the maximum Share limitation under Section 4(c)(i) hereof. Shares issued in respect of any Full Value Award granted under the Plan shall be counted against the share limit as 1.9 Shares of stock for every one Share actually issued in connection with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color w:val="000000"/>
        </w:rPr>
        <w:t xml:space="preserv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74" w:lineRule="exact"/>
        <w:rPr>
          <w:rFonts w:ascii="Times New Roman" w:cs="Times New Roman" w:eastAsia="Times New Roman" w:hAnsi="Times New Roman"/>
          <w:sz w:val="18"/>
          <w:szCs w:val="18"/>
          <w:b w:val="1"/>
          <w:bCs w:val="1"/>
          <w:i w:val="1"/>
          <w:iCs w:val="1"/>
          <w:color w:val="auto"/>
        </w:rPr>
      </w:pPr>
    </w:p>
    <w:p>
      <w:pPr>
        <w:ind w:left="1024" w:right="60" w:hanging="514"/>
        <w:spacing w:after="0" w:line="259" w:lineRule="auto"/>
        <w:tabs>
          <w:tab w:leader="none" w:pos="1024" w:val="left"/>
        </w:tabs>
        <w:numPr>
          <w:ilvl w:val="1"/>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Application of Limitation to Grants of Award</w:t>
      </w:r>
      <w:r>
        <w:rPr>
          <w:rFonts w:ascii="Times New Roman" w:cs="Times New Roman" w:eastAsia="Times New Roman" w:hAnsi="Times New Roman"/>
          <w:sz w:val="18"/>
          <w:szCs w:val="18"/>
          <w:color w:val="auto"/>
        </w:rPr>
        <w:t>. No Award may be granted if the number of Shares that would be counted against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69" w:lineRule="exact"/>
        <w:rPr>
          <w:rFonts w:ascii="Times New Roman" w:cs="Times New Roman" w:eastAsia="Times New Roman" w:hAnsi="Times New Roman"/>
          <w:sz w:val="18"/>
          <w:szCs w:val="18"/>
          <w:b w:val="1"/>
          <w:bCs w:val="1"/>
          <w:i w:val="1"/>
          <w:iCs w:val="1"/>
          <w:color w:val="auto"/>
        </w:rPr>
      </w:pPr>
    </w:p>
    <w:p>
      <w:pPr>
        <w:ind w:left="1024" w:hanging="514"/>
        <w:spacing w:after="0"/>
        <w:tabs>
          <w:tab w:leader="none" w:pos="1024" w:val="left"/>
        </w:tabs>
        <w:numPr>
          <w:ilvl w:val="1"/>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Availability of Shares Not Delivered under Awards and Adjustments to Limits</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b w:val="1"/>
          <w:bCs w:val="1"/>
          <w:i w:val="1"/>
          <w:iCs w:val="1"/>
          <w:color w:val="auto"/>
        </w:rPr>
      </w:pPr>
    </w:p>
    <w:p>
      <w:pPr>
        <w:ind w:left="1524" w:right="20" w:hanging="505"/>
        <w:spacing w:after="0" w:line="254" w:lineRule="auto"/>
        <w:tabs>
          <w:tab w:leader="none" w:pos="152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81" w:lineRule="exact"/>
        <w:rPr>
          <w:rFonts w:ascii="Times New Roman" w:cs="Times New Roman" w:eastAsia="Times New Roman" w:hAnsi="Times New Roman"/>
          <w:sz w:val="18"/>
          <w:szCs w:val="18"/>
          <w:color w:val="auto"/>
        </w:rPr>
      </w:pPr>
    </w:p>
    <w:p>
      <w:pPr>
        <w:ind w:left="1524" w:right="100" w:hanging="505"/>
        <w:spacing w:after="0" w:line="260" w:lineRule="auto"/>
        <w:tabs>
          <w:tab w:leader="none" w:pos="152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73" w:lineRule="exact"/>
        <w:rPr>
          <w:rFonts w:ascii="Times New Roman" w:cs="Times New Roman" w:eastAsia="Times New Roman" w:hAnsi="Times New Roman"/>
          <w:sz w:val="18"/>
          <w:szCs w:val="18"/>
          <w:color w:val="auto"/>
        </w:rPr>
      </w:pPr>
    </w:p>
    <w:p>
      <w:pPr>
        <w:ind w:left="1524" w:right="80" w:hanging="505"/>
        <w:spacing w:after="0" w:line="272" w:lineRule="auto"/>
        <w:tabs>
          <w:tab w:leader="none" w:pos="1524"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w:t>
      </w:r>
    </w:p>
    <w:p>
      <w:pPr>
        <w:spacing w:after="0" w:line="1" w:lineRule="exact"/>
        <w:rPr>
          <w:sz w:val="20"/>
          <w:szCs w:val="20"/>
          <w:color w:val="auto"/>
        </w:rPr>
      </w:pPr>
    </w:p>
    <w:p>
      <w:pPr>
        <w:ind w:left="1524" w:right="220"/>
        <w:spacing w:after="0" w:line="250" w:lineRule="auto"/>
        <w:rPr>
          <w:sz w:val="20"/>
          <w:szCs w:val="20"/>
          <w:color w:val="auto"/>
        </w:rPr>
      </w:pPr>
      <w:r>
        <w:rPr>
          <w:rFonts w:ascii="Times New Roman" w:cs="Times New Roman" w:eastAsia="Times New Roman" w:hAnsi="Times New Roman"/>
          <w:sz w:val="18"/>
          <w:szCs w:val="18"/>
          <w:color w:val="auto"/>
        </w:rPr>
        <w:t>contemplation of such acquisition or combination, the shares available for delivery pursuant to the terms of such pre-existing plan (as adjusted, to the extent</w:t>
      </w:r>
    </w:p>
    <w:p>
      <w:pPr>
        <w:jc w:val="center"/>
        <w:ind w:right="496"/>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472440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088" w:right="339" w:bottom="1440" w:gutter="0" w:footer="0" w:header="0"/>
        </w:sectPr>
      </w:pPr>
    </w:p>
    <w:bookmarkStart w:id="67" w:name="page68"/>
    <w:bookmarkEnd w:id="67"/>
    <w:p>
      <w:pPr>
        <w:ind w:left="1524"/>
        <w:spacing w:after="0" w:line="255" w:lineRule="auto"/>
        <w:rPr>
          <w:sz w:val="20"/>
          <w:szCs w:val="20"/>
          <w:color w:val="auto"/>
        </w:rPr>
      </w:pPr>
      <w:r>
        <w:rPr>
          <w:rFonts w:ascii="Times New Roman" w:cs="Times New Roman" w:eastAsia="Times New Roman" w:hAnsi="Times New Roman"/>
          <w:sz w:val="18"/>
          <w:szCs w:val="18"/>
          <w:color w:val="auto"/>
        </w:rPr>
        <w:t>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75" w:lineRule="exact"/>
        <w:rPr>
          <w:sz w:val="20"/>
          <w:szCs w:val="20"/>
          <w:color w:val="auto"/>
        </w:rPr>
      </w:pPr>
    </w:p>
    <w:p>
      <w:pPr>
        <w:ind w:left="1524" w:right="140" w:hanging="505"/>
        <w:spacing w:after="0" w:line="262" w:lineRule="auto"/>
        <w:tabs>
          <w:tab w:leader="none" w:pos="152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4(c) to the contrary but subject to adjustment as provided in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 xml:space="preserve">(c) hereof, the maximum aggregate number of Shares that may be delivered under the Plan as a result of the exercise of the Incentive Stock Options shall be </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20,7</w:t>
      </w:r>
      <w:r>
        <w:rPr>
          <w:rFonts w:ascii="Times New Roman" w:cs="Times New Roman" w:eastAsia="Times New Roman" w:hAnsi="Times New Roman"/>
          <w:sz w:val="18"/>
          <w:szCs w:val="18"/>
          <w:b w:val="1"/>
          <w:bCs w:val="1"/>
          <w:color w:val="0000FF"/>
        </w:rPr>
        <w:t>4</w:t>
      </w:r>
      <w:r>
        <w:rPr>
          <w:rFonts w:ascii="Times New Roman" w:cs="Times New Roman" w:eastAsia="Times New Roman" w:hAnsi="Times New Roman"/>
          <w:sz w:val="18"/>
          <w:szCs w:val="18"/>
          <w:b w:val="1"/>
          <w:bCs w:val="1"/>
          <w:color w:val="FF0000"/>
          <w:strike w:val="1"/>
        </w:rPr>
        <w:t>,59</w:t>
      </w:r>
      <w:r>
        <w:rPr>
          <w:rFonts w:ascii="Times New Roman" w:cs="Times New Roman" w:eastAsia="Times New Roman" w:hAnsi="Times New Roman"/>
          <w:sz w:val="18"/>
          <w:szCs w:val="18"/>
          <w:color w:val="FF0000"/>
        </w:rPr>
        <w:t>5,000 Shares</w:t>
      </w:r>
      <w:r>
        <w:rPr>
          <w:rFonts w:ascii="Times New Roman" w:cs="Times New Roman" w:eastAsia="Times New Roman" w:hAnsi="Times New Roman"/>
          <w:sz w:val="18"/>
          <w:szCs w:val="18"/>
          <w:color w:val="auto"/>
        </w:rPr>
        <w:t>. In no event shall any Incentive Stock Options be granted under the Plan after the tenth anniversary of the date on which the Board adopts the Plan.</w:t>
      </w:r>
    </w:p>
    <w:p>
      <w:pPr>
        <w:spacing w:after="0" w:line="67" w:lineRule="exact"/>
        <w:rPr>
          <w:rFonts w:ascii="Times New Roman" w:cs="Times New Roman" w:eastAsia="Times New Roman" w:hAnsi="Times New Roman"/>
          <w:sz w:val="18"/>
          <w:szCs w:val="18"/>
          <w:color w:val="auto"/>
        </w:rPr>
      </w:pPr>
    </w:p>
    <w:p>
      <w:pPr>
        <w:ind w:left="1524" w:hanging="505"/>
        <w:spacing w:after="0" w:line="262" w:lineRule="auto"/>
        <w:tabs>
          <w:tab w:leader="none" w:pos="152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4 to the contrary, but subject to adjustment as provided in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67" w:lineRule="exact"/>
        <w:rPr>
          <w:rFonts w:ascii="Times New Roman" w:cs="Times New Roman" w:eastAsia="Times New Roman" w:hAnsi="Times New Roman"/>
          <w:sz w:val="18"/>
          <w:szCs w:val="18"/>
          <w:color w:val="auto"/>
        </w:rPr>
      </w:pPr>
    </w:p>
    <w:p>
      <w:pPr>
        <w:ind w:left="1024" w:hanging="514"/>
        <w:spacing w:after="0"/>
        <w:tabs>
          <w:tab w:leader="none" w:pos="1024" w:val="left"/>
        </w:tabs>
        <w:numPr>
          <w:ilvl w:val="1"/>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Further Awards Under Prior Plan</w:t>
      </w:r>
      <w:r>
        <w:rPr>
          <w:rFonts w:ascii="Times New Roman" w:cs="Times New Roman" w:eastAsia="Times New Roman" w:hAnsi="Times New Roman"/>
          <w:sz w:val="18"/>
          <w:szCs w:val="18"/>
          <w:color w:val="auto"/>
        </w:rPr>
        <w:t>. No further awards shall be made under the Prior Plan after July 31, 2016.</w:t>
      </w:r>
    </w:p>
    <w:p>
      <w:pPr>
        <w:spacing w:after="0" w:line="116" w:lineRule="exact"/>
        <w:rPr>
          <w:rFonts w:ascii="Times New Roman" w:cs="Times New Roman" w:eastAsia="Times New Roman" w:hAnsi="Times New Roman"/>
          <w:sz w:val="18"/>
          <w:szCs w:val="18"/>
          <w:b w:val="1"/>
          <w:bCs w:val="1"/>
          <w:i w:val="1"/>
          <w:iCs w:val="1"/>
          <w:color w:val="auto"/>
        </w:rPr>
      </w:pPr>
    </w:p>
    <w:p>
      <w:pPr>
        <w:jc w:val="both"/>
        <w:ind w:left="504" w:right="40" w:hanging="504"/>
        <w:spacing w:after="0" w:line="278" w:lineRule="auto"/>
        <w:tabs>
          <w:tab w:leader="none" w:pos="504" w:val="left"/>
        </w:tabs>
        <w:numPr>
          <w:ilvl w:val="0"/>
          <w:numId w:val="6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Eligibility; Per-Participant Limitations</w:t>
      </w:r>
      <w:r>
        <w:rPr>
          <w:rFonts w:ascii="Times New Roman" w:cs="Times New Roman" w:eastAsia="Times New Roman" w:hAnsi="Times New Roman"/>
          <w:sz w:val="17"/>
          <w:szCs w:val="17"/>
          <w:color w:val="auto"/>
        </w:rPr>
        <w:t>. Awards may be granted under the Plan only to Eligible Persons. Subject to adjustment as provided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Section 1</w:t>
      </w:r>
      <w:r>
        <w:rPr>
          <w:rFonts w:ascii="Times New Roman" w:cs="Times New Roman" w:eastAsia="Times New Roman" w:hAnsi="Times New Roman"/>
          <w:sz w:val="17"/>
          <w:szCs w:val="17"/>
          <w:b w:val="1"/>
          <w:bCs w:val="1"/>
          <w:color w:val="FF0000"/>
          <w:strike w:val="1"/>
        </w:rPr>
        <w:t>1</w:t>
      </w:r>
      <w:r>
        <w:rPr>
          <w:rFonts w:ascii="Times New Roman" w:cs="Times New Roman" w:eastAsia="Times New Roman" w:hAnsi="Times New Roman"/>
          <w:sz w:val="17"/>
          <w:szCs w:val="17"/>
          <w:b w:val="1"/>
          <w:bCs w:val="1"/>
          <w:u w:val="single" w:color="auto"/>
          <w:color w:val="0000FF"/>
        </w:rPr>
        <w:t>0</w:t>
      </w:r>
      <w:r>
        <w:rPr>
          <w:rFonts w:ascii="Times New Roman" w:cs="Times New Roman" w:eastAsia="Times New Roman" w:hAnsi="Times New Roman"/>
          <w:sz w:val="17"/>
          <w:szCs w:val="17"/>
          <w:color w:val="auto"/>
        </w:rPr>
        <w:t>(c) of this Plan, in any fiscal year of the Company during any part of which the Plan is in effect, no Participant may be granted</w:t>
      </w:r>
    </w:p>
    <w:p>
      <w:pPr>
        <w:spacing w:after="0" w:line="1" w:lineRule="exact"/>
        <w:rPr>
          <w:rFonts w:ascii="Times New Roman" w:cs="Times New Roman" w:eastAsia="Times New Roman" w:hAnsi="Times New Roman"/>
          <w:sz w:val="17"/>
          <w:szCs w:val="17"/>
          <w:b w:val="1"/>
          <w:bCs w:val="1"/>
          <w:i w:val="1"/>
          <w:iCs w:val="1"/>
          <w:color w:val="auto"/>
        </w:rPr>
      </w:pPr>
    </w:p>
    <w:p>
      <w:pPr>
        <w:ind w:left="504" w:right="60"/>
        <w:spacing w:after="0" w:line="25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 xml:space="preserve">(i) Options and/or Stock Appreciation Rights with respect to more than 1,000,000 Shares or (ii) Performance Shares </w:t>
      </w:r>
      <w:r>
        <w:rPr>
          <w:rFonts w:ascii="Times New Roman" w:cs="Times New Roman" w:eastAsia="Times New Roman" w:hAnsi="Times New Roman"/>
          <w:sz w:val="18"/>
          <w:szCs w:val="18"/>
          <w:b w:val="1"/>
          <w:bCs w:val="1"/>
          <w:color w:val="FF0000"/>
          <w:strike w:val="1"/>
        </w:rPr>
        <w:t>that are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Section 9 hereof</w:t>
      </w:r>
      <w:r>
        <w:rPr>
          <w:rFonts w:ascii="Times New Roman" w:cs="Times New Roman" w:eastAsia="Times New Roman" w:hAnsi="Times New Roman"/>
          <w:sz w:val="18"/>
          <w:szCs w:val="18"/>
          <w:color w:val="000000"/>
        </w:rPr>
        <w:t>, with respect to more than 1,000,000 Shares. In addition, the maximum dollar value payable to any one Participant with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respect to Performance Units </w:t>
      </w:r>
      <w:r>
        <w:rPr>
          <w:rFonts w:ascii="Times New Roman" w:cs="Times New Roman" w:eastAsia="Times New Roman" w:hAnsi="Times New Roman"/>
          <w:sz w:val="18"/>
          <w:szCs w:val="18"/>
          <w:b w:val="1"/>
          <w:bCs w:val="1"/>
          <w:color w:val="FF0000"/>
          <w:strike w:val="1"/>
        </w:rPr>
        <w:t>that are subject to Section 9 hereof</w:t>
      </w:r>
      <w:r>
        <w:rPr>
          <w:rFonts w:ascii="Times New Roman" w:cs="Times New Roman" w:eastAsia="Times New Roman" w:hAnsi="Times New Roman"/>
          <w:sz w:val="18"/>
          <w:szCs w:val="18"/>
          <w:color w:val="000000"/>
        </w:rPr>
        <w:t xml:space="preserve">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75" w:lineRule="exact"/>
        <w:rPr>
          <w:rFonts w:ascii="Times New Roman" w:cs="Times New Roman" w:eastAsia="Times New Roman" w:hAnsi="Times New Roman"/>
          <w:sz w:val="17"/>
          <w:szCs w:val="17"/>
          <w:b w:val="1"/>
          <w:bCs w:val="1"/>
          <w:i w:val="1"/>
          <w:iCs w:val="1"/>
          <w:color w:val="auto"/>
        </w:rPr>
      </w:pPr>
    </w:p>
    <w:p>
      <w:pPr>
        <w:ind w:left="504" w:hanging="504"/>
        <w:spacing w:after="0" w:line="257" w:lineRule="auto"/>
        <w:tabs>
          <w:tab w:leader="none" w:pos="504"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Award Vesting Limitations</w:t>
      </w:r>
      <w:r>
        <w:rPr>
          <w:rFonts w:ascii="Times New Roman" w:cs="Times New Roman" w:eastAsia="Times New Roman" w:hAnsi="Times New Roman"/>
          <w:sz w:val="18"/>
          <w:szCs w:val="18"/>
          <w:color w:val="auto"/>
        </w:rPr>
        <w:t>. Notwithstanding any other provision of the Plan to the contrary, but subject to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Plan,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72" w:lineRule="exact"/>
        <w:rPr>
          <w:rFonts w:ascii="Times New Roman" w:cs="Times New Roman" w:eastAsia="Times New Roman" w:hAnsi="Times New Roman"/>
          <w:sz w:val="18"/>
          <w:szCs w:val="18"/>
          <w:b w:val="1"/>
          <w:bCs w:val="1"/>
          <w:i w:val="1"/>
          <w:iCs w:val="1"/>
          <w:color w:val="auto"/>
        </w:rPr>
      </w:pPr>
    </w:p>
    <w:p>
      <w:pPr>
        <w:ind w:left="504" w:hanging="504"/>
        <w:spacing w:after="0"/>
        <w:tabs>
          <w:tab w:leader="none" w:pos="504"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Specific Terms of Awards</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b w:val="1"/>
          <w:bCs w:val="1"/>
          <w:i w:val="1"/>
          <w:iCs w:val="1"/>
          <w:color w:val="auto"/>
        </w:rPr>
      </w:pPr>
    </w:p>
    <w:p>
      <w:pPr>
        <w:ind w:left="1024" w:right="40" w:hanging="514"/>
        <w:spacing w:after="0" w:line="254" w:lineRule="auto"/>
        <w:tabs>
          <w:tab w:leader="none" w:pos="1024" w:val="left"/>
        </w:tabs>
        <w:numPr>
          <w:ilvl w:val="1"/>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Awards may be granted on the terms and conditions set forth in this Section 7. In addition, the Committee may impose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Award or the exercise thereof, at the date of grant or thereafter (subject to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78" w:lineRule="exact"/>
        <w:rPr>
          <w:rFonts w:ascii="Times New Roman" w:cs="Times New Roman" w:eastAsia="Times New Roman" w:hAnsi="Times New Roman"/>
          <w:sz w:val="18"/>
          <w:szCs w:val="18"/>
          <w:b w:val="1"/>
          <w:bCs w:val="1"/>
          <w:i w:val="1"/>
          <w:iCs w:val="1"/>
          <w:color w:val="auto"/>
        </w:rPr>
      </w:pPr>
    </w:p>
    <w:p>
      <w:pPr>
        <w:ind w:left="1024" w:hanging="514"/>
        <w:spacing w:after="0"/>
        <w:tabs>
          <w:tab w:leader="none" w:pos="1024" w:val="left"/>
        </w:tabs>
        <w:numPr>
          <w:ilvl w:val="1"/>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The Committee is authorized to grant Options to any Eligible Person on the following terms and conditions:</w:t>
      </w:r>
    </w:p>
    <w:p>
      <w:pPr>
        <w:spacing w:after="0" w:line="116" w:lineRule="exact"/>
        <w:rPr>
          <w:rFonts w:ascii="Times New Roman" w:cs="Times New Roman" w:eastAsia="Times New Roman" w:hAnsi="Times New Roman"/>
          <w:sz w:val="18"/>
          <w:szCs w:val="18"/>
          <w:b w:val="1"/>
          <w:bCs w:val="1"/>
          <w:i w:val="1"/>
          <w:iCs w:val="1"/>
          <w:color w:val="auto"/>
        </w:rPr>
      </w:pPr>
    </w:p>
    <w:p>
      <w:pPr>
        <w:ind w:left="1524" w:right="120" w:hanging="505"/>
        <w:spacing w:after="0" w:line="278" w:lineRule="auto"/>
        <w:tabs>
          <w:tab w:leader="none" w:pos="1524" w:val="left"/>
        </w:tabs>
        <w:numPr>
          <w:ilvl w:val="2"/>
          <w:numId w:val="6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Exercise Price</w:t>
      </w:r>
      <w:r>
        <w:rPr>
          <w:rFonts w:ascii="Times New Roman" w:cs="Times New Roman" w:eastAsia="Times New Roman" w:hAnsi="Times New Roman"/>
          <w:sz w:val="17"/>
          <w:szCs w:val="17"/>
          <w:color w:val="auto"/>
        </w:rPr>
        <w:t>. Other than in connection with Substitute Awards, the exercise price per Share purchasable under an Option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shall be determined by the Committee, provided that such exercise price shall not be less than 100% of the Fair Market Value</w:t>
      </w:r>
    </w:p>
    <w:p>
      <w:pPr>
        <w:spacing w:after="0" w:line="1" w:lineRule="exact"/>
        <w:rPr>
          <w:sz w:val="20"/>
          <w:szCs w:val="20"/>
          <w:color w:val="auto"/>
        </w:rPr>
      </w:pPr>
    </w:p>
    <w:p>
      <w:pPr>
        <w:ind w:left="1524" w:right="320"/>
        <w:spacing w:after="0" w:line="250" w:lineRule="auto"/>
        <w:rPr>
          <w:sz w:val="20"/>
          <w:szCs w:val="20"/>
          <w:color w:val="auto"/>
        </w:rPr>
      </w:pPr>
      <w:r>
        <w:rPr>
          <w:rFonts w:ascii="Times New Roman" w:cs="Times New Roman" w:eastAsia="Times New Roman" w:hAnsi="Times New Roman"/>
          <w:sz w:val="18"/>
          <w:szCs w:val="18"/>
          <w:color w:val="auto"/>
        </w:rPr>
        <w:t>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w:t>
      </w:r>
    </w:p>
    <w:p>
      <w:pPr>
        <w:spacing w:after="0" w:line="1"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472440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4"/>
          </w:cols>
          <w:pgMar w:left="836" w:top="1092" w:right="399" w:bottom="1440" w:gutter="0" w:footer="0" w:header="0"/>
        </w:sectPr>
      </w:pPr>
    </w:p>
    <w:bookmarkStart w:id="68" w:name="page69"/>
    <w:bookmarkEnd w:id="68"/>
    <w:p>
      <w:pPr>
        <w:ind w:left="1014" w:right="40"/>
        <w:spacing w:after="0" w:line="254" w:lineRule="auto"/>
        <w:rPr>
          <w:sz w:val="20"/>
          <w:szCs w:val="20"/>
          <w:color w:val="auto"/>
        </w:rPr>
      </w:pPr>
      <w:r>
        <w:rPr>
          <w:rFonts w:ascii="Times New Roman" w:cs="Times New Roman" w:eastAsia="Times New Roman" w:hAnsi="Times New Roman"/>
          <w:sz w:val="18"/>
          <w:szCs w:val="18"/>
          <w:color w:val="auto"/>
        </w:rPr>
        <w:t xml:space="preserve">and an Incentive Stock Option is granted to such </w:t>
      </w:r>
      <w:r>
        <w:rPr>
          <w:rFonts w:ascii="Times New Roman" w:cs="Times New Roman" w:eastAsia="Times New Roman" w:hAnsi="Times New Roman"/>
          <w:sz w:val="18"/>
          <w:szCs w:val="18"/>
          <w:b w:val="1"/>
          <w:bCs w:val="1"/>
          <w:color w:val="FF0000"/>
          <w:strike w:val="1"/>
        </w:rPr>
        <w:t>e</w:t>
      </w:r>
      <w:r>
        <w:rPr>
          <w:rFonts w:ascii="Times New Roman" w:cs="Times New Roman" w:eastAsia="Times New Roman" w:hAnsi="Times New Roman"/>
          <w:sz w:val="18"/>
          <w:szCs w:val="18"/>
          <w:b w:val="1"/>
          <w:bCs w:val="1"/>
          <w:u w:val="single" w:color="auto"/>
          <w:color w:val="0000FF"/>
        </w:rPr>
        <w:t>E</w:t>
      </w:r>
      <w:r>
        <w:rPr>
          <w:rFonts w:ascii="Times New Roman" w:cs="Times New Roman" w:eastAsia="Times New Roman" w:hAnsi="Times New Roman"/>
          <w:sz w:val="18"/>
          <w:szCs w:val="18"/>
          <w:color w:val="auto"/>
        </w:rPr>
        <w:t>mployee, the exercise price of such Incentive Stock Option (to the extent required by the Code at the time of grant) shall be no less than 110% of the Fair Market Value a Share on the date such Incentive Stock Option is granted. Other than pursuant to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78" w:lineRule="exact"/>
        <w:rPr>
          <w:sz w:val="20"/>
          <w:szCs w:val="20"/>
          <w:color w:val="auto"/>
        </w:rPr>
      </w:pPr>
    </w:p>
    <w:p>
      <w:pPr>
        <w:ind w:left="1014" w:right="100" w:hanging="505"/>
        <w:spacing w:after="0" w:line="253" w:lineRule="auto"/>
        <w:tabs>
          <w:tab w:leader="none" w:pos="1014" w:val="left"/>
        </w:tabs>
        <w:numPr>
          <w:ilvl w:val="1"/>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Time and Method of Exercise</w:t>
      </w:r>
      <w:r>
        <w:rPr>
          <w:rFonts w:ascii="Times New Roman" w:cs="Times New Roman" w:eastAsia="Times New Roman" w:hAnsi="Times New Roman"/>
          <w:sz w:val="18"/>
          <w:szCs w:val="18"/>
          <w:color w:val="auto"/>
        </w:rPr>
        <w:t>. Subject to the maximum term of any Option set forth in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FF0000"/>
          <w:strike w:val="1"/>
        </w:rPr>
        <w:t>7</w:t>
      </w:r>
      <w:r>
        <w:rPr>
          <w:rFonts w:ascii="Times New Roman" w:cs="Times New Roman" w:eastAsia="Times New Roman" w:hAnsi="Times New Roman"/>
          <w:sz w:val="18"/>
          <w:szCs w:val="18"/>
          <w:b w:val="1"/>
          <w:bCs w:val="1"/>
          <w:u w:val="single" w:color="auto"/>
          <w:color w:val="0000FF"/>
        </w:rPr>
        <w:t>8</w:t>
      </w:r>
      <w:r>
        <w:rPr>
          <w:rFonts w:ascii="Times New Roman" w:cs="Times New Roman" w:eastAsia="Times New Roman" w:hAnsi="Times New Roman"/>
          <w:sz w:val="18"/>
          <w:szCs w:val="18"/>
          <w:color w:val="auto"/>
        </w:rPr>
        <w:t>(b), the Committee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78" w:lineRule="exact"/>
        <w:rPr>
          <w:rFonts w:ascii="Times New Roman" w:cs="Times New Roman" w:eastAsia="Times New Roman" w:hAnsi="Times New Roman"/>
          <w:sz w:val="18"/>
          <w:szCs w:val="18"/>
          <w:i w:val="1"/>
          <w:iCs w:val="1"/>
          <w:color w:val="auto"/>
        </w:rPr>
      </w:pPr>
    </w:p>
    <w:p>
      <w:pPr>
        <w:ind w:left="1014" w:right="520" w:hanging="505"/>
        <w:spacing w:after="0" w:line="286" w:lineRule="auto"/>
        <w:tabs>
          <w:tab w:leader="none" w:pos="1014" w:val="left"/>
        </w:tabs>
        <w:numPr>
          <w:ilvl w:val="1"/>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Form of Settlement</w:t>
      </w:r>
      <w:r>
        <w:rPr>
          <w:rFonts w:ascii="Times New Roman" w:cs="Times New Roman" w:eastAsia="Times New Roman" w:hAnsi="Times New Roman"/>
          <w:sz w:val="18"/>
          <w:szCs w:val="18"/>
          <w:color w:val="auto"/>
        </w:rPr>
        <w:t>. The Committee may, in its sole discretion, provide that the Shares to be issued upon exercise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shall be in the form of Restricted Stock or other similar securities.</w:t>
      </w:r>
    </w:p>
    <w:p>
      <w:pPr>
        <w:spacing w:after="0" w:line="46" w:lineRule="exact"/>
        <w:rPr>
          <w:rFonts w:ascii="Times New Roman" w:cs="Times New Roman" w:eastAsia="Times New Roman" w:hAnsi="Times New Roman"/>
          <w:sz w:val="18"/>
          <w:szCs w:val="18"/>
          <w:i w:val="1"/>
          <w:iCs w:val="1"/>
          <w:color w:val="auto"/>
        </w:rPr>
      </w:pPr>
    </w:p>
    <w:p>
      <w:pPr>
        <w:ind w:left="1014" w:hanging="505"/>
        <w:spacing w:after="0" w:line="256" w:lineRule="auto"/>
        <w:tabs>
          <w:tab w:leader="none" w:pos="1014" w:val="left"/>
        </w:tabs>
        <w:numPr>
          <w:ilvl w:val="1"/>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Incentive Stock Options</w:t>
      </w:r>
      <w:r>
        <w:rPr>
          <w:rFonts w:ascii="Times New Roman" w:cs="Times New Roman" w:eastAsia="Times New Roman" w:hAnsi="Times New Roman"/>
          <w:sz w:val="18"/>
          <w:szCs w:val="18"/>
          <w:color w:val="auto"/>
        </w:rPr>
        <w:t>. The terms of any Incentive Stock Option granted under the Plan shall comply in all respects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76" w:lineRule="exact"/>
        <w:rPr>
          <w:rFonts w:ascii="Times New Roman" w:cs="Times New Roman" w:eastAsia="Times New Roman" w:hAnsi="Times New Roman"/>
          <w:sz w:val="18"/>
          <w:szCs w:val="18"/>
          <w:i w:val="1"/>
          <w:iCs w:val="1"/>
          <w:color w:val="auto"/>
        </w:rPr>
      </w:pPr>
    </w:p>
    <w:p>
      <w:pPr>
        <w:ind w:left="1534" w:hanging="516"/>
        <w:spacing w:after="0" w:line="274" w:lineRule="auto"/>
        <w:tabs>
          <w:tab w:leader="none" w:pos="1534"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63" w:lineRule="exact"/>
        <w:rPr>
          <w:rFonts w:ascii="Times New Roman" w:cs="Times New Roman" w:eastAsia="Times New Roman" w:hAnsi="Times New Roman"/>
          <w:sz w:val="17"/>
          <w:szCs w:val="17"/>
          <w:color w:val="auto"/>
        </w:rPr>
      </w:pPr>
    </w:p>
    <w:p>
      <w:pPr>
        <w:ind w:left="1534" w:hanging="516"/>
        <w:spacing w:after="0" w:line="258" w:lineRule="auto"/>
        <w:tabs>
          <w:tab w:leader="none" w:pos="153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74" w:lineRule="exact"/>
        <w:rPr>
          <w:rFonts w:ascii="Times New Roman" w:cs="Times New Roman" w:eastAsia="Times New Roman" w:hAnsi="Times New Roman"/>
          <w:sz w:val="18"/>
          <w:szCs w:val="18"/>
          <w:color w:val="auto"/>
        </w:rPr>
      </w:pPr>
    </w:p>
    <w:p>
      <w:pPr>
        <w:ind w:left="1534" w:right="80" w:hanging="516"/>
        <w:spacing w:after="0" w:line="260" w:lineRule="auto"/>
        <w:tabs>
          <w:tab w:leader="none" w:pos="153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69" w:lineRule="exact"/>
        <w:rPr>
          <w:rFonts w:ascii="Times New Roman" w:cs="Times New Roman" w:eastAsia="Times New Roman" w:hAnsi="Times New Roman"/>
          <w:sz w:val="18"/>
          <w:szCs w:val="18"/>
          <w:color w:val="auto"/>
        </w:rPr>
      </w:pPr>
    </w:p>
    <w:p>
      <w:pPr>
        <w:ind w:left="514" w:right="120" w:hanging="514"/>
        <w:spacing w:after="0" w:line="268" w:lineRule="auto"/>
        <w:tabs>
          <w:tab w:leader="none" w:pos="514"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color w:val="auto"/>
        </w:rPr>
        <w:t>. The Committee may grant Stock Appreciation Rights to any Eligible Person (a “Freestanding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Appreciation Right”), upon such terms and conditions as the Committee may establish in its sole discretion, not inconsistent with the provisions of the Plan, including the following:</w:t>
      </w:r>
    </w:p>
    <w:p>
      <w:pPr>
        <w:spacing w:after="0" w:line="61" w:lineRule="exact"/>
        <w:rPr>
          <w:rFonts w:ascii="Times New Roman" w:cs="Times New Roman" w:eastAsia="Times New Roman" w:hAnsi="Times New Roman"/>
          <w:sz w:val="18"/>
          <w:szCs w:val="18"/>
          <w:b w:val="1"/>
          <w:bCs w:val="1"/>
          <w:i w:val="1"/>
          <w:iCs w:val="1"/>
          <w:color w:val="auto"/>
        </w:rPr>
      </w:pPr>
    </w:p>
    <w:p>
      <w:pPr>
        <w:ind w:left="1014" w:hanging="505"/>
        <w:spacing w:after="0"/>
        <w:tabs>
          <w:tab w:leader="none" w:pos="1014" w:val="left"/>
        </w:tabs>
        <w:numPr>
          <w:ilvl w:val="1"/>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Right to Payment</w:t>
      </w:r>
      <w:r>
        <w:rPr>
          <w:rFonts w:ascii="Times New Roman" w:cs="Times New Roman" w:eastAsia="Times New Roman" w:hAnsi="Times New Roman"/>
          <w:sz w:val="18"/>
          <w:szCs w:val="18"/>
          <w:color w:val="auto"/>
        </w:rPr>
        <w:t>. A Stock Appreciation Right shall confer on the Participant to whom it is granted a right to receive, upon</w:t>
      </w:r>
    </w:p>
    <w:p>
      <w:pPr>
        <w:spacing w:after="0" w:line="31" w:lineRule="exact"/>
        <w:rPr>
          <w:sz w:val="20"/>
          <w:szCs w:val="20"/>
          <w:color w:val="auto"/>
        </w:rPr>
      </w:pPr>
    </w:p>
    <w:p>
      <w:pPr>
        <w:ind w:left="4454" w:right="2480" w:hanging="3439"/>
        <w:spacing w:after="0" w:line="260" w:lineRule="auto"/>
        <w:rPr>
          <w:sz w:val="20"/>
          <w:szCs w:val="20"/>
          <w:color w:val="auto"/>
        </w:rPr>
      </w:pPr>
      <w:r>
        <w:rPr>
          <w:rFonts w:ascii="Times New Roman" w:cs="Times New Roman" w:eastAsia="Times New Roman" w:hAnsi="Times New Roman"/>
          <w:sz w:val="18"/>
          <w:szCs w:val="18"/>
          <w:color w:val="auto"/>
        </w:rPr>
        <w:t>exercise thereof, the excess of (A) the Fair Market Value of one Share on the date of exercise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455930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94"/>
          </w:cols>
          <w:pgMar w:left="1346" w:top="1088" w:right="359" w:bottom="1440" w:gutter="0" w:footer="0" w:header="0"/>
        </w:sectPr>
      </w:pPr>
    </w:p>
    <w:bookmarkStart w:id="69" w:name="page70"/>
    <w:bookmarkEnd w:id="69"/>
    <w:p>
      <w:pPr>
        <w:ind w:left="1014"/>
        <w:spacing w:after="0" w:line="253" w:lineRule="auto"/>
        <w:rPr>
          <w:sz w:val="20"/>
          <w:szCs w:val="20"/>
          <w:color w:val="auto"/>
        </w:rPr>
      </w:pPr>
      <w:r>
        <w:rPr>
          <w:rFonts w:ascii="Times New Roman" w:cs="Times New Roman" w:eastAsia="Times New Roman" w:hAnsi="Times New Roman"/>
          <w:sz w:val="18"/>
          <w:szCs w:val="18"/>
          <w:color w:val="auto"/>
        </w:rPr>
        <w:t>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77" w:lineRule="exact"/>
        <w:rPr>
          <w:sz w:val="20"/>
          <w:szCs w:val="20"/>
          <w:color w:val="auto"/>
        </w:rPr>
      </w:pPr>
    </w:p>
    <w:p>
      <w:pPr>
        <w:ind w:left="1014" w:right="60" w:hanging="505"/>
        <w:spacing w:after="0" w:line="255" w:lineRule="auto"/>
        <w:tabs>
          <w:tab w:leader="none" w:pos="1014" w:val="left"/>
        </w:tabs>
        <w:numPr>
          <w:ilvl w:val="1"/>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Other Terms</w:t>
      </w:r>
      <w:r>
        <w:rPr>
          <w:rFonts w:ascii="Times New Roman" w:cs="Times New Roman" w:eastAsia="Times New Roman" w:hAnsi="Times New Roman"/>
          <w:sz w:val="18"/>
          <w:szCs w:val="18"/>
          <w:color w:val="auto"/>
        </w:rPr>
        <w:t>. Subject to the maximum term of any Stock Appreciation Right set forth in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FF0000"/>
          <w:strike w:val="1"/>
        </w:rPr>
        <w:t>7</w:t>
      </w:r>
      <w:r>
        <w:rPr>
          <w:rFonts w:ascii="Times New Roman" w:cs="Times New Roman" w:eastAsia="Times New Roman" w:hAnsi="Times New Roman"/>
          <w:sz w:val="18"/>
          <w:szCs w:val="18"/>
          <w:b w:val="1"/>
          <w:bCs w:val="1"/>
          <w:u w:val="single" w:color="auto"/>
          <w:color w:val="0000FF"/>
        </w:rPr>
        <w:t>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auto"/>
        </w:rPr>
        <w:t>), the Committee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74" w:lineRule="exact"/>
        <w:rPr>
          <w:rFonts w:ascii="Times New Roman" w:cs="Times New Roman" w:eastAsia="Times New Roman" w:hAnsi="Times New Roman"/>
          <w:sz w:val="18"/>
          <w:szCs w:val="18"/>
          <w:i w:val="1"/>
          <w:iCs w:val="1"/>
          <w:color w:val="auto"/>
        </w:rPr>
      </w:pPr>
    </w:p>
    <w:p>
      <w:pPr>
        <w:ind w:left="514" w:right="400" w:hanging="514"/>
        <w:spacing w:after="0" w:line="286" w:lineRule="auto"/>
        <w:tabs>
          <w:tab w:leader="none" w:pos="514"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Stock Awards</w:t>
      </w:r>
      <w:r>
        <w:rPr>
          <w:rFonts w:ascii="Times New Roman" w:cs="Times New Roman" w:eastAsia="Times New Roman" w:hAnsi="Times New Roman"/>
          <w:sz w:val="18"/>
          <w:szCs w:val="18"/>
          <w:color w:val="auto"/>
        </w:rPr>
        <w:t>. The Committee is authorized to grant Restricted Stock Awards to any Eligible Person on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and conditions:</w:t>
      </w:r>
    </w:p>
    <w:p>
      <w:pPr>
        <w:spacing w:after="0" w:line="46" w:lineRule="exact"/>
        <w:rPr>
          <w:rFonts w:ascii="Times New Roman" w:cs="Times New Roman" w:eastAsia="Times New Roman" w:hAnsi="Times New Roman"/>
          <w:sz w:val="18"/>
          <w:szCs w:val="18"/>
          <w:b w:val="1"/>
          <w:bCs w:val="1"/>
          <w:i w:val="1"/>
          <w:iCs w:val="1"/>
          <w:color w:val="auto"/>
        </w:rPr>
      </w:pPr>
    </w:p>
    <w:p>
      <w:pPr>
        <w:ind w:left="1014" w:hanging="505"/>
        <w:spacing w:after="0" w:line="253" w:lineRule="auto"/>
        <w:tabs>
          <w:tab w:leader="none" w:pos="1014" w:val="left"/>
        </w:tabs>
        <w:numPr>
          <w:ilvl w:val="1"/>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Grant and Restrictions</w:t>
      </w:r>
      <w:r>
        <w:rPr>
          <w:rFonts w:ascii="Times New Roman" w:cs="Times New Roman" w:eastAsia="Times New Roman" w:hAnsi="Times New Roman"/>
          <w:sz w:val="18"/>
          <w:szCs w:val="18"/>
          <w:color w:val="auto"/>
        </w:rPr>
        <w:t>. Restricted Stock Awards shall be subject to such restrictions on transferability, risk of forfeiture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(b) below and except as otherwise provided in the Award Agreement, the Restricted Stock may not be sold, transferred, pledged, hypothecated, margined or otherwise encumbered by the Participant or Beneficiary.</w:t>
      </w:r>
    </w:p>
    <w:p>
      <w:pPr>
        <w:spacing w:after="0" w:line="76" w:lineRule="exact"/>
        <w:rPr>
          <w:sz w:val="20"/>
          <w:szCs w:val="20"/>
          <w:color w:val="auto"/>
        </w:rPr>
      </w:pPr>
    </w:p>
    <w:p>
      <w:pPr>
        <w:ind w:left="1014" w:hanging="505"/>
        <w:spacing w:after="0" w:line="256" w:lineRule="auto"/>
        <w:tabs>
          <w:tab w:leader="none" w:pos="1014"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Forfeiture</w:t>
      </w:r>
      <w:r>
        <w:rPr>
          <w:rFonts w:ascii="Times New Roman" w:cs="Times New Roman" w:eastAsia="Times New Roman" w:hAnsi="Times New Roman"/>
          <w:sz w:val="18"/>
          <w:szCs w:val="18"/>
          <w:color w:val="auto"/>
        </w:rPr>
        <w:t>. Except as otherwise determined by the Committee, upon termination of a Participant’s Continuous Service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72" w:lineRule="exact"/>
        <w:rPr>
          <w:rFonts w:ascii="Times New Roman" w:cs="Times New Roman" w:eastAsia="Times New Roman" w:hAnsi="Times New Roman"/>
          <w:sz w:val="18"/>
          <w:szCs w:val="18"/>
          <w:i w:val="1"/>
          <w:iCs w:val="1"/>
          <w:color w:val="auto"/>
        </w:rPr>
      </w:pPr>
    </w:p>
    <w:p>
      <w:pPr>
        <w:ind w:left="1014" w:right="80" w:hanging="505"/>
        <w:spacing w:after="0" w:line="259" w:lineRule="auto"/>
        <w:tabs>
          <w:tab w:leader="none" w:pos="1014"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Certificates for Stock</w:t>
      </w:r>
      <w:r>
        <w:rPr>
          <w:rFonts w:ascii="Times New Roman" w:cs="Times New Roman" w:eastAsia="Times New Roman" w:hAnsi="Times New Roman"/>
          <w:sz w:val="18"/>
          <w:szCs w:val="18"/>
          <w:color w:val="auto"/>
        </w:rPr>
        <w:t>. Restricted Stock granted under the Plan may be evidenced in such manner as the Committee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69" w:lineRule="exact"/>
        <w:rPr>
          <w:rFonts w:ascii="Times New Roman" w:cs="Times New Roman" w:eastAsia="Times New Roman" w:hAnsi="Times New Roman"/>
          <w:sz w:val="18"/>
          <w:szCs w:val="18"/>
          <w:i w:val="1"/>
          <w:iCs w:val="1"/>
          <w:color w:val="auto"/>
        </w:rPr>
      </w:pPr>
    </w:p>
    <w:p>
      <w:pPr>
        <w:ind w:left="1014" w:right="20" w:hanging="505"/>
        <w:spacing w:after="0" w:line="256" w:lineRule="auto"/>
        <w:tabs>
          <w:tab w:leader="none" w:pos="1014"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Dividends and Splits</w:t>
      </w:r>
      <w:r>
        <w:rPr>
          <w:rFonts w:ascii="Times New Roman" w:cs="Times New Roman" w:eastAsia="Times New Roman" w:hAnsi="Times New Roman"/>
          <w:sz w:val="18"/>
          <w:szCs w:val="18"/>
          <w:color w:val="auto"/>
        </w:rPr>
        <w:t>. As a condition to the grant of a Restricted Stock Award, the Committee may require or permit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Participant to elect that any cash dividends paid on a Share of Restricted Stock be automatically reinvested in additional Shares of Restricted Stock or applied to the purchase of additional Awards under the Plan, or except as otherwise provided in </w:t>
      </w:r>
      <w:r>
        <w:rPr>
          <w:rFonts w:ascii="Times New Roman" w:cs="Times New Roman" w:eastAsia="Times New Roman" w:hAnsi="Times New Roman"/>
          <w:sz w:val="18"/>
          <w:szCs w:val="18"/>
          <w:b w:val="1"/>
          <w:bCs w:val="1"/>
          <w:color w:val="FF0000"/>
          <w:strike w:val="1"/>
        </w:rPr>
        <w:t>the last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sentence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Section 7(h</w:t>
      </w:r>
      <w:r>
        <w:rPr>
          <w:rFonts w:ascii="Times New Roman" w:cs="Times New Roman" w:eastAsia="Times New Roman" w:hAnsi="Times New Roman"/>
          <w:sz w:val="18"/>
          <w:szCs w:val="18"/>
          <w:b w:val="1"/>
          <w:bCs w:val="1"/>
          <w:u w:val="single" w:color="auto"/>
          <w:color w:val="0000FF"/>
        </w:rPr>
        <w:t>)(v</w:t>
      </w:r>
      <w:r>
        <w:rPr>
          <w:rFonts w:ascii="Times New Roman" w:cs="Times New Roman" w:eastAsia="Times New Roman" w:hAnsi="Times New Roman"/>
          <w:sz w:val="18"/>
          <w:szCs w:val="18"/>
          <w:color w:val="000000"/>
        </w:rPr>
        <w:t>) hereof, may require that payment</w:t>
      </w:r>
    </w:p>
    <w:p>
      <w:pPr>
        <w:spacing w:after="0" w:line="2" w:lineRule="exact"/>
        <w:rPr>
          <w:sz w:val="20"/>
          <w:szCs w:val="20"/>
          <w:color w:val="auto"/>
        </w:rPr>
      </w:pPr>
    </w:p>
    <w:p>
      <w:pPr>
        <w:ind w:left="4414"/>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472440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94"/>
          </w:cols>
          <w:pgMar w:left="1346" w:top="1092" w:right="359" w:bottom="1440" w:gutter="0" w:footer="0" w:header="0"/>
        </w:sectPr>
      </w:pPr>
    </w:p>
    <w:bookmarkStart w:id="70" w:name="page71"/>
    <w:bookmarkEnd w:id="70"/>
    <w:p>
      <w:pPr>
        <w:ind w:left="1014" w:right="160"/>
        <w:spacing w:after="0" w:line="256" w:lineRule="auto"/>
        <w:rPr>
          <w:sz w:val="20"/>
          <w:szCs w:val="20"/>
          <w:color w:val="auto"/>
        </w:rPr>
      </w:pPr>
      <w:r>
        <w:rPr>
          <w:rFonts w:ascii="Times New Roman" w:cs="Times New Roman" w:eastAsia="Times New Roman" w:hAnsi="Times New Roman"/>
          <w:sz w:val="18"/>
          <w:szCs w:val="18"/>
          <w:color w:val="auto"/>
        </w:rPr>
        <w:t xml:space="preserve">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w:t>
      </w:r>
      <w:r>
        <w:rPr>
          <w:rFonts w:ascii="Times New Roman" w:cs="Times New Roman" w:eastAsia="Times New Roman" w:hAnsi="Times New Roman"/>
          <w:sz w:val="18"/>
          <w:szCs w:val="18"/>
          <w:b w:val="1"/>
          <w:bCs w:val="1"/>
          <w:color w:val="FF0000"/>
          <w:strike w:val="1"/>
        </w:rPr>
        <w:t>Unless otherwise determined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Committee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Notwithstanding any provision herein to the contrary</w:t>
      </w:r>
      <w:r>
        <w:rPr>
          <w:rFonts w:ascii="Times New Roman" w:cs="Times New Roman" w:eastAsia="Times New Roman" w:hAnsi="Times New Roman"/>
          <w:sz w:val="18"/>
          <w:szCs w:val="18"/>
          <w:color w:val="000000"/>
        </w:rPr>
        <w:t>, Shares distributed in connection with a stock split 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stock dividend, and other property distributed as a dividend, shall be subject to restrictions and a risk of forfeiture to the same extent as the Restricted Stock with respect to which such Shares or other property have been distributed.</w:t>
      </w:r>
    </w:p>
    <w:p>
      <w:pPr>
        <w:spacing w:after="0" w:line="74" w:lineRule="exact"/>
        <w:rPr>
          <w:sz w:val="20"/>
          <w:szCs w:val="20"/>
          <w:color w:val="auto"/>
        </w:rPr>
      </w:pPr>
    </w:p>
    <w:p>
      <w:pPr>
        <w:ind w:left="514" w:right="140" w:hanging="514"/>
        <w:spacing w:after="0" w:line="286" w:lineRule="auto"/>
        <w:tabs>
          <w:tab w:leader="none" w:pos="514"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Award</w:t>
      </w:r>
      <w:r>
        <w:rPr>
          <w:rFonts w:ascii="Times New Roman" w:cs="Times New Roman" w:eastAsia="Times New Roman" w:hAnsi="Times New Roman"/>
          <w:sz w:val="18"/>
          <w:szCs w:val="18"/>
          <w:color w:val="auto"/>
        </w:rPr>
        <w:t>. The Committee is authorized to grant “Deferred Awards,” which include Deferred Stock and Restricted Stock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to any Eligible Person on the following terms and conditions.</w:t>
      </w:r>
    </w:p>
    <w:p>
      <w:pPr>
        <w:spacing w:after="0" w:line="46" w:lineRule="exact"/>
        <w:rPr>
          <w:rFonts w:ascii="Times New Roman" w:cs="Times New Roman" w:eastAsia="Times New Roman" w:hAnsi="Times New Roman"/>
          <w:sz w:val="18"/>
          <w:szCs w:val="18"/>
          <w:b w:val="1"/>
          <w:bCs w:val="1"/>
          <w:i w:val="1"/>
          <w:iCs w:val="1"/>
          <w:color w:val="auto"/>
        </w:rPr>
      </w:pPr>
    </w:p>
    <w:p>
      <w:pPr>
        <w:ind w:left="1014" w:right="40" w:hanging="505"/>
        <w:spacing w:after="0" w:line="253" w:lineRule="auto"/>
        <w:tabs>
          <w:tab w:leader="none" w:pos="1014" w:val="left"/>
        </w:tabs>
        <w:numPr>
          <w:ilvl w:val="1"/>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Award and Restrictions</w:t>
      </w:r>
      <w:r>
        <w:rPr>
          <w:rFonts w:ascii="Times New Roman" w:cs="Times New Roman" w:eastAsia="Times New Roman" w:hAnsi="Times New Roman"/>
          <w:sz w:val="18"/>
          <w:szCs w:val="18"/>
          <w:color w:val="auto"/>
        </w:rPr>
        <w:t>. Satisfaction of a Deferred Award shall occur upon expiration of the deferral period specified for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78" w:lineRule="exact"/>
        <w:rPr>
          <w:rFonts w:ascii="Times New Roman" w:cs="Times New Roman" w:eastAsia="Times New Roman" w:hAnsi="Times New Roman"/>
          <w:sz w:val="18"/>
          <w:szCs w:val="18"/>
          <w:i w:val="1"/>
          <w:iCs w:val="1"/>
          <w:color w:val="auto"/>
        </w:rPr>
      </w:pPr>
    </w:p>
    <w:p>
      <w:pPr>
        <w:ind w:left="1014" w:hanging="505"/>
        <w:spacing w:after="0" w:line="255" w:lineRule="auto"/>
        <w:tabs>
          <w:tab w:leader="none" w:pos="1014" w:val="left"/>
        </w:tabs>
        <w:numPr>
          <w:ilvl w:val="1"/>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Forfeiture</w:t>
      </w:r>
      <w:r>
        <w:rPr>
          <w:rFonts w:ascii="Times New Roman" w:cs="Times New Roman" w:eastAsia="Times New Roman" w:hAnsi="Times New Roman"/>
          <w:sz w:val="18"/>
          <w:szCs w:val="18"/>
          <w:color w:val="auto"/>
        </w:rPr>
        <w:t>. Except as otherwise determined by the Committee, upon termination of a Participant’s Continuous Service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74" w:lineRule="exact"/>
        <w:rPr>
          <w:rFonts w:ascii="Times New Roman" w:cs="Times New Roman" w:eastAsia="Times New Roman" w:hAnsi="Times New Roman"/>
          <w:sz w:val="18"/>
          <w:szCs w:val="18"/>
          <w:i w:val="1"/>
          <w:iCs w:val="1"/>
          <w:color w:val="auto"/>
        </w:rPr>
      </w:pPr>
    </w:p>
    <w:p>
      <w:pPr>
        <w:ind w:left="1014" w:right="80" w:hanging="505"/>
        <w:spacing w:after="0" w:line="270" w:lineRule="auto"/>
        <w:tabs>
          <w:tab w:leader="none" w:pos="1014" w:val="left"/>
        </w:tabs>
        <w:numPr>
          <w:ilvl w:val="1"/>
          <w:numId w:val="7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Dividend Equivalents</w:t>
      </w:r>
      <w:r>
        <w:rPr>
          <w:rFonts w:ascii="Times New Roman" w:cs="Times New Roman" w:eastAsia="Times New Roman" w:hAnsi="Times New Roman"/>
          <w:sz w:val="17"/>
          <w:szCs w:val="17"/>
          <w:color w:val="auto"/>
        </w:rPr>
        <w:t>. Unless otherwise determined by the Committee at the date of grant, and except as otherwise provided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b w:val="1"/>
          <w:bCs w:val="1"/>
          <w:color w:val="FF0000"/>
          <w:strike w:val="1"/>
        </w:rPr>
        <w:t>the last sentence of</w:t>
      </w:r>
      <w:r>
        <w:rPr>
          <w:rFonts w:ascii="Times New Roman" w:cs="Times New Roman" w:eastAsia="Times New Roman" w:hAnsi="Times New Roman"/>
          <w:sz w:val="17"/>
          <w:szCs w:val="17"/>
          <w:color w:val="auto"/>
        </w:rPr>
        <w:t xml:space="preserve"> Section 7(h</w:t>
      </w:r>
      <w:r>
        <w:rPr>
          <w:rFonts w:ascii="Times New Roman" w:cs="Times New Roman" w:eastAsia="Times New Roman" w:hAnsi="Times New Roman"/>
          <w:sz w:val="17"/>
          <w:szCs w:val="17"/>
          <w:b w:val="1"/>
          <w:bCs w:val="1"/>
          <w:u w:val="single" w:color="auto"/>
          <w:color w:val="0000FF"/>
        </w:rPr>
        <w:t>)(v</w:t>
      </w:r>
      <w:r>
        <w:rPr>
          <w:rFonts w:ascii="Times New Roman" w:cs="Times New Roman" w:eastAsia="Times New Roman" w:hAnsi="Times New Roman"/>
          <w:sz w:val="17"/>
          <w:szCs w:val="17"/>
          <w:color w:val="auto"/>
        </w:rPr>
        <w:t xml:space="preserve">)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w:t>
      </w:r>
      <w:r>
        <w:rPr>
          <w:rFonts w:ascii="Times New Roman" w:cs="Times New Roman" w:eastAsia="Times New Roman" w:hAnsi="Times New Roman"/>
          <w:sz w:val="17"/>
          <w:szCs w:val="17"/>
          <w:b w:val="1"/>
          <w:bCs w:val="1"/>
          <w:u w:val="single" w:color="auto"/>
          <w:color w:val="0000FF"/>
        </w:rPr>
        <w:t>but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008000"/>
        </w:rPr>
        <w:t>only to the extent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0000FF"/>
        </w:rPr>
        <w:t>Deferred Award is then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0000FF"/>
        </w:rPr>
        <w:t>vested,</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or (B) deferred with respect to such Deferred Award and the amount or value thereof automatically deemed reinvested</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 xml:space="preserve">in additional Deferred Award, other Awards or other investment vehicles, as the Committee shall determine or permit the Participant to elect. The applicable Award Agreement shall specify whether any Dividend Equivalents shall be paid at the dividend payment date </w:t>
      </w:r>
      <w:r>
        <w:rPr>
          <w:rFonts w:ascii="Times New Roman" w:cs="Times New Roman" w:eastAsia="Times New Roman" w:hAnsi="Times New Roman"/>
          <w:sz w:val="17"/>
          <w:szCs w:val="17"/>
          <w:b w:val="1"/>
          <w:bCs w:val="1"/>
          <w:u w:val="single" w:color="auto"/>
          <w:color w:val="0000FF"/>
        </w:rPr>
        <w:t>(subject to the limitation described above)</w:t>
      </w:r>
      <w:r>
        <w:rPr>
          <w:rFonts w:ascii="Times New Roman" w:cs="Times New Roman" w:eastAsia="Times New Roman" w:hAnsi="Times New Roman"/>
          <w:sz w:val="17"/>
          <w:szCs w:val="17"/>
          <w:color w:val="000000"/>
        </w:rPr>
        <w:t>,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61" w:lineRule="exact"/>
        <w:rPr>
          <w:rFonts w:ascii="Times New Roman" w:cs="Times New Roman" w:eastAsia="Times New Roman" w:hAnsi="Times New Roman"/>
          <w:sz w:val="17"/>
          <w:szCs w:val="17"/>
          <w:i w:val="1"/>
          <w:iCs w:val="1"/>
          <w:color w:val="auto"/>
        </w:rPr>
      </w:pPr>
    </w:p>
    <w:p>
      <w:pPr>
        <w:ind w:left="514" w:right="80" w:hanging="514"/>
        <w:spacing w:after="0" w:line="257" w:lineRule="auto"/>
        <w:tabs>
          <w:tab w:leader="none" w:pos="514"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Bonus Stock and Awards in Lieu of Obligations</w:t>
      </w:r>
      <w:r>
        <w:rPr>
          <w:rFonts w:ascii="Times New Roman" w:cs="Times New Roman" w:eastAsia="Times New Roman" w:hAnsi="Times New Roman"/>
          <w:sz w:val="18"/>
          <w:szCs w:val="18"/>
          <w:color w:val="auto"/>
        </w:rPr>
        <w:t>. The Committee is authorized to grant Shares to any Eligible Persons as a bonus,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72" w:lineRule="exact"/>
        <w:rPr>
          <w:rFonts w:ascii="Times New Roman" w:cs="Times New Roman" w:eastAsia="Times New Roman" w:hAnsi="Times New Roman"/>
          <w:sz w:val="18"/>
          <w:szCs w:val="18"/>
          <w:b w:val="1"/>
          <w:bCs w:val="1"/>
          <w:i w:val="1"/>
          <w:iCs w:val="1"/>
          <w:color w:val="auto"/>
        </w:rPr>
      </w:pPr>
    </w:p>
    <w:p>
      <w:pPr>
        <w:ind w:left="514" w:right="60" w:hanging="514"/>
        <w:spacing w:after="0" w:line="256" w:lineRule="auto"/>
        <w:tabs>
          <w:tab w:leader="none" w:pos="514"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Committee is authorized to grant Dividend Equivalents to any Eligible Person entitling the Eligible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w:t>
      </w:r>
      <w:r>
        <w:rPr>
          <w:rFonts w:ascii="Times New Roman" w:cs="Times New Roman" w:eastAsia="Times New Roman" w:hAnsi="Times New Roman"/>
          <w:sz w:val="18"/>
          <w:szCs w:val="18"/>
          <w:b w:val="1"/>
          <w:bCs w:val="1"/>
          <w:color w:val="FF0000"/>
          <w:strike w:val="1"/>
        </w:rPr>
        <w:t>the last sentence of</w:t>
      </w:r>
    </w:p>
    <w:p>
      <w:pPr>
        <w:spacing w:after="0" w:line="2" w:lineRule="exact"/>
        <w:rPr>
          <w:sz w:val="20"/>
          <w:szCs w:val="20"/>
          <w:color w:val="auto"/>
        </w:rPr>
      </w:pPr>
    </w:p>
    <w:p>
      <w:pPr>
        <w:ind w:left="4414"/>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472440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092" w:right="339" w:bottom="1440" w:gutter="0" w:footer="0" w:header="0"/>
        </w:sectPr>
      </w:pPr>
    </w:p>
    <w:bookmarkStart w:id="71" w:name="page72"/>
    <w:bookmarkEnd w:id="71"/>
    <w:p>
      <w:pPr>
        <w:ind w:left="514" w:right="60"/>
        <w:spacing w:after="0" w:line="255" w:lineRule="auto"/>
        <w:rPr>
          <w:sz w:val="20"/>
          <w:szCs w:val="20"/>
          <w:color w:val="auto"/>
        </w:rPr>
      </w:pPr>
      <w:r>
        <w:rPr>
          <w:rFonts w:ascii="Times New Roman" w:cs="Times New Roman" w:eastAsia="Times New Roman" w:hAnsi="Times New Roman"/>
          <w:sz w:val="18"/>
          <w:szCs w:val="18"/>
          <w:color w:val="auto"/>
        </w:rPr>
        <w:t>Section 7(h)</w:t>
      </w:r>
      <w:r>
        <w:rPr>
          <w:rFonts w:ascii="Times New Roman" w:cs="Times New Roman" w:eastAsia="Times New Roman" w:hAnsi="Times New Roman"/>
          <w:sz w:val="18"/>
          <w:szCs w:val="18"/>
          <w:b w:val="1"/>
          <w:bCs w:val="1"/>
          <w:u w:val="single" w:color="auto"/>
          <w:color w:val="0000FF"/>
        </w:rPr>
        <w:t>(v)</w:t>
      </w:r>
      <w:r>
        <w:rPr>
          <w:rFonts w:ascii="Times New Roman" w:cs="Times New Roman" w:eastAsia="Times New Roman" w:hAnsi="Times New Roman"/>
          <w:sz w:val="18"/>
          <w:szCs w:val="18"/>
          <w:color w:val="auto"/>
        </w:rPr>
        <w:t>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w:t>
      </w:r>
      <w:r>
        <w:rPr>
          <w:rFonts w:ascii="Times New Roman" w:cs="Times New Roman" w:eastAsia="Times New Roman" w:hAnsi="Times New Roman"/>
          <w:sz w:val="18"/>
          <w:szCs w:val="18"/>
          <w:b w:val="1"/>
          <w:bCs w:val="1"/>
          <w:u w:val="single" w:color="auto"/>
          <w:color w:val="0000FF"/>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that Dividend Equivalents granted in connection with another Award shall not be paid or distributed prior to the vesting date of the related Award (or portion thereof giving rise to the Dividend Equivalent)</w:t>
      </w:r>
      <w:r>
        <w:rPr>
          <w:rFonts w:ascii="Times New Roman" w:cs="Times New Roman" w:eastAsia="Times New Roman" w:hAnsi="Times New Roman"/>
          <w:sz w:val="18"/>
          <w:szCs w:val="18"/>
          <w:color w:val="000000"/>
        </w:rPr>
        <w:t>. Any such determination by the Committee shall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74" w:lineRule="exact"/>
        <w:rPr>
          <w:sz w:val="20"/>
          <w:szCs w:val="20"/>
          <w:color w:val="auto"/>
        </w:rPr>
      </w:pPr>
    </w:p>
    <w:p>
      <w:pPr>
        <w:ind w:left="514" w:right="40" w:hanging="514"/>
        <w:spacing w:after="0" w:line="268" w:lineRule="auto"/>
        <w:tabs>
          <w:tab w:leader="none" w:pos="514"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The Committee is authorized to grant Performance Awards to any Eligible Person payable in cash, Shares,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Awards, on terms and conditions established by the Committee</w:t>
      </w:r>
      <w:r>
        <w:rPr>
          <w:rFonts w:ascii="Times New Roman" w:cs="Times New Roman" w:eastAsia="Times New Roman" w:hAnsi="Times New Roman"/>
          <w:sz w:val="18"/>
          <w:szCs w:val="18"/>
          <w:b w:val="1"/>
          <w:bCs w:val="1"/>
          <w:color w:val="FF0000"/>
          <w:strike w:val="1"/>
        </w:rPr>
        <w:t>, subject to the provisions of Section 9 if and to the extent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the Committee shall, in its sole discretion, determine that an Award shall be subject to those provisions. </w:t>
      </w:r>
      <w:r>
        <w:rPr>
          <w:rFonts w:ascii="Times New Roman" w:cs="Times New Roman" w:eastAsia="Times New Roman" w:hAnsi="Times New Roman"/>
          <w:sz w:val="18"/>
          <w:szCs w:val="18"/>
          <w:b w:val="1"/>
          <w:bCs w:val="1"/>
          <w:u w:val="single" w:color="auto"/>
          <w:color w:val="0000FF"/>
          <w:strike w:val="1"/>
        </w:rPr>
        <w:t>.</w:t>
      </w:r>
    </w:p>
    <w:p>
      <w:pPr>
        <w:spacing w:after="0" w:line="65" w:lineRule="exact"/>
        <w:rPr>
          <w:rFonts w:ascii="Times New Roman" w:cs="Times New Roman" w:eastAsia="Times New Roman" w:hAnsi="Times New Roman"/>
          <w:sz w:val="18"/>
          <w:szCs w:val="18"/>
          <w:b w:val="1"/>
          <w:bCs w:val="1"/>
          <w:i w:val="1"/>
          <w:iCs w:val="1"/>
          <w:color w:val="auto"/>
        </w:rPr>
      </w:pPr>
    </w:p>
    <w:p>
      <w:pPr>
        <w:ind w:left="1014" w:right="120" w:hanging="505"/>
        <w:spacing w:after="0" w:line="260" w:lineRule="auto"/>
        <w:tabs>
          <w:tab w:leader="none" w:pos="101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criteria to be achieved during any Performance Period and the length of the Performance Period shall be determined by the Committee upon the grant of each Performance Award. </w:t>
      </w:r>
      <w:r>
        <w:rPr>
          <w:rFonts w:ascii="Times New Roman" w:cs="Times New Roman" w:eastAsia="Times New Roman" w:hAnsi="Times New Roman"/>
          <w:sz w:val="18"/>
          <w:szCs w:val="18"/>
          <w:b w:val="1"/>
          <w:bCs w:val="1"/>
          <w:u w:val="single" w:color="auto"/>
          <w:color w:val="0000FF"/>
        </w:rPr>
        <w:t>The Committee shall determine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 xml:space="preserve">circumstances in which Awards shall be paid, if at all, </w:t>
      </w:r>
      <w:r>
        <w:rPr>
          <w:rFonts w:ascii="Times New Roman" w:cs="Times New Roman" w:eastAsia="Times New Roman" w:hAnsi="Times New Roman"/>
          <w:sz w:val="18"/>
          <w:szCs w:val="18"/>
          <w:b w:val="1"/>
          <w:bCs w:val="1"/>
          <w:u w:val="single" w:color="auto"/>
          <w:color w:val="008000"/>
        </w:rPr>
        <w:t>or forfeited in the event of termination of Continuous Service by</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the Participant prior to the end of a Performance Period or settlement of Awards.</w:t>
      </w:r>
    </w:p>
    <w:p>
      <w:pPr>
        <w:spacing w:after="0" w:line="69" w:lineRule="exact"/>
        <w:rPr>
          <w:rFonts w:ascii="Times New Roman" w:cs="Times New Roman" w:eastAsia="Times New Roman" w:hAnsi="Times New Roman"/>
          <w:sz w:val="18"/>
          <w:szCs w:val="18"/>
          <w:color w:val="auto"/>
        </w:rPr>
      </w:pPr>
    </w:p>
    <w:p>
      <w:pPr>
        <w:ind w:left="1014" w:right="160" w:hanging="505"/>
        <w:spacing w:after="0" w:line="286" w:lineRule="auto"/>
        <w:tabs>
          <w:tab w:leader="none" w:pos="101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t>
      </w:r>
      <w:r>
        <w:rPr>
          <w:rFonts w:ascii="Times New Roman" w:cs="Times New Roman" w:eastAsia="Times New Roman" w:hAnsi="Times New Roman"/>
          <w:sz w:val="18"/>
          <w:szCs w:val="18"/>
          <w:b w:val="1"/>
          <w:bCs w:val="1"/>
          <w:color w:val="FF0000"/>
          <w:strike w:val="1"/>
        </w:rPr>
        <w:t>provided in Section 10 or as</w:t>
      </w:r>
      <w:r>
        <w:rPr>
          <w:rFonts w:ascii="Times New Roman" w:cs="Times New Roman" w:eastAsia="Times New Roman" w:hAnsi="Times New Roman"/>
          <w:sz w:val="18"/>
          <w:szCs w:val="18"/>
          <w:color w:val="auto"/>
        </w:rPr>
        <w:t xml:space="preserve"> may be provided in an Award Agreement, Performance Awards will be distributed </w:t>
      </w:r>
      <w:r>
        <w:rPr>
          <w:rFonts w:ascii="Times New Roman" w:cs="Times New Roman" w:eastAsia="Times New Roman" w:hAnsi="Times New Roman"/>
          <w:sz w:val="18"/>
          <w:szCs w:val="18"/>
          <w:b w:val="1"/>
          <w:bCs w:val="1"/>
          <w:u w:val="single" w:color="auto"/>
          <w:color w:val="0000FF"/>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settled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only after the end of the relevant Performance Period.</w:t>
      </w:r>
    </w:p>
    <w:p>
      <w:pPr>
        <w:spacing w:after="0" w:line="50" w:lineRule="exact"/>
        <w:rPr>
          <w:rFonts w:ascii="Times New Roman" w:cs="Times New Roman" w:eastAsia="Times New Roman" w:hAnsi="Times New Roman"/>
          <w:sz w:val="18"/>
          <w:szCs w:val="18"/>
          <w:color w:val="auto"/>
        </w:rPr>
      </w:pPr>
    </w:p>
    <w:p>
      <w:pPr>
        <w:ind w:left="1014" w:right="40" w:hanging="505"/>
        <w:spacing w:after="0" w:line="255" w:lineRule="auto"/>
        <w:tabs>
          <w:tab w:leader="none" w:pos="101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goals to be achieved for each Performance Period shall be conclusively determined by the Committee and may be based upon </w:t>
      </w:r>
      <w:r>
        <w:rPr>
          <w:rFonts w:ascii="Times New Roman" w:cs="Times New Roman" w:eastAsia="Times New Roman" w:hAnsi="Times New Roman"/>
          <w:sz w:val="18"/>
          <w:szCs w:val="18"/>
          <w:b w:val="1"/>
          <w:bCs w:val="1"/>
          <w:color w:val="FF0000"/>
          <w:strike w:val="1"/>
        </w:rPr>
        <w:t>the criteria set forth in Section 9(b), or in the case of an Award that the Committee determines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not be subject to Section 9 hereof, any other</w:t>
      </w: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criteria that the Committee, in its sole discretion, shall determine should be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used for that purpose. </w:t>
      </w:r>
      <w:r>
        <w:rPr>
          <w:rFonts w:ascii="Times New Roman" w:cs="Times New Roman" w:eastAsia="Times New Roman" w:hAnsi="Times New Roman"/>
          <w:sz w:val="18"/>
          <w:szCs w:val="18"/>
          <w:b w:val="1"/>
          <w:bCs w:val="1"/>
          <w:color w:val="FF0000"/>
        </w:rPr>
        <w:t>The amount of the Award to be distributed shall be conclusively determined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8000"/>
        </w:rPr>
        <w:t>Achievement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8000"/>
        </w:rPr>
        <w:t xml:space="preserve">performance goals in respect of </w:t>
      </w:r>
      <w:r>
        <w:rPr>
          <w:rFonts w:ascii="Times New Roman" w:cs="Times New Roman" w:eastAsia="Times New Roman" w:hAnsi="Times New Roman"/>
          <w:sz w:val="18"/>
          <w:szCs w:val="18"/>
          <w:b w:val="1"/>
          <w:bCs w:val="1"/>
          <w:u w:val="single" w:color="auto"/>
          <w:color w:val="0000FF"/>
        </w:rPr>
        <w:t>Performance Awards shall generally</w:t>
      </w:r>
      <w:r>
        <w:rPr>
          <w:rFonts w:ascii="Times New Roman" w:cs="Times New Roman" w:eastAsia="Times New Roman" w:hAnsi="Times New Roman"/>
          <w:sz w:val="18"/>
          <w:szCs w:val="18"/>
          <w:b w:val="1"/>
          <w:bCs w:val="1"/>
          <w:u w:val="single" w:color="auto"/>
          <w:color w:val="008000"/>
        </w:rPr>
        <w:t xml:space="preserve"> be measured over a Performance Period </w:t>
      </w:r>
      <w:r>
        <w:rPr>
          <w:rFonts w:ascii="Times New Roman" w:cs="Times New Roman" w:eastAsia="Times New Roman" w:hAnsi="Times New Roman"/>
          <w:sz w:val="18"/>
          <w:szCs w:val="18"/>
          <w:b w:val="1"/>
          <w:bCs w:val="1"/>
          <w:u w:val="single" w:color="auto"/>
          <w:color w:val="0000FF"/>
        </w:rPr>
        <w:t>of at least</w:t>
      </w:r>
      <w:r>
        <w:rPr>
          <w:rFonts w:ascii="Times New Roman" w:cs="Times New Roman" w:eastAsia="Times New Roman" w:hAnsi="Times New Roman"/>
          <w:sz w:val="18"/>
          <w:szCs w:val="18"/>
          <w:b w:val="1"/>
          <w:bCs w:val="1"/>
          <w:u w:val="single" w:color="auto"/>
          <w:color w:val="008000"/>
        </w:rPr>
        <w:t xml:space="preserve"> </w:t>
      </w:r>
      <w:r>
        <w:rPr>
          <w:rFonts w:ascii="Times New Roman" w:cs="Times New Roman" w:eastAsia="Times New Roman" w:hAnsi="Times New Roman"/>
          <w:sz w:val="18"/>
          <w:szCs w:val="18"/>
          <w:b w:val="1"/>
          <w:bCs w:val="1"/>
          <w:u w:val="single" w:color="auto"/>
          <w:color w:val="0000FF"/>
        </w:rPr>
        <w:t>12 months and not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8000"/>
        </w:rPr>
        <w:t>longer than 5 years, as specified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by the Committee.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Generally, performance goals shall be established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 xml:space="preserve">within </w:t>
      </w:r>
      <w:r>
        <w:rPr>
          <w:rFonts w:ascii="Times New Roman" w:cs="Times New Roman" w:eastAsia="Times New Roman" w:hAnsi="Times New Roman"/>
          <w:sz w:val="18"/>
          <w:szCs w:val="18"/>
          <w:b w:val="1"/>
          <w:bCs w:val="1"/>
          <w:u w:val="single" w:color="auto"/>
          <w:color w:val="008000"/>
        </w:rPr>
        <w:t>90 days after the beginning of any Performance Period applicable to Performance Awards</w:t>
      </w:r>
      <w:r>
        <w:rPr>
          <w:rFonts w:ascii="Times New Roman" w:cs="Times New Roman" w:eastAsia="Times New Roman" w:hAnsi="Times New Roman"/>
          <w:sz w:val="18"/>
          <w:szCs w:val="18"/>
          <w:b w:val="1"/>
          <w:bCs w:val="1"/>
          <w:u w:val="single" w:color="auto"/>
          <w:color w:val="0000FF"/>
        </w:rPr>
        <w:t>.</w:t>
      </w:r>
    </w:p>
    <w:p>
      <w:pPr>
        <w:spacing w:after="0" w:line="74" w:lineRule="exact"/>
        <w:rPr>
          <w:rFonts w:ascii="Times New Roman" w:cs="Times New Roman" w:eastAsia="Times New Roman" w:hAnsi="Times New Roman"/>
          <w:sz w:val="18"/>
          <w:szCs w:val="18"/>
          <w:color w:val="auto"/>
        </w:rPr>
      </w:pPr>
    </w:p>
    <w:p>
      <w:pPr>
        <w:ind w:left="1014" w:hanging="505"/>
        <w:spacing w:after="0" w:line="255" w:lineRule="auto"/>
        <w:tabs>
          <w:tab w:leader="none" w:pos="1014" w:val="left"/>
        </w:tabs>
        <w:numPr>
          <w:ilvl w:val="1"/>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0000FF"/>
        </w:rPr>
        <w:t>The Committee will determine</w:t>
      </w:r>
      <w:r>
        <w:rPr>
          <w:rFonts w:ascii="Times New Roman" w:cs="Times New Roman" w:eastAsia="Times New Roman" w:hAnsi="Times New Roman"/>
          <w:sz w:val="18"/>
          <w:szCs w:val="18"/>
          <w:b w:val="1"/>
          <w:bCs w:val="1"/>
          <w:u w:val="single" w:color="auto"/>
          <w:color w:val="008000"/>
        </w:rPr>
        <w:t>, by resolution or other appropriate action</w:t>
      </w:r>
      <w:r>
        <w:rPr>
          <w:rFonts w:ascii="Times New Roman" w:cs="Times New Roman" w:eastAsia="Times New Roman" w:hAnsi="Times New Roman"/>
          <w:sz w:val="18"/>
          <w:szCs w:val="18"/>
          <w:b w:val="1"/>
          <w:bCs w:val="1"/>
          <w:u w:val="single" w:color="auto"/>
          <w:color w:val="0000FF"/>
        </w:rPr>
        <w:t xml:space="preserve">, whether </w:t>
      </w:r>
      <w:r>
        <w:rPr>
          <w:rFonts w:ascii="Times New Roman" w:cs="Times New Roman" w:eastAsia="Times New Roman" w:hAnsi="Times New Roman"/>
          <w:sz w:val="18"/>
          <w:szCs w:val="18"/>
          <w:b w:val="1"/>
          <w:bCs w:val="1"/>
          <w:u w:val="single" w:color="auto"/>
          <w:color w:val="008000"/>
        </w:rPr>
        <w:t>the performance criteria and any</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 xml:space="preserve">other material terms previously established by the Committee or set forth in the Plan </w:t>
      </w:r>
      <w:r>
        <w:rPr>
          <w:rFonts w:ascii="Times New Roman" w:cs="Times New Roman" w:eastAsia="Times New Roman" w:hAnsi="Times New Roman"/>
          <w:sz w:val="18"/>
          <w:szCs w:val="18"/>
          <w:b w:val="1"/>
          <w:bCs w:val="1"/>
          <w:u w:val="single" w:color="auto"/>
          <w:color w:val="0000FF"/>
        </w:rPr>
        <w:t>have been satisfied. The amount</w:t>
      </w:r>
      <w:r>
        <w:rPr>
          <w:rFonts w:ascii="Times New Roman" w:cs="Times New Roman" w:eastAsia="Times New Roman" w:hAnsi="Times New Roman"/>
          <w:sz w:val="18"/>
          <w:szCs w:val="18"/>
          <w:b w:val="1"/>
          <w:bCs w:val="1"/>
          <w:u w:val="single" w:color="auto"/>
          <w:color w:val="008000"/>
        </w:rPr>
        <w:t xml:space="preserve"> </w:t>
      </w:r>
      <w:r>
        <w:rPr>
          <w:rFonts w:ascii="Times New Roman" w:cs="Times New Roman" w:eastAsia="Times New Roman" w:hAnsi="Times New Roman"/>
          <w:sz w:val="18"/>
          <w:szCs w:val="18"/>
          <w:b w:val="1"/>
          <w:bCs w:val="1"/>
          <w:u w:val="single" w:color="auto"/>
          <w:color w:val="0000FF"/>
        </w:rPr>
        <w:t>of the Award to be distributed shall be conclusively determined by the Committee</w:t>
      </w:r>
      <w:r>
        <w:rPr>
          <w:rFonts w:ascii="Times New Roman" w:cs="Times New Roman" w:eastAsia="Times New Roman" w:hAnsi="Times New Roman"/>
          <w:sz w:val="18"/>
          <w:szCs w:val="18"/>
          <w:b w:val="1"/>
          <w:bCs w:val="1"/>
          <w:u w:val="single" w:color="auto"/>
          <w:color w:val="008000"/>
        </w:rPr>
        <w:t>. Except as otherwise specified by the</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 xml:space="preserve">Committee,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w:t>
      </w:r>
      <w:r>
        <w:rPr>
          <w:rFonts w:ascii="Times New Roman" w:cs="Times New Roman" w:eastAsia="Times New Roman" w:hAnsi="Times New Roman"/>
          <w:sz w:val="18"/>
          <w:szCs w:val="18"/>
          <w:b w:val="1"/>
          <w:bCs w:val="1"/>
          <w:u w:val="single" w:color="auto"/>
          <w:color w:val="0000FF"/>
        </w:rPr>
        <w:t>deemed advisable by the Committee</w:t>
      </w:r>
      <w:r>
        <w:rPr>
          <w:rFonts w:ascii="Times New Roman" w:cs="Times New Roman" w:eastAsia="Times New Roman" w:hAnsi="Times New Roman"/>
          <w:sz w:val="18"/>
          <w:szCs w:val="18"/>
          <w:b w:val="1"/>
          <w:bCs w:val="1"/>
          <w:u w:val="single" w:color="auto"/>
          <w:color w:val="008000"/>
        </w:rPr>
        <w:t>. The Committee may, in its discretion, reduce the amount of a settlement otherwise to be made in connection with Awards</w:t>
      </w:r>
      <w:r>
        <w:rPr>
          <w:rFonts w:ascii="Times New Roman" w:cs="Times New Roman" w:eastAsia="Times New Roman" w:hAnsi="Times New Roman"/>
          <w:sz w:val="18"/>
          <w:szCs w:val="18"/>
          <w:b w:val="1"/>
          <w:bCs w:val="1"/>
          <w:u w:val="single" w:color="auto"/>
          <w:color w:val="0000FF"/>
        </w:rPr>
        <w:t>.</w:t>
      </w:r>
    </w:p>
    <w:p>
      <w:pPr>
        <w:spacing w:after="0" w:line="78" w:lineRule="exact"/>
        <w:rPr>
          <w:rFonts w:ascii="Times New Roman" w:cs="Times New Roman" w:eastAsia="Times New Roman" w:hAnsi="Times New Roman"/>
          <w:sz w:val="18"/>
          <w:szCs w:val="18"/>
          <w:u w:val="single" w:color="auto"/>
          <w:color w:val="auto"/>
        </w:rPr>
      </w:pPr>
    </w:p>
    <w:p>
      <w:pPr>
        <w:ind w:left="1014" w:right="640" w:hanging="505"/>
        <w:spacing w:after="0" w:line="265" w:lineRule="auto"/>
        <w:tabs>
          <w:tab w:leader="none" w:pos="101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65" w:lineRule="exact"/>
        <w:rPr>
          <w:rFonts w:ascii="Times New Roman" w:cs="Times New Roman" w:eastAsia="Times New Roman" w:hAnsi="Times New Roman"/>
          <w:sz w:val="18"/>
          <w:szCs w:val="18"/>
          <w:color w:val="auto"/>
        </w:rPr>
      </w:pPr>
    </w:p>
    <w:p>
      <w:pPr>
        <w:ind w:left="514" w:hanging="514"/>
        <w:spacing w:after="0" w:line="254" w:lineRule="auto"/>
        <w:tabs>
          <w:tab w:leader="none" w:pos="514"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color w:val="auto"/>
        </w:rPr>
        <w:t>. The Committee is authorized, subject to limitations under applicable law, to grant to any Eligible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w:t>
      </w:r>
      <w:r>
        <w:rPr>
          <w:rFonts w:ascii="Times New Roman" w:cs="Times New Roman" w:eastAsia="Times New Roman" w:hAnsi="Times New Roman"/>
          <w:sz w:val="18"/>
          <w:szCs w:val="18"/>
          <w:b w:val="1"/>
          <w:bCs w:val="1"/>
          <w:color w:val="FF0000"/>
          <w:strike w:val="1"/>
        </w:rPr>
        <w:t>the last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sentence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Section 7(h)</w:t>
      </w:r>
      <w:r>
        <w:rPr>
          <w:rFonts w:ascii="Times New Roman" w:cs="Times New Roman" w:eastAsia="Times New Roman" w:hAnsi="Times New Roman"/>
          <w:sz w:val="18"/>
          <w:szCs w:val="18"/>
          <w:b w:val="1"/>
          <w:bCs w:val="1"/>
          <w:u w:val="single" w:color="auto"/>
          <w:color w:val="0000FF"/>
        </w:rPr>
        <w:t>(v)</w:t>
      </w:r>
      <w:r>
        <w:rPr>
          <w:rFonts w:ascii="Times New Roman" w:cs="Times New Roman" w:eastAsia="Times New Roman" w:hAnsi="Times New Roman"/>
          <w:sz w:val="18"/>
          <w:szCs w:val="18"/>
          <w:color w:val="000000"/>
        </w:rPr>
        <w:t>hereof, the Committee shall determine the terms and conditions of such Awards. Shares delivered pursuant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-3576955</wp:posOffset>
            </wp:positionV>
            <wp:extent cx="37477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47770" cy="8255"/>
                    </a:xfrm>
                    <a:prstGeom prst="rect">
                      <a:avLst/>
                    </a:prstGeom>
                    <a:noFill/>
                  </pic:spPr>
                </pic:pic>
              </a:graphicData>
            </a:graphic>
          </wp:anchor>
        </w:drawing>
      </w:r>
    </w:p>
    <w:p>
      <w:pPr>
        <w:spacing w:after="0" w:line="167" w:lineRule="exact"/>
        <w:rPr>
          <w:sz w:val="20"/>
          <w:szCs w:val="20"/>
          <w:color w:val="auto"/>
        </w:rPr>
      </w:pPr>
    </w:p>
    <w:p>
      <w:pPr>
        <w:ind w:left="4414"/>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088" w:right="339" w:bottom="1440" w:gutter="0" w:footer="0" w:header="0"/>
        </w:sectPr>
      </w:pPr>
    </w:p>
    <w:bookmarkStart w:id="72" w:name="page73"/>
    <w:bookmarkEnd w:id="72"/>
    <w:p>
      <w:pPr>
        <w:ind w:left="504" w:hanging="504"/>
        <w:spacing w:after="0"/>
        <w:tabs>
          <w:tab w:leader="none" w:pos="504" w:val="left"/>
        </w:tabs>
        <w:numPr>
          <w:ilvl w:val="0"/>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Certain Provisions Applicable to Awards</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b w:val="1"/>
          <w:bCs w:val="1"/>
          <w:i w:val="1"/>
          <w:iCs w:val="1"/>
          <w:color w:val="auto"/>
        </w:rPr>
      </w:pPr>
    </w:p>
    <w:p>
      <w:pPr>
        <w:ind w:left="1024" w:right="120" w:hanging="514"/>
        <w:spacing w:after="0" w:line="253" w:lineRule="auto"/>
        <w:tabs>
          <w:tab w:leader="none" w:pos="1024" w:val="left"/>
        </w:tabs>
        <w:numPr>
          <w:ilvl w:val="1"/>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Stand-Alone, Additional, Tandem, and Substitute Awards</w:t>
      </w:r>
      <w:r>
        <w:rPr>
          <w:rFonts w:ascii="Times New Roman" w:cs="Times New Roman" w:eastAsia="Times New Roman" w:hAnsi="Times New Roman"/>
          <w:sz w:val="18"/>
          <w:szCs w:val="18"/>
          <w:color w:val="auto"/>
        </w:rPr>
        <w:t>. Awards granted under the Plan may, in the discretion of the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76" w:lineRule="exact"/>
        <w:rPr>
          <w:rFonts w:ascii="Times New Roman" w:cs="Times New Roman" w:eastAsia="Times New Roman" w:hAnsi="Times New Roman"/>
          <w:sz w:val="18"/>
          <w:szCs w:val="18"/>
          <w:b w:val="1"/>
          <w:bCs w:val="1"/>
          <w:i w:val="1"/>
          <w:iCs w:val="1"/>
          <w:color w:val="auto"/>
        </w:rPr>
      </w:pPr>
    </w:p>
    <w:p>
      <w:pPr>
        <w:ind w:left="1024" w:right="60" w:hanging="514"/>
        <w:spacing w:after="0" w:line="268" w:lineRule="auto"/>
        <w:tabs>
          <w:tab w:leader="none" w:pos="1024" w:val="left"/>
        </w:tabs>
        <w:numPr>
          <w:ilvl w:val="1"/>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Term of Awards</w:t>
      </w:r>
      <w:r>
        <w:rPr>
          <w:rFonts w:ascii="Times New Roman" w:cs="Times New Roman" w:eastAsia="Times New Roman" w:hAnsi="Times New Roman"/>
          <w:sz w:val="18"/>
          <w:szCs w:val="18"/>
          <w:color w:val="auto"/>
        </w:rPr>
        <w:t>. The term of each Award shall be for such period as may be determined by the Committee; provided that in no event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the term of any Option or Stock Appreciation Right exceed a period of ten years (or in the case of an Incentive Stock Option such shorter term as may be required under Section 422 of the Code).</w:t>
      </w:r>
    </w:p>
    <w:p>
      <w:pPr>
        <w:spacing w:after="0" w:line="61" w:lineRule="exact"/>
        <w:rPr>
          <w:rFonts w:ascii="Times New Roman" w:cs="Times New Roman" w:eastAsia="Times New Roman" w:hAnsi="Times New Roman"/>
          <w:sz w:val="18"/>
          <w:szCs w:val="18"/>
          <w:b w:val="1"/>
          <w:bCs w:val="1"/>
          <w:i w:val="1"/>
          <w:iCs w:val="1"/>
          <w:color w:val="auto"/>
        </w:rPr>
      </w:pPr>
    </w:p>
    <w:p>
      <w:pPr>
        <w:ind w:left="1024" w:hanging="514"/>
        <w:spacing w:after="0" w:line="252" w:lineRule="auto"/>
        <w:tabs>
          <w:tab w:leader="none" w:pos="1024" w:val="left"/>
        </w:tabs>
        <w:numPr>
          <w:ilvl w:val="1"/>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 and Timing of Payment Under Awards; Deferrals</w:t>
      </w:r>
      <w:r>
        <w:rPr>
          <w:rFonts w:ascii="Times New Roman" w:cs="Times New Roman" w:eastAsia="Times New Roman" w:hAnsi="Times New Roman"/>
          <w:sz w:val="18"/>
          <w:szCs w:val="18"/>
          <w:color w:val="auto"/>
        </w:rPr>
        <w:t>. Subject to the terms of the Plan and any applicable Award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82" w:lineRule="exact"/>
        <w:rPr>
          <w:rFonts w:ascii="Times New Roman" w:cs="Times New Roman" w:eastAsia="Times New Roman" w:hAnsi="Times New Roman"/>
          <w:sz w:val="18"/>
          <w:szCs w:val="18"/>
          <w:b w:val="1"/>
          <w:bCs w:val="1"/>
          <w:i w:val="1"/>
          <w:iCs w:val="1"/>
          <w:color w:val="auto"/>
        </w:rPr>
      </w:pPr>
    </w:p>
    <w:p>
      <w:pPr>
        <w:ind w:left="1024" w:right="80" w:hanging="514"/>
        <w:spacing w:after="0" w:line="257" w:lineRule="auto"/>
        <w:tabs>
          <w:tab w:leader="none" w:pos="1024" w:val="left"/>
        </w:tabs>
        <w:numPr>
          <w:ilvl w:val="1"/>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Exemptions from Section 16(b) Liability</w:t>
      </w:r>
      <w:r>
        <w:rPr>
          <w:rFonts w:ascii="Times New Roman" w:cs="Times New Roman" w:eastAsia="Times New Roman" w:hAnsi="Times New Roman"/>
          <w:sz w:val="18"/>
          <w:szCs w:val="18"/>
          <w:color w:val="auto"/>
        </w:rPr>
        <w:t>. It is the intent of the Company that the grant of any Awards to or other transaction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72" w:lineRule="exact"/>
        <w:rPr>
          <w:rFonts w:ascii="Times New Roman" w:cs="Times New Roman" w:eastAsia="Times New Roman" w:hAnsi="Times New Roman"/>
          <w:sz w:val="18"/>
          <w:szCs w:val="18"/>
          <w:b w:val="1"/>
          <w:bCs w:val="1"/>
          <w:i w:val="1"/>
          <w:iCs w:val="1"/>
          <w:color w:val="auto"/>
        </w:rPr>
      </w:pPr>
    </w:p>
    <w:p>
      <w:pPr>
        <w:ind w:left="1024" w:right="260" w:hanging="514"/>
        <w:spacing w:after="0" w:line="286" w:lineRule="auto"/>
        <w:tabs>
          <w:tab w:leader="none" w:pos="1024" w:val="left"/>
        </w:tabs>
        <w:numPr>
          <w:ilvl w:val="1"/>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Code Section 409A</w:t>
      </w:r>
      <w:r>
        <w:rPr>
          <w:rFonts w:ascii="Times New Roman" w:cs="Times New Roman" w:eastAsia="Times New Roman" w:hAnsi="Times New Roman"/>
          <w:sz w:val="18"/>
          <w:szCs w:val="18"/>
          <w:color w:val="auto"/>
        </w:rPr>
        <w:t>. The following provisions shall apply to any Award that is or may potentially be subject to the requirements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409A of the Code.</w:t>
      </w:r>
    </w:p>
    <w:p>
      <w:pPr>
        <w:spacing w:after="0" w:line="50" w:lineRule="exact"/>
        <w:rPr>
          <w:rFonts w:ascii="Times New Roman" w:cs="Times New Roman" w:eastAsia="Times New Roman" w:hAnsi="Times New Roman"/>
          <w:sz w:val="18"/>
          <w:szCs w:val="18"/>
          <w:b w:val="1"/>
          <w:bCs w:val="1"/>
          <w:i w:val="1"/>
          <w:iCs w:val="1"/>
          <w:color w:val="auto"/>
        </w:rPr>
      </w:pPr>
    </w:p>
    <w:p>
      <w:pPr>
        <w:ind w:left="1524" w:right="60" w:hanging="505"/>
        <w:spacing w:after="0" w:line="256" w:lineRule="auto"/>
        <w:tabs>
          <w:tab w:leader="none" w:pos="152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77" w:lineRule="exact"/>
        <w:rPr>
          <w:rFonts w:ascii="Times New Roman" w:cs="Times New Roman" w:eastAsia="Times New Roman" w:hAnsi="Times New Roman"/>
          <w:sz w:val="18"/>
          <w:szCs w:val="18"/>
          <w:color w:val="auto"/>
        </w:rPr>
      </w:pPr>
    </w:p>
    <w:p>
      <w:pPr>
        <w:ind w:left="1524" w:right="120" w:hanging="505"/>
        <w:spacing w:after="0" w:line="260" w:lineRule="auto"/>
        <w:tabs>
          <w:tab w:leader="none" w:pos="152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constitutes a Section 409A Plan, then the Award shall be subject to the following additional requirements, if and to the extent required to comply with Section 409A of the Code:</w:t>
      </w:r>
    </w:p>
    <w:p>
      <w:pPr>
        <w:spacing w:after="0" w:line="1"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472440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088" w:right="359" w:bottom="1440" w:gutter="0" w:footer="0" w:header="0"/>
        </w:sectPr>
      </w:pPr>
    </w:p>
    <w:bookmarkStart w:id="73" w:name="page74"/>
    <w:bookmarkEnd w:id="73"/>
    <w:p>
      <w:pPr>
        <w:ind w:left="2552" w:right="180" w:hanging="516"/>
        <w:spacing w:after="0" w:line="258" w:lineRule="auto"/>
        <w:tabs>
          <w:tab w:leader="none" w:pos="25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74" w:lineRule="exact"/>
        <w:rPr>
          <w:rFonts w:ascii="Times New Roman" w:cs="Times New Roman" w:eastAsia="Times New Roman" w:hAnsi="Times New Roman"/>
          <w:sz w:val="18"/>
          <w:szCs w:val="18"/>
          <w:color w:val="auto"/>
        </w:rPr>
      </w:pPr>
    </w:p>
    <w:p>
      <w:pPr>
        <w:ind w:left="2552" w:right="520" w:hanging="516"/>
        <w:spacing w:after="0" w:line="312" w:lineRule="auto"/>
        <w:tabs>
          <w:tab w:leader="none" w:pos="2552"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31" w:lineRule="exact"/>
        <w:rPr>
          <w:rFonts w:ascii="Times New Roman" w:cs="Times New Roman" w:eastAsia="Times New Roman" w:hAnsi="Times New Roman"/>
          <w:sz w:val="17"/>
          <w:szCs w:val="17"/>
          <w:color w:val="auto"/>
        </w:rPr>
      </w:pPr>
    </w:p>
    <w:p>
      <w:pPr>
        <w:ind w:left="2552" w:right="300" w:hanging="516"/>
        <w:spacing w:after="0" w:line="281" w:lineRule="auto"/>
        <w:tabs>
          <w:tab w:leader="none" w:pos="25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54" w:lineRule="exact"/>
        <w:rPr>
          <w:rFonts w:ascii="Times New Roman" w:cs="Times New Roman" w:eastAsia="Times New Roman" w:hAnsi="Times New Roman"/>
          <w:sz w:val="18"/>
          <w:szCs w:val="18"/>
          <w:color w:val="auto"/>
        </w:rPr>
      </w:pPr>
    </w:p>
    <w:p>
      <w:pPr>
        <w:ind w:left="2552" w:right="40" w:hanging="516"/>
        <w:spacing w:after="0" w:line="265" w:lineRule="auto"/>
        <w:tabs>
          <w:tab w:leader="none" w:pos="25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77" w:lineRule="exact"/>
        <w:rPr>
          <w:sz w:val="20"/>
          <w:szCs w:val="20"/>
          <w:color w:val="auto"/>
        </w:rPr>
      </w:pPr>
    </w:p>
    <w:p>
      <w:pPr>
        <w:jc w:val="both"/>
        <w:ind w:left="2252"/>
        <w:spacing w:after="0" w:line="265" w:lineRule="auto"/>
        <w:rPr>
          <w:sz w:val="20"/>
          <w:szCs w:val="20"/>
          <w:color w:val="auto"/>
        </w:rPr>
      </w:pPr>
      <w:r>
        <w:rPr>
          <w:rFonts w:ascii="Times New Roman" w:cs="Times New Roman" w:eastAsia="Times New Roman" w:hAnsi="Times New Roman"/>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69" w:lineRule="exact"/>
        <w:rPr>
          <w:sz w:val="20"/>
          <w:szCs w:val="20"/>
          <w:color w:val="auto"/>
        </w:rPr>
      </w:pPr>
    </w:p>
    <w:p>
      <w:pPr>
        <w:ind w:left="2032" w:hanging="505"/>
        <w:spacing w:after="0" w:line="255" w:lineRule="auto"/>
        <w:tabs>
          <w:tab w:leader="none" w:pos="203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74" w:lineRule="exact"/>
        <w:rPr>
          <w:rFonts w:ascii="Times New Roman" w:cs="Times New Roman" w:eastAsia="Times New Roman" w:hAnsi="Times New Roman"/>
          <w:sz w:val="18"/>
          <w:szCs w:val="18"/>
          <w:color w:val="auto"/>
        </w:rPr>
      </w:pPr>
    </w:p>
    <w:p>
      <w:pPr>
        <w:ind w:left="1532" w:hanging="514"/>
        <w:spacing w:after="0"/>
        <w:tabs>
          <w:tab w:leader="none" w:pos="1532"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Clawback of Certain Compensation and Benefits</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b w:val="1"/>
          <w:bCs w:val="1"/>
          <w:i w:val="1"/>
          <w:iCs w:val="1"/>
          <w:color w:val="auto"/>
        </w:rPr>
      </w:pPr>
    </w:p>
    <w:p>
      <w:pPr>
        <w:ind w:left="2032" w:hanging="505"/>
        <w:spacing w:after="0" w:line="253" w:lineRule="auto"/>
        <w:tabs>
          <w:tab w:leader="none" w:pos="203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w:t>
      </w:r>
      <w:r>
        <w:rPr>
          <w:rFonts w:ascii="Times New Roman" w:cs="Times New Roman" w:eastAsia="Times New Roman" w:hAnsi="Times New Roman"/>
          <w:sz w:val="18"/>
          <w:szCs w:val="18"/>
          <w:b w:val="1"/>
          <w:bCs w:val="1"/>
          <w:color w:val="FF0000"/>
          <w:strike w:val="1"/>
        </w:rPr>
        <w:t>s</w:t>
      </w:r>
      <w:r>
        <w:rPr>
          <w:rFonts w:ascii="Times New Roman" w:cs="Times New Roman" w:eastAsia="Times New Roman" w:hAnsi="Times New Roman"/>
          <w:sz w:val="18"/>
          <w:szCs w:val="18"/>
          <w:color w:val="auto"/>
        </w:rPr>
        <w:t>) may be unilaterally amended by the Company, without the Participant’s consent, to the extent that the Company in its discretion determines to be necessary or appropriate to comply with any Clawback Policy.</w:t>
      </w:r>
    </w:p>
    <w:p>
      <w:pPr>
        <w:spacing w:after="0" w:line="78" w:lineRule="exact"/>
        <w:rPr>
          <w:sz w:val="20"/>
          <w:szCs w:val="20"/>
          <w:color w:val="auto"/>
        </w:rPr>
      </w:pPr>
    </w:p>
    <w:p>
      <w:pPr>
        <w:ind w:left="2032" w:right="60" w:hanging="505"/>
        <w:spacing w:after="0" w:line="252" w:lineRule="auto"/>
        <w:tabs>
          <w:tab w:leader="none" w:pos="203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2"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80"/>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i w:val="1"/>
          <w:iCs w:val="1"/>
          <w:color w:val="FF0000"/>
          <w:strike w:val="1"/>
        </w:rPr>
        <w:t>Code Section 162(m) Provisions</w:t>
      </w:r>
      <w:r>
        <w:rPr>
          <w:rFonts w:ascii="Times New Roman" w:cs="Times New Roman" w:eastAsia="Times New Roman" w:hAnsi="Times New Roman"/>
          <w:sz w:val="18"/>
          <w:szCs w:val="18"/>
          <w:b w:val="1"/>
          <w:bCs w:val="1"/>
          <w:color w:val="FF0000"/>
          <w:strike w:val="1"/>
        </w:rPr>
        <w:t>.</w:t>
      </w:r>
    </w:p>
    <w:p>
      <w:pPr>
        <w:spacing w:after="0" w:line="9" w:lineRule="exact"/>
        <w:rPr>
          <w:sz w:val="20"/>
          <w:szCs w:val="20"/>
          <w:color w:val="auto"/>
        </w:rPr>
      </w:pPr>
    </w:p>
    <w:p>
      <w:pPr>
        <w:jc w:val="both"/>
        <w:ind w:left="-8" w:firstLine="8"/>
        <w:spacing w:after="0" w:line="250" w:lineRule="auto"/>
        <w:tabs>
          <w:tab w:leader="none" w:pos="351" w:val="left"/>
        </w:tabs>
        <w:numPr>
          <w:ilvl w:val="0"/>
          <w:numId w:val="81"/>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i w:val="1"/>
          <w:iCs w:val="1"/>
          <w:color w:val="FF0000"/>
          <w:strike w:val="1"/>
        </w:rPr>
        <w:t>Covered Employees</w:t>
      </w:r>
      <w:r>
        <w:rPr>
          <w:rFonts w:ascii="Times New Roman" w:cs="Times New Roman" w:eastAsia="Times New Roman" w:hAnsi="Times New Roman"/>
          <w:sz w:val="18"/>
          <w:szCs w:val="18"/>
          <w:b w:val="1"/>
          <w:bCs w:val="1"/>
          <w:color w:val="FF0000"/>
          <w:strike w:val="1"/>
        </w:rPr>
        <w:t>. The Committee, in its discretion, may determine at the time an Award is granted to an Eligible Person who is, or is likely</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color w:val="FF0000"/>
          <w:strike w:val="1"/>
        </w:rPr>
        <w:t>to be, as of the end of the tax year in which the Company would claim a tax deduction in connection with such Award, a Covered Employee, that the provisions of this Section 9 shall be applicable to such Award.</w:t>
      </w:r>
    </w:p>
    <w:p>
      <w:pPr>
        <w:jc w:val="center"/>
        <w:ind w:right="-11"/>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472440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2" w:right="339" w:bottom="1440" w:gutter="0" w:footer="0" w:header="0"/>
        </w:sectPr>
      </w:pPr>
    </w:p>
    <w:bookmarkStart w:id="74" w:name="page75"/>
    <w:bookmarkEnd w:id="74"/>
    <w:p>
      <w:pPr>
        <w:jc w:val="both"/>
        <w:ind w:firstLine="8"/>
        <w:spacing w:after="0" w:line="251" w:lineRule="auto"/>
        <w:tabs>
          <w:tab w:leader="none" w:pos="359" w:val="left"/>
        </w:tabs>
        <w:numPr>
          <w:ilvl w:val="0"/>
          <w:numId w:val="82"/>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i w:val="1"/>
          <w:iCs w:val="1"/>
          <w:color w:val="FF0000"/>
          <w:strike w:val="1"/>
        </w:rPr>
        <w:t>Performance Criteria</w:t>
      </w:r>
      <w:r>
        <w:rPr>
          <w:rFonts w:ascii="Times New Roman" w:cs="Times New Roman" w:eastAsia="Times New Roman" w:hAnsi="Times New Roman"/>
          <w:sz w:val="18"/>
          <w:szCs w:val="18"/>
          <w:b w:val="1"/>
          <w:bCs w:val="1"/>
          <w:color w:val="FF0000"/>
          <w:strike w:val="1"/>
        </w:rPr>
        <w:t>. If an Award is subject to this Section 9, then the payment or distribution thereof or lapsing of restrictions thereon and</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color w:val="FF0000"/>
          <w:strike w:val="1"/>
        </w:rPr>
        <w:t>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w:t>
      </w:r>
      <w:r>
        <w:rPr>
          <w:rFonts w:ascii="Times New Roman" w:cs="Times New Roman" w:eastAsia="Times New Roman" w:hAnsi="Times New Roman"/>
          <w:sz w:val="18"/>
          <w:szCs w:val="18"/>
          <w:b w:val="1"/>
          <w:bCs w:val="1"/>
          <w:color w:val="008000"/>
          <w:strike w:val="1"/>
        </w:rPr>
        <w:t>. Except as otherwise specified by the Committee</w:t>
      </w:r>
      <w:r>
        <w:rPr>
          <w:rFonts w:ascii="Times New Roman" w:cs="Times New Roman" w:eastAsia="Times New Roman" w:hAnsi="Times New Roman"/>
          <w:sz w:val="18"/>
          <w:szCs w:val="18"/>
          <w:b w:val="1"/>
          <w:bCs w:val="1"/>
          <w:color w:val="FF0000"/>
          <w:strike w:val="1"/>
        </w:rPr>
        <w:t xml:space="preserve"> at the time the goals are set</w:t>
      </w:r>
      <w:r>
        <w:rPr>
          <w:rFonts w:ascii="Times New Roman" w:cs="Times New Roman" w:eastAsia="Times New Roman" w:hAnsi="Times New Roman"/>
          <w:sz w:val="18"/>
          <w:szCs w:val="18"/>
          <w:b w:val="1"/>
          <w:bCs w:val="1"/>
          <w:color w:val="008000"/>
          <w:strike w:val="1"/>
        </w:rPr>
        <w:t>, the Committee shall exclude the impact of: (i)</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color w:val="008000"/>
          <w:strike w:val="1"/>
        </w:rPr>
        <w:t xml:space="preserve">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w:t>
      </w:r>
      <w:r>
        <w:rPr>
          <w:rFonts w:ascii="Times New Roman" w:cs="Times New Roman" w:eastAsia="Times New Roman" w:hAnsi="Times New Roman"/>
          <w:sz w:val="18"/>
          <w:szCs w:val="18"/>
          <w:b w:val="1"/>
          <w:bCs w:val="1"/>
          <w:color w:val="FF0000"/>
          <w:strike w:val="1"/>
        </w:rPr>
        <w:t>specified by the Committee at the time the goals are set.</w:t>
      </w:r>
    </w:p>
    <w:p>
      <w:pPr>
        <w:spacing w:after="0" w:line="7" w:lineRule="exact"/>
        <w:rPr>
          <w:rFonts w:ascii="Times New Roman" w:cs="Times New Roman" w:eastAsia="Times New Roman" w:hAnsi="Times New Roman"/>
          <w:sz w:val="18"/>
          <w:szCs w:val="18"/>
          <w:b w:val="1"/>
          <w:bCs w:val="1"/>
          <w:color w:val="FF0000"/>
          <w:strike w:val="1"/>
        </w:rPr>
      </w:pPr>
    </w:p>
    <w:p>
      <w:pPr>
        <w:jc w:val="both"/>
        <w:ind w:firstLine="8"/>
        <w:spacing w:after="0" w:line="250" w:lineRule="auto"/>
        <w:tabs>
          <w:tab w:leader="none" w:pos="359" w:val="left"/>
        </w:tabs>
        <w:numPr>
          <w:ilvl w:val="0"/>
          <w:numId w:val="82"/>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i w:val="1"/>
          <w:iCs w:val="1"/>
          <w:color w:val="FF0000"/>
          <w:strike w:val="1"/>
        </w:rPr>
        <w:t>Performance Period; Timing For Establishing Performance Goals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color w:val="008000"/>
          <w:strike w:val="1"/>
        </w:rPr>
        <w:t>Achievement of performance goals in respect of</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color w:val="FF0000"/>
          <w:strike w:val="1"/>
        </w:rPr>
        <w:t>such Performance Awards</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color w:val="FF0000"/>
          <w:strike w:val="1"/>
        </w:rPr>
        <w:t xml:space="preserve">subject to this Section 9 shall </w:t>
      </w:r>
      <w:r>
        <w:rPr>
          <w:rFonts w:ascii="Times New Roman" w:cs="Times New Roman" w:eastAsia="Times New Roman" w:hAnsi="Times New Roman"/>
          <w:sz w:val="18"/>
          <w:szCs w:val="18"/>
          <w:b w:val="1"/>
          <w:bCs w:val="1"/>
          <w:color w:val="008000"/>
          <w:strike w:val="1"/>
        </w:rPr>
        <w:t>be measured over a Performance Period</w:t>
      </w:r>
      <w:r>
        <w:rPr>
          <w:rFonts w:ascii="Times New Roman" w:cs="Times New Roman" w:eastAsia="Times New Roman" w:hAnsi="Times New Roman"/>
          <w:sz w:val="18"/>
          <w:szCs w:val="18"/>
          <w:b w:val="1"/>
          <w:bCs w:val="1"/>
          <w:color w:val="FF0000"/>
          <w:strike w:val="1"/>
        </w:rPr>
        <w:t xml:space="preserve"> no shorter than 12 months and no </w:t>
      </w:r>
      <w:r>
        <w:rPr>
          <w:rFonts w:ascii="Times New Roman" w:cs="Times New Roman" w:eastAsia="Times New Roman" w:hAnsi="Times New Roman"/>
          <w:sz w:val="18"/>
          <w:szCs w:val="18"/>
          <w:b w:val="1"/>
          <w:bCs w:val="1"/>
          <w:color w:val="008000"/>
          <w:strike w:val="1"/>
        </w:rPr>
        <w:t>longer than 5 years, as specified</w:t>
      </w:r>
      <w:r>
        <w:rPr>
          <w:rFonts w:ascii="Times New Roman" w:cs="Times New Roman" w:eastAsia="Times New Roman" w:hAnsi="Times New Roman"/>
          <w:sz w:val="18"/>
          <w:szCs w:val="18"/>
          <w:b w:val="1"/>
          <w:bCs w:val="1"/>
          <w:color w:val="FF0000"/>
          <w:strike w:val="1"/>
        </w:rPr>
        <w:t xml:space="preserve"> by the Committee. Performance goals shall be established not later than </w:t>
      </w:r>
      <w:r>
        <w:rPr>
          <w:rFonts w:ascii="Times New Roman" w:cs="Times New Roman" w:eastAsia="Times New Roman" w:hAnsi="Times New Roman"/>
          <w:sz w:val="18"/>
          <w:szCs w:val="18"/>
          <w:b w:val="1"/>
          <w:bCs w:val="1"/>
          <w:color w:val="008000"/>
          <w:strike w:val="1"/>
        </w:rPr>
        <w:t>90 days after the beginning of any Performance Period applicable to</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color w:val="008000"/>
          <w:strike w:val="1"/>
        </w:rPr>
        <w:t>Performance Awards</w:t>
      </w:r>
      <w:r>
        <w:rPr>
          <w:rFonts w:ascii="Times New Roman" w:cs="Times New Roman" w:eastAsia="Times New Roman" w:hAnsi="Times New Roman"/>
          <w:sz w:val="18"/>
          <w:szCs w:val="18"/>
          <w:b w:val="1"/>
          <w:bCs w:val="1"/>
          <w:color w:val="FF0000"/>
          <w:strike w:val="1"/>
        </w:rPr>
        <w:t>, subject to this Section 9, or at such other date as may be required or permitted for “performance-based compensation”</w:t>
      </w:r>
      <w:r>
        <w:rPr>
          <w:rFonts w:ascii="Times New Roman" w:cs="Times New Roman" w:eastAsia="Times New Roman" w:hAnsi="Times New Roman"/>
          <w:sz w:val="18"/>
          <w:szCs w:val="18"/>
          <w:b w:val="1"/>
          <w:bCs w:val="1"/>
          <w:color w:val="008000"/>
          <w:strike w:val="1"/>
        </w:rPr>
        <w:t xml:space="preserve"> </w:t>
      </w:r>
      <w:r>
        <w:rPr>
          <w:rFonts w:ascii="Times New Roman" w:cs="Times New Roman" w:eastAsia="Times New Roman" w:hAnsi="Times New Roman"/>
          <w:sz w:val="18"/>
          <w:szCs w:val="18"/>
          <w:b w:val="1"/>
          <w:bCs w:val="1"/>
          <w:color w:val="FF0000"/>
          <w:strike w:val="1"/>
        </w:rPr>
        <w:t>under Section 162(m) of the Code.</w:t>
      </w:r>
    </w:p>
    <w:p>
      <w:pPr>
        <w:jc w:val="both"/>
        <w:ind w:firstLine="8"/>
        <w:spacing w:after="0" w:line="250" w:lineRule="auto"/>
        <w:tabs>
          <w:tab w:leader="none" w:pos="373" w:val="left"/>
        </w:tabs>
        <w:numPr>
          <w:ilvl w:val="0"/>
          <w:numId w:val="82"/>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i w:val="1"/>
          <w:iCs w:val="1"/>
          <w:color w:val="FF0000"/>
          <w:strike w:val="1"/>
        </w:rPr>
        <w:t>Adjustments</w:t>
      </w:r>
      <w:r>
        <w:rPr>
          <w:rFonts w:ascii="Times New Roman" w:cs="Times New Roman" w:eastAsia="Times New Roman" w:hAnsi="Times New Roman"/>
          <w:sz w:val="18"/>
          <w:szCs w:val="18"/>
          <w:b w:val="1"/>
          <w:bCs w:val="1"/>
          <w:color w:val="008000"/>
          <w:strike w:val="1"/>
        </w:rPr>
        <w:t>. The Committee may, in its discretion, reduce the amount of a settlement otherwise to be made in connection with Awards</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color w:val="FF0000"/>
          <w:strike w:val="1"/>
        </w:rPr>
        <w:t xml:space="preserve">subject to this Section 9, but may not exercise discretion to increase any such amount payable to a Covered Employee in respect of an Award subject to this Section 9. The Committee shall specify the circumstances in which such Awards shall be paid </w:t>
      </w:r>
      <w:r>
        <w:rPr>
          <w:rFonts w:ascii="Times New Roman" w:cs="Times New Roman" w:eastAsia="Times New Roman" w:hAnsi="Times New Roman"/>
          <w:sz w:val="18"/>
          <w:szCs w:val="18"/>
          <w:b w:val="1"/>
          <w:bCs w:val="1"/>
          <w:color w:val="008000"/>
          <w:strike w:val="1"/>
        </w:rPr>
        <w:t>or forfeited in the event of</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color w:val="008000"/>
          <w:strike w:val="1"/>
        </w:rPr>
        <w:t>termination of Continuous Service by the Participant prior to the end of a Performance Period or settlement of Awards.</w:t>
      </w:r>
    </w:p>
    <w:p>
      <w:pPr>
        <w:jc w:val="both"/>
        <w:ind w:firstLine="8"/>
        <w:spacing w:after="0" w:line="253" w:lineRule="auto"/>
        <w:tabs>
          <w:tab w:leader="none" w:pos="359" w:val="left"/>
        </w:tabs>
        <w:numPr>
          <w:ilvl w:val="0"/>
          <w:numId w:val="82"/>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i w:val="1"/>
          <w:iCs w:val="1"/>
          <w:color w:val="FF0000"/>
          <w:strike w:val="1"/>
        </w:rPr>
        <w:t>Committee Certification</w:t>
      </w:r>
      <w:r>
        <w:rPr>
          <w:rFonts w:ascii="Times New Roman" w:cs="Times New Roman" w:eastAsia="Times New Roman" w:hAnsi="Times New Roman"/>
          <w:sz w:val="18"/>
          <w:szCs w:val="18"/>
          <w:b w:val="1"/>
          <w:bCs w:val="1"/>
          <w:color w:val="FF0000"/>
          <w:strike w:val="1"/>
        </w:rPr>
        <w:t>. No Participant shall receive any payment under the Plan that is subject to this Section 9 unless the Committee has</w:t>
      </w:r>
      <w:r>
        <w:rPr>
          <w:rFonts w:ascii="Times New Roman" w:cs="Times New Roman" w:eastAsia="Times New Roman" w:hAnsi="Times New Roman"/>
          <w:sz w:val="18"/>
          <w:szCs w:val="18"/>
          <w:b w:val="1"/>
          <w:bCs w:val="1"/>
          <w:i w:val="1"/>
          <w:iCs w:val="1"/>
          <w:color w:val="FF0000"/>
          <w:strike w:val="1"/>
        </w:rPr>
        <w:t xml:space="preserve"> </w:t>
      </w:r>
      <w:r>
        <w:rPr>
          <w:rFonts w:ascii="Times New Roman" w:cs="Times New Roman" w:eastAsia="Times New Roman" w:hAnsi="Times New Roman"/>
          <w:sz w:val="18"/>
          <w:szCs w:val="18"/>
          <w:b w:val="1"/>
          <w:bCs w:val="1"/>
          <w:color w:val="FF0000"/>
          <w:strike w:val="1"/>
        </w:rPr>
        <w:t>certified</w:t>
      </w:r>
      <w:r>
        <w:rPr>
          <w:rFonts w:ascii="Times New Roman" w:cs="Times New Roman" w:eastAsia="Times New Roman" w:hAnsi="Times New Roman"/>
          <w:sz w:val="18"/>
          <w:szCs w:val="18"/>
          <w:b w:val="1"/>
          <w:bCs w:val="1"/>
          <w:color w:val="008000"/>
          <w:strike w:val="1"/>
        </w:rPr>
        <w:t>, by resolution or other appropriate action</w:t>
      </w:r>
      <w:r>
        <w:rPr>
          <w:rFonts w:ascii="Times New Roman" w:cs="Times New Roman" w:eastAsia="Times New Roman" w:hAnsi="Times New Roman"/>
          <w:sz w:val="18"/>
          <w:szCs w:val="18"/>
          <w:b w:val="1"/>
          <w:bCs w:val="1"/>
          <w:color w:val="FF0000"/>
          <w:strike w:val="1"/>
        </w:rPr>
        <w:t xml:space="preserve"> in writing, that </w:t>
      </w:r>
      <w:r>
        <w:rPr>
          <w:rFonts w:ascii="Times New Roman" w:cs="Times New Roman" w:eastAsia="Times New Roman" w:hAnsi="Times New Roman"/>
          <w:sz w:val="18"/>
          <w:szCs w:val="18"/>
          <w:b w:val="1"/>
          <w:bCs w:val="1"/>
          <w:color w:val="008000"/>
          <w:strike w:val="1"/>
        </w:rPr>
        <w:t>the performance criteria and any other material terms previously established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color w:val="008000"/>
          <w:strike w:val="1"/>
        </w:rPr>
        <w:t>by the Committee or set forth in the Plan</w:t>
      </w:r>
      <w:r>
        <w:rPr>
          <w:rFonts w:ascii="Times New Roman" w:cs="Times New Roman" w:eastAsia="Times New Roman" w:hAnsi="Times New Roman"/>
          <w:sz w:val="18"/>
          <w:szCs w:val="18"/>
          <w:b w:val="1"/>
          <w:bCs w:val="1"/>
          <w:color w:val="FF0000"/>
          <w:strike w:val="1"/>
        </w:rPr>
        <w:t>, have been satisfied to the extent necessary to qualify as “performance based compensation” under</w:t>
      </w:r>
      <w:r>
        <w:rPr>
          <w:rFonts w:ascii="Times New Roman" w:cs="Times New Roman" w:eastAsia="Times New Roman" w:hAnsi="Times New Roman"/>
          <w:sz w:val="18"/>
          <w:szCs w:val="18"/>
          <w:b w:val="1"/>
          <w:bCs w:val="1"/>
          <w:color w:val="008000"/>
          <w:strike w:val="1"/>
        </w:rPr>
        <w:t xml:space="preserve"> </w:t>
      </w:r>
      <w:r>
        <w:rPr>
          <w:rFonts w:ascii="Times New Roman" w:cs="Times New Roman" w:eastAsia="Times New Roman" w:hAnsi="Times New Roman"/>
          <w:sz w:val="18"/>
          <w:szCs w:val="18"/>
          <w:b w:val="1"/>
          <w:bCs w:val="1"/>
          <w:color w:val="FF0000"/>
          <w:strike w:val="1"/>
        </w:rPr>
        <w:t>Section 162(m) of the Code.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b w:val="1"/>
          <w:bCs w:val="1"/>
          <w:color w:val="FF0000"/>
          <w:strike w:val="1"/>
        </w:rPr>
        <w:t>10.</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i w:val="1"/>
          <w:iCs w:val="1"/>
          <w:color w:val="000000"/>
        </w:rPr>
        <w:t>Change in Control</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left="1540" w:right="40" w:hanging="514"/>
        <w:spacing w:after="0" w:line="266" w:lineRule="auto"/>
        <w:tabs>
          <w:tab w:leader="none" w:pos="1540" w:val="left"/>
        </w:tabs>
        <w:numPr>
          <w:ilvl w:val="0"/>
          <w:numId w:val="8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Effect of “Change in Control”</w:t>
      </w:r>
      <w:r>
        <w:rPr>
          <w:rFonts w:ascii="Times New Roman" w:cs="Times New Roman" w:eastAsia="Times New Roman" w:hAnsi="Times New Roman"/>
          <w:sz w:val="17"/>
          <w:szCs w:val="17"/>
          <w:color w:val="auto"/>
        </w:rPr>
        <w:t>. Unless otherwise provided in any employment or other agreement between the Participant and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w:t>
      </w:r>
    </w:p>
    <w:p>
      <w:pPr>
        <w:spacing w:after="0" w:line="11" w:lineRule="exact"/>
        <w:rPr>
          <w:sz w:val="20"/>
          <w:szCs w:val="20"/>
          <w:color w:val="auto"/>
        </w:rPr>
      </w:pPr>
    </w:p>
    <w:p>
      <w:pPr>
        <w:ind w:left="1540" w:right="20"/>
        <w:spacing w:after="0" w:line="250" w:lineRule="auto"/>
        <w:rPr>
          <w:sz w:val="20"/>
          <w:szCs w:val="20"/>
          <w:color w:val="auto"/>
        </w:rPr>
      </w:pPr>
      <w:r>
        <w:rPr>
          <w:rFonts w:ascii="Times New Roman" w:cs="Times New Roman" w:eastAsia="Times New Roman" w:hAnsi="Times New Roman"/>
          <w:sz w:val="18"/>
          <w:szCs w:val="18"/>
          <w:color w:val="auto"/>
        </w:rPr>
        <w:t xml:space="preserve">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w:t>
      </w:r>
      <w:r>
        <w:rPr>
          <w:rFonts w:ascii="Times New Roman" w:cs="Times New Roman" w:eastAsia="Times New Roman" w:hAnsi="Times New Roman"/>
          <w:sz w:val="18"/>
          <w:szCs w:val="18"/>
          <w:b w:val="1"/>
          <w:bCs w:val="1"/>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5" w:name="page76"/>
    <w:bookmarkEnd w:id="75"/>
    <w:p>
      <w:pPr>
        <w:ind w:left="514" w:right="120"/>
        <w:spacing w:after="0" w:line="253" w:lineRule="auto"/>
        <w:rPr>
          <w:sz w:val="20"/>
          <w:szCs w:val="20"/>
          <w:color w:val="auto"/>
        </w:rPr>
      </w:pPr>
      <w:r>
        <w:rPr>
          <w:rFonts w:ascii="Times New Roman" w:cs="Times New Roman" w:eastAsia="Times New Roman" w:hAnsi="Times New Roman"/>
          <w:sz w:val="18"/>
          <w:szCs w:val="18"/>
          <w:color w:val="auto"/>
        </w:rPr>
        <w:t xml:space="preserve">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w:t>
      </w:r>
      <w:r>
        <w:rPr>
          <w:rFonts w:ascii="Times New Roman" w:cs="Times New Roman" w:eastAsia="Times New Roman" w:hAnsi="Times New Roman"/>
          <w:sz w:val="18"/>
          <w:szCs w:val="18"/>
          <w:b w:val="1"/>
          <w:bCs w:val="1"/>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 shall be immediately cancelled in exchange for cash payable by the Company for each Share subject to the cancelled Option equal to the amount, if any, by which the Redemption Price Per Share exceeds the exercise price per Share of the Option.</w:t>
      </w:r>
    </w:p>
    <w:p>
      <w:pPr>
        <w:spacing w:after="0" w:line="79" w:lineRule="exact"/>
        <w:rPr>
          <w:sz w:val="20"/>
          <w:szCs w:val="20"/>
          <w:color w:val="auto"/>
        </w:rPr>
      </w:pPr>
    </w:p>
    <w:p>
      <w:pPr>
        <w:ind w:left="514" w:hanging="514"/>
        <w:spacing w:after="0" w:line="268" w:lineRule="auto"/>
        <w:tabs>
          <w:tab w:leader="none" w:pos="514"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Definition of “Change in Control”</w:t>
      </w:r>
      <w:r>
        <w:rPr>
          <w:rFonts w:ascii="Times New Roman" w:cs="Times New Roman" w:eastAsia="Times New Roman" w:hAnsi="Times New Roman"/>
          <w:sz w:val="18"/>
          <w:szCs w:val="18"/>
          <w:color w:val="auto"/>
        </w:rPr>
        <w:t>. Unless otherwise specified in any employment or other agreement for services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and the Company or any Subsidiary, or in an Award Agreement, a “Change in Control” shall mean the occurrence of any of the following:</w:t>
      </w:r>
    </w:p>
    <w:p>
      <w:pPr>
        <w:spacing w:after="0" w:line="65" w:lineRule="exact"/>
        <w:rPr>
          <w:rFonts w:ascii="Times New Roman" w:cs="Times New Roman" w:eastAsia="Times New Roman" w:hAnsi="Times New Roman"/>
          <w:sz w:val="18"/>
          <w:szCs w:val="18"/>
          <w:b w:val="1"/>
          <w:bCs w:val="1"/>
          <w:i w:val="1"/>
          <w:iCs w:val="1"/>
          <w:color w:val="auto"/>
        </w:rPr>
      </w:pPr>
    </w:p>
    <w:p>
      <w:pPr>
        <w:ind w:left="1014" w:right="220" w:hanging="505"/>
        <w:spacing w:after="0" w:line="269" w:lineRule="auto"/>
        <w:tabs>
          <w:tab w:leader="none" w:pos="1014"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w:t>
      </w:r>
    </w:p>
    <w:p>
      <w:pPr>
        <w:spacing w:after="0" w:line="1" w:lineRule="exact"/>
        <w:rPr>
          <w:rFonts w:ascii="Times New Roman" w:cs="Times New Roman" w:eastAsia="Times New Roman" w:hAnsi="Times New Roman"/>
          <w:sz w:val="17"/>
          <w:szCs w:val="17"/>
          <w:color w:val="auto"/>
        </w:rPr>
      </w:pPr>
    </w:p>
    <w:p>
      <w:pPr>
        <w:ind w:left="1014"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FF0000"/>
          <w:strike w:val="1"/>
        </w:rPr>
        <w:t>10</w:t>
      </w:r>
      <w:r>
        <w:rPr>
          <w:rFonts w:ascii="Times New Roman" w:cs="Times New Roman" w:eastAsia="Times New Roman" w:hAnsi="Times New Roman"/>
          <w:sz w:val="18"/>
          <w:szCs w:val="18"/>
          <w:b w:val="1"/>
          <w:bCs w:val="1"/>
          <w:u w:val="single" w:color="auto"/>
          <w:color w:val="0000FF"/>
        </w:rPr>
        <w:t>9</w:t>
      </w:r>
      <w:r>
        <w:rPr>
          <w:rFonts w:ascii="Times New Roman" w:cs="Times New Roman" w:eastAsia="Times New Roman" w:hAnsi="Times New Roman"/>
          <w:sz w:val="18"/>
          <w:szCs w:val="18"/>
          <w:color w:val="000000"/>
        </w:rPr>
        <w:t>(b), the following acquisitions shall not constitute or result in a Change in Control: (v) any acquisition directly from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81" w:lineRule="exact"/>
        <w:rPr>
          <w:rFonts w:ascii="Times New Roman" w:cs="Times New Roman" w:eastAsia="Times New Roman" w:hAnsi="Times New Roman"/>
          <w:sz w:val="17"/>
          <w:szCs w:val="17"/>
          <w:color w:val="auto"/>
        </w:rPr>
      </w:pPr>
    </w:p>
    <w:p>
      <w:pPr>
        <w:ind w:left="1014" w:hanging="505"/>
        <w:spacing w:after="0" w:line="254" w:lineRule="auto"/>
        <w:tabs>
          <w:tab w:leader="none" w:pos="101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81" w:lineRule="exact"/>
        <w:rPr>
          <w:rFonts w:ascii="Times New Roman" w:cs="Times New Roman" w:eastAsia="Times New Roman" w:hAnsi="Times New Roman"/>
          <w:sz w:val="18"/>
          <w:szCs w:val="18"/>
          <w:color w:val="auto"/>
        </w:rPr>
      </w:pPr>
    </w:p>
    <w:p>
      <w:pPr>
        <w:ind w:left="1014" w:hanging="505"/>
        <w:spacing w:after="0" w:line="251" w:lineRule="auto"/>
        <w:tabs>
          <w:tab w:leader="none" w:pos="101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93" w:lineRule="exact"/>
        <w:rPr>
          <w:rFonts w:ascii="Times New Roman" w:cs="Times New Roman" w:eastAsia="Times New Roman" w:hAnsi="Times New Roman"/>
          <w:sz w:val="18"/>
          <w:szCs w:val="18"/>
          <w:color w:val="auto"/>
        </w:rPr>
      </w:pPr>
    </w:p>
    <w:p>
      <w:pPr>
        <w:ind w:left="1014" w:hanging="505"/>
        <w:spacing w:after="0"/>
        <w:tabs>
          <w:tab w:leader="none" w:pos="101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7" w:lineRule="exact"/>
        <w:rPr>
          <w:sz w:val="20"/>
          <w:szCs w:val="20"/>
          <w:color w:val="auto"/>
        </w:rPr>
      </w:pPr>
    </w:p>
    <w:p>
      <w:pPr>
        <w:ind w:left="4414"/>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472440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092" w:right="339" w:bottom="1440" w:gutter="0" w:footer="0" w:header="0"/>
        </w:sectPr>
      </w:pPr>
    </w:p>
    <w:bookmarkStart w:id="76" w:name="page77"/>
    <w:bookmarkEnd w:id="76"/>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0000FF"/>
        </w:rPr>
        <w:t>10.</w:t>
      </w:r>
      <w:r>
        <w:rPr>
          <w:rFonts w:ascii="Times New Roman" w:cs="Times New Roman" w:eastAsia="Times New Roman" w:hAnsi="Times New Roman"/>
          <w:sz w:val="18"/>
          <w:szCs w:val="18"/>
          <w:b w:val="1"/>
          <w:bCs w:val="1"/>
          <w:color w:val="FF0000"/>
          <w:strike w:val="1"/>
        </w:rPr>
        <w:t>11.</w:t>
      </w:r>
      <w:r>
        <w:rPr>
          <w:sz w:val="20"/>
          <w:szCs w:val="20"/>
          <w:color w:val="auto"/>
        </w:rPr>
        <w:tab/>
      </w:r>
      <w:r>
        <w:rPr>
          <w:rFonts w:ascii="Times New Roman" w:cs="Times New Roman" w:eastAsia="Times New Roman" w:hAnsi="Times New Roman"/>
          <w:sz w:val="18"/>
          <w:szCs w:val="18"/>
          <w:b w:val="1"/>
          <w:bCs w:val="1"/>
          <w:i w:val="1"/>
          <w:iCs w:val="1"/>
          <w:color w:val="auto"/>
        </w:rPr>
        <w:t>General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40" w:right="180" w:hanging="514"/>
        <w:spacing w:after="0" w:line="256" w:lineRule="auto"/>
        <w:tabs>
          <w:tab w:leader="none" w:pos="154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Compliance With Legal and Other Requirements</w:t>
      </w:r>
      <w:r>
        <w:rPr>
          <w:rFonts w:ascii="Times New Roman" w:cs="Times New Roman" w:eastAsia="Times New Roman" w:hAnsi="Times New Roman"/>
          <w:sz w:val="18"/>
          <w:szCs w:val="18"/>
          <w:color w:val="auto"/>
        </w:rPr>
        <w:t>. The Company may, to the extent deemed necessary or advisable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72" w:lineRule="exact"/>
        <w:rPr>
          <w:rFonts w:ascii="Times New Roman" w:cs="Times New Roman" w:eastAsia="Times New Roman" w:hAnsi="Times New Roman"/>
          <w:sz w:val="18"/>
          <w:szCs w:val="18"/>
          <w:b w:val="1"/>
          <w:bCs w:val="1"/>
          <w:i w:val="1"/>
          <w:iCs w:val="1"/>
          <w:color w:val="auto"/>
        </w:rPr>
      </w:pPr>
    </w:p>
    <w:p>
      <w:pPr>
        <w:ind w:left="1540" w:hanging="514"/>
        <w:spacing w:after="0" w:line="252" w:lineRule="auto"/>
        <w:tabs>
          <w:tab w:leader="none" w:pos="154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Limits on Transferability; Beneficiaries</w:t>
      </w:r>
      <w:r>
        <w:rPr>
          <w:rFonts w:ascii="Times New Roman" w:cs="Times New Roman" w:eastAsia="Times New Roman" w:hAnsi="Times New Roman"/>
          <w:sz w:val="18"/>
          <w:szCs w:val="18"/>
          <w:color w:val="auto"/>
        </w:rPr>
        <w:t>. No Award or other right or interest granted under the Plan shall be pledged, hypothecated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79" w:lineRule="exact"/>
        <w:rPr>
          <w:rFonts w:ascii="Times New Roman" w:cs="Times New Roman" w:eastAsia="Times New Roman" w:hAnsi="Times New Roman"/>
          <w:sz w:val="18"/>
          <w:szCs w:val="18"/>
          <w:b w:val="1"/>
          <w:bCs w:val="1"/>
          <w:i w:val="1"/>
          <w:iCs w:val="1"/>
          <w:color w:val="auto"/>
        </w:rPr>
      </w:pPr>
    </w:p>
    <w:p>
      <w:pPr>
        <w:ind w:left="1540" w:hanging="514"/>
        <w:spacing w:after="0"/>
        <w:tabs>
          <w:tab w:leader="none" w:pos="154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b w:val="1"/>
          <w:bCs w:val="1"/>
          <w:i w:val="1"/>
          <w:iCs w:val="1"/>
          <w:color w:val="auto"/>
        </w:rPr>
      </w:pPr>
    </w:p>
    <w:p>
      <w:pPr>
        <w:ind w:left="2040" w:hanging="505"/>
        <w:spacing w:after="0" w:line="252" w:lineRule="auto"/>
        <w:tabs>
          <w:tab w:leader="none" w:pos="2040" w:val="left"/>
        </w:tabs>
        <w:numPr>
          <w:ilvl w:val="1"/>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Adjustments to Awards</w:t>
      </w:r>
      <w:r>
        <w:rPr>
          <w:rFonts w:ascii="Times New Roman" w:cs="Times New Roman" w:eastAsia="Times New Roman" w:hAnsi="Times New Roman"/>
          <w:sz w:val="18"/>
          <w:szCs w:val="18"/>
          <w:color w:val="auto"/>
        </w:rPr>
        <w:t>. In the event that any extraordinary dividend or other distribution (whether in the form of cash,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77" w:lineRule="exact"/>
        <w:rPr>
          <w:rFonts w:ascii="Times New Roman" w:cs="Times New Roman" w:eastAsia="Times New Roman" w:hAnsi="Times New Roman"/>
          <w:sz w:val="18"/>
          <w:szCs w:val="18"/>
          <w:i w:val="1"/>
          <w:iCs w:val="1"/>
          <w:color w:val="auto"/>
        </w:rPr>
      </w:pPr>
    </w:p>
    <w:p>
      <w:pPr>
        <w:ind w:left="2040" w:hanging="505"/>
        <w:spacing w:after="0"/>
        <w:tabs>
          <w:tab w:leader="none" w:pos="2040" w:val="left"/>
        </w:tabs>
        <w:numPr>
          <w:ilvl w:val="1"/>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Adjustments in Case of Certain Transactions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77" w:name="page78"/>
    <w:bookmarkEnd w:id="77"/>
    <w:p>
      <w:pPr>
        <w:ind w:left="1534" w:right="20" w:hanging="516"/>
        <w:spacing w:after="0" w:line="269" w:lineRule="auto"/>
        <w:tabs>
          <w:tab w:leader="none" w:pos="1534" w:val="left"/>
        </w:tabs>
        <w:numPr>
          <w:ilvl w:val="2"/>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any merger, consolidation or other reorganization in which the Company does not survive, or in the event of any Change in Control (and subject to the provisions of Section </w:t>
      </w:r>
      <w:r>
        <w:rPr>
          <w:rFonts w:ascii="Times New Roman" w:cs="Times New Roman" w:eastAsia="Times New Roman" w:hAnsi="Times New Roman"/>
          <w:sz w:val="17"/>
          <w:szCs w:val="17"/>
          <w:b w:val="1"/>
          <w:bCs w:val="1"/>
          <w:color w:val="FF0000"/>
          <w:strike w:val="1"/>
        </w:rPr>
        <w:t>10</w:t>
      </w:r>
      <w:r>
        <w:rPr>
          <w:rFonts w:ascii="Times New Roman" w:cs="Times New Roman" w:eastAsia="Times New Roman" w:hAnsi="Times New Roman"/>
          <w:sz w:val="17"/>
          <w:szCs w:val="17"/>
          <w:b w:val="1"/>
          <w:bCs w:val="1"/>
          <w:u w:val="single" w:color="auto"/>
          <w:color w:val="0000FF"/>
        </w:rPr>
        <w:t>9</w:t>
      </w:r>
      <w:r>
        <w:rPr>
          <w:rFonts w:ascii="Times New Roman" w:cs="Times New Roman" w:eastAsia="Times New Roman" w:hAnsi="Times New Roman"/>
          <w:sz w:val="17"/>
          <w:szCs w:val="17"/>
          <w:color w:val="auto"/>
        </w:rPr>
        <w:t>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w:t>
      </w:r>
    </w:p>
    <w:p>
      <w:pPr>
        <w:spacing w:after="0" w:line="1" w:lineRule="exact"/>
        <w:rPr>
          <w:rFonts w:ascii="Times New Roman" w:cs="Times New Roman" w:eastAsia="Times New Roman" w:hAnsi="Times New Roman"/>
          <w:sz w:val="17"/>
          <w:szCs w:val="17"/>
          <w:color w:val="auto"/>
        </w:rPr>
      </w:pPr>
    </w:p>
    <w:p>
      <w:pPr>
        <w:ind w:left="1534"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0</w:t>
      </w:r>
      <w:r>
        <w:rPr>
          <w:rFonts w:ascii="Times New Roman" w:cs="Times New Roman" w:eastAsia="Times New Roman" w:hAnsi="Times New Roman"/>
          <w:sz w:val="18"/>
          <w:szCs w:val="18"/>
          <w:color w:val="auto"/>
        </w:rPr>
        <w:t>(c)(ii)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his/her exercise of any Awards upon the consummation of the transaction.</w:t>
      </w:r>
    </w:p>
    <w:p>
      <w:pPr>
        <w:spacing w:after="0" w:line="76" w:lineRule="exact"/>
        <w:rPr>
          <w:rFonts w:ascii="Times New Roman" w:cs="Times New Roman" w:eastAsia="Times New Roman" w:hAnsi="Times New Roman"/>
          <w:sz w:val="17"/>
          <w:szCs w:val="17"/>
          <w:color w:val="auto"/>
        </w:rPr>
      </w:pPr>
    </w:p>
    <w:p>
      <w:pPr>
        <w:ind w:left="1534" w:right="120" w:hanging="516"/>
        <w:spacing w:after="0" w:line="268" w:lineRule="auto"/>
        <w:tabs>
          <w:tab w:leader="none" w:pos="1534" w:val="left"/>
        </w:tabs>
        <w:numPr>
          <w:ilvl w:val="2"/>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1</w:t>
      </w:r>
      <w:r>
        <w:rPr>
          <w:rFonts w:ascii="Times New Roman" w:cs="Times New Roman" w:eastAsia="Times New Roman" w:hAnsi="Times New Roman"/>
          <w:sz w:val="17"/>
          <w:szCs w:val="17"/>
          <w:b w:val="1"/>
          <w:bCs w:val="1"/>
          <w:color w:val="FF0000"/>
          <w:strike w:val="1"/>
        </w:rPr>
        <w:t>1</w:t>
      </w:r>
      <w:r>
        <w:rPr>
          <w:rFonts w:ascii="Times New Roman" w:cs="Times New Roman" w:eastAsia="Times New Roman" w:hAnsi="Times New Roman"/>
          <w:sz w:val="17"/>
          <w:szCs w:val="17"/>
          <w:b w:val="1"/>
          <w:bCs w:val="1"/>
          <w:u w:val="single" w:color="auto"/>
          <w:color w:val="0000FF"/>
        </w:rPr>
        <w:t>0</w:t>
      </w:r>
      <w:r>
        <w:rPr>
          <w:rFonts w:ascii="Times New Roman" w:cs="Times New Roman" w:eastAsia="Times New Roman" w:hAnsi="Times New Roman"/>
          <w:sz w:val="17"/>
          <w:szCs w:val="17"/>
          <w:color w:val="auto"/>
        </w:rPr>
        <w:t>(c)(ii),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67" w:lineRule="exact"/>
        <w:rPr>
          <w:rFonts w:ascii="Times New Roman" w:cs="Times New Roman" w:eastAsia="Times New Roman" w:hAnsi="Times New Roman"/>
          <w:sz w:val="17"/>
          <w:szCs w:val="17"/>
          <w:color w:val="auto"/>
        </w:rPr>
      </w:pPr>
    </w:p>
    <w:p>
      <w:pPr>
        <w:ind w:left="1014" w:right="60" w:hanging="505"/>
        <w:spacing w:after="0" w:line="252" w:lineRule="auto"/>
        <w:tabs>
          <w:tab w:leader="none" w:pos="1014" w:val="left"/>
        </w:tabs>
        <w:numPr>
          <w:ilvl w:val="1"/>
          <w:numId w:val="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Other Adjustments</w:t>
      </w:r>
      <w:r>
        <w:rPr>
          <w:rFonts w:ascii="Times New Roman" w:cs="Times New Roman" w:eastAsia="Times New Roman" w:hAnsi="Times New Roman"/>
          <w:sz w:val="18"/>
          <w:szCs w:val="18"/>
          <w:color w:val="auto"/>
        </w:rPr>
        <w:t>. The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FF0000"/>
          <w:strike w:val="1"/>
        </w:rPr>
        <w:t>(and the Board if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008000"/>
          <w:strike w:val="1"/>
        </w:rPr>
        <w:t>only to the extent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FF0000"/>
          <w:strike w:val="1"/>
        </w:rPr>
        <w:t>authority is not required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FF0000"/>
          <w:strike w:val="1"/>
        </w:rPr>
        <w:t>exercised by the Committee to comply with Section 162(m) of the Code)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is authorized to make adjustments in the terms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w:t>
      </w:r>
      <w:r>
        <w:rPr>
          <w:rFonts w:ascii="Times New Roman" w:cs="Times New Roman" w:eastAsia="Times New Roman" w:hAnsi="Times New Roman"/>
          <w:sz w:val="18"/>
          <w:szCs w:val="18"/>
          <w:b w:val="1"/>
          <w:bCs w:val="1"/>
          <w:color w:val="FF0000"/>
          <w:strike w:val="1"/>
        </w:rPr>
        <w:t>, provided that no such adjustment shall be authorized or made if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r>
        <w:rPr>
          <w:rFonts w:ascii="Times New Roman" w:cs="Times New Roman" w:eastAsia="Times New Roman" w:hAnsi="Times New Roman"/>
          <w:sz w:val="18"/>
          <w:szCs w:val="18"/>
          <w:b w:val="1"/>
          <w:bCs w:val="1"/>
          <w:u w:val="single" w:color="auto"/>
          <w:color w:val="0000FF"/>
          <w:strike w:val="1"/>
        </w:rPr>
        <w:t>.</w:t>
      </w:r>
    </w:p>
    <w:p>
      <w:pPr>
        <w:spacing w:after="0" w:line="85" w:lineRule="exact"/>
        <w:rPr>
          <w:rFonts w:ascii="Times New Roman" w:cs="Times New Roman" w:eastAsia="Times New Roman" w:hAnsi="Times New Roman"/>
          <w:sz w:val="18"/>
          <w:szCs w:val="18"/>
          <w:i w:val="1"/>
          <w:iCs w:val="1"/>
          <w:color w:val="auto"/>
        </w:rPr>
      </w:pPr>
    </w:p>
    <w:p>
      <w:pPr>
        <w:ind w:left="514" w:hanging="514"/>
        <w:spacing w:after="0" w:line="256" w:lineRule="auto"/>
        <w:tabs>
          <w:tab w:leader="none" w:pos="514"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Award Agreements</w:t>
      </w:r>
      <w:r>
        <w:rPr>
          <w:rFonts w:ascii="Times New Roman" w:cs="Times New Roman" w:eastAsia="Times New Roman" w:hAnsi="Times New Roman"/>
          <w:sz w:val="18"/>
          <w:szCs w:val="18"/>
          <w:color w:val="auto"/>
        </w:rPr>
        <w:t>. Each Award Agreement shall either be (i) in writing in a form approved by the Committee and executed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w:t>
      </w:r>
    </w:p>
    <w:p>
      <w:pPr>
        <w:spacing w:after="0" w:line="2" w:lineRule="exact"/>
        <w:rPr>
          <w:sz w:val="20"/>
          <w:szCs w:val="20"/>
          <w:color w:val="auto"/>
        </w:rPr>
      </w:pPr>
    </w:p>
    <w:p>
      <w:pPr>
        <w:ind w:left="4414"/>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472440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092" w:right="339" w:bottom="1440" w:gutter="0" w:footer="0" w:header="0"/>
        </w:sectPr>
      </w:pPr>
    </w:p>
    <w:bookmarkStart w:id="78" w:name="page79"/>
    <w:bookmarkEnd w:id="78"/>
    <w:p>
      <w:pPr>
        <w:ind w:left="514" w:right="20"/>
        <w:spacing w:after="0" w:line="260" w:lineRule="auto"/>
        <w:rPr>
          <w:sz w:val="20"/>
          <w:szCs w:val="20"/>
          <w:color w:val="auto"/>
        </w:rPr>
      </w:pPr>
      <w:r>
        <w:rPr>
          <w:rFonts w:ascii="Times New Roman" w:cs="Times New Roman" w:eastAsia="Times New Roman" w:hAnsi="Times New Roman"/>
          <w:sz w:val="18"/>
          <w:szCs w:val="18"/>
          <w:color w:val="auto"/>
        </w:rPr>
        <w:t>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70" w:lineRule="exact"/>
        <w:rPr>
          <w:sz w:val="20"/>
          <w:szCs w:val="20"/>
          <w:color w:val="auto"/>
        </w:rPr>
      </w:pPr>
    </w:p>
    <w:p>
      <w:pPr>
        <w:ind w:left="514" w:right="120" w:hanging="514"/>
        <w:spacing w:after="0" w:line="254" w:lineRule="auto"/>
        <w:tabs>
          <w:tab w:leader="none" w:pos="514"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The Company and any Related Entity are authorized to withhold from any Award granted, any payment relating to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w:t>
      </w:r>
    </w:p>
    <w:p>
      <w:pPr>
        <w:spacing w:after="0" w:line="78" w:lineRule="exact"/>
        <w:rPr>
          <w:rFonts w:ascii="Times New Roman" w:cs="Times New Roman" w:eastAsia="Times New Roman" w:hAnsi="Times New Roman"/>
          <w:sz w:val="18"/>
          <w:szCs w:val="18"/>
          <w:b w:val="1"/>
          <w:bCs w:val="1"/>
          <w:i w:val="1"/>
          <w:iCs w:val="1"/>
          <w:color w:val="auto"/>
        </w:rPr>
      </w:pPr>
    </w:p>
    <w:p>
      <w:pPr>
        <w:ind w:left="514" w:hanging="514"/>
        <w:spacing w:after="0" w:line="253" w:lineRule="auto"/>
        <w:tabs>
          <w:tab w:leader="none" w:pos="514"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to the Plan and Awards</w:t>
      </w:r>
      <w:r>
        <w:rPr>
          <w:rFonts w:ascii="Times New Roman" w:cs="Times New Roman" w:eastAsia="Times New Roman" w:hAnsi="Times New Roman"/>
          <w:sz w:val="18"/>
          <w:szCs w:val="18"/>
          <w:color w:val="auto"/>
        </w:rPr>
        <w:t>. The Board may amend, alter, suspend, discontinue or terminate the Plan, or the Committee’s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w:t>
      </w:r>
      <w:r>
        <w:rPr>
          <w:rFonts w:ascii="Times New Roman" w:cs="Times New Roman" w:eastAsia="Times New Roman" w:hAnsi="Times New Roman"/>
          <w:sz w:val="18"/>
          <w:szCs w:val="18"/>
          <w:b w:val="1"/>
          <w:bCs w:val="1"/>
          <w:color w:val="FF0000"/>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Code Section 162(m)</w:t>
      </w:r>
      <w:r>
        <w:rPr>
          <w:rFonts w:ascii="Times New Roman" w:cs="Times New Roman" w:eastAsia="Times New Roman" w:hAnsi="Times New Roman"/>
          <w:sz w:val="18"/>
          <w:szCs w:val="18"/>
          <w:color w:val="000000"/>
        </w:rPr>
        <w:t>) or the rules of the Listing Market, and the Board may otherwise, in its discretion, determine to submit other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80" w:lineRule="exact"/>
        <w:rPr>
          <w:rFonts w:ascii="Times New Roman" w:cs="Times New Roman" w:eastAsia="Times New Roman" w:hAnsi="Times New Roman"/>
          <w:sz w:val="18"/>
          <w:szCs w:val="18"/>
          <w:b w:val="1"/>
          <w:bCs w:val="1"/>
          <w:i w:val="1"/>
          <w:iCs w:val="1"/>
          <w:color w:val="auto"/>
        </w:rPr>
      </w:pPr>
    </w:p>
    <w:p>
      <w:pPr>
        <w:ind w:left="514" w:right="40" w:hanging="514"/>
        <w:spacing w:after="0" w:line="268" w:lineRule="auto"/>
        <w:tabs>
          <w:tab w:leader="none" w:pos="514" w:val="left"/>
        </w:tabs>
        <w:numPr>
          <w:ilvl w:val="0"/>
          <w:numId w:val="8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Limitation on Rights Conferred Under Plan</w:t>
      </w:r>
      <w:r>
        <w:rPr>
          <w:rFonts w:ascii="Times New Roman" w:cs="Times New Roman" w:eastAsia="Times New Roman" w:hAnsi="Times New Roman"/>
          <w:sz w:val="17"/>
          <w:szCs w:val="17"/>
          <w:color w:val="auto"/>
        </w:rPr>
        <w:t>. Neither the Plan nor any action taken hereunder or under any Award shall be construed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72" w:lineRule="exact"/>
        <w:rPr>
          <w:rFonts w:ascii="Times New Roman" w:cs="Times New Roman" w:eastAsia="Times New Roman" w:hAnsi="Times New Roman"/>
          <w:sz w:val="17"/>
          <w:szCs w:val="17"/>
          <w:b w:val="1"/>
          <w:bCs w:val="1"/>
          <w:i w:val="1"/>
          <w:iCs w:val="1"/>
          <w:color w:val="auto"/>
        </w:rPr>
      </w:pPr>
    </w:p>
    <w:p>
      <w:pPr>
        <w:ind w:left="514" w:right="160" w:hanging="514"/>
        <w:spacing w:after="0" w:line="272" w:lineRule="auto"/>
        <w:tabs>
          <w:tab w:leader="none" w:pos="514" w:val="left"/>
        </w:tabs>
        <w:numPr>
          <w:ilvl w:val="0"/>
          <w:numId w:val="8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Unfunded Status of Awards; Creation of Trusts</w:t>
      </w:r>
      <w:r>
        <w:rPr>
          <w:rFonts w:ascii="Times New Roman" w:cs="Times New Roman" w:eastAsia="Times New Roman" w:hAnsi="Times New Roman"/>
          <w:sz w:val="17"/>
          <w:szCs w:val="17"/>
          <w:color w:val="auto"/>
        </w:rPr>
        <w:t>. The Plan is intended to constitute an “unfunded” plan for incentive and deferred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61" w:lineRule="exact"/>
        <w:rPr>
          <w:rFonts w:ascii="Times New Roman" w:cs="Times New Roman" w:eastAsia="Times New Roman" w:hAnsi="Times New Roman"/>
          <w:sz w:val="17"/>
          <w:szCs w:val="17"/>
          <w:b w:val="1"/>
          <w:bCs w:val="1"/>
          <w:i w:val="1"/>
          <w:iCs w:val="1"/>
          <w:color w:val="auto"/>
        </w:rPr>
      </w:pPr>
    </w:p>
    <w:p>
      <w:pPr>
        <w:ind w:left="514" w:right="100" w:hanging="514"/>
        <w:spacing w:after="0" w:line="263" w:lineRule="auto"/>
        <w:tabs>
          <w:tab w:leader="none" w:pos="514"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Nonexclusivity of the Plan</w:t>
      </w:r>
      <w:r>
        <w:rPr>
          <w:rFonts w:ascii="Times New Roman" w:cs="Times New Roman" w:eastAsia="Times New Roman" w:hAnsi="Times New Roman"/>
          <w:sz w:val="18"/>
          <w:szCs w:val="18"/>
          <w:color w:val="auto"/>
        </w:rPr>
        <w:t>. Neither the adoption of the Plan by the Board nor its submission to the shareholders of the Company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shall be construed as creating any limitations on the power of the Board or 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6233795</wp:posOffset>
            </wp:positionH>
            <wp:positionV relativeFrom="paragraph">
              <wp:posOffset>-4528820</wp:posOffset>
            </wp:positionV>
            <wp:extent cx="1644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ind w:left="4414"/>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472440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94"/>
          </w:cols>
          <w:pgMar w:left="1346" w:top="1092" w:right="359" w:bottom="1440" w:gutter="0" w:footer="0" w:header="0"/>
        </w:sectPr>
      </w:pPr>
    </w:p>
    <w:bookmarkStart w:id="79" w:name="page80"/>
    <w:bookmarkEnd w:id="79"/>
    <w:p>
      <w:pPr>
        <w:ind w:left="514" w:right="180"/>
        <w:spacing w:after="0" w:line="286" w:lineRule="auto"/>
        <w:rPr>
          <w:sz w:val="20"/>
          <w:szCs w:val="20"/>
          <w:color w:val="auto"/>
        </w:rPr>
      </w:pPr>
      <w:r>
        <w:rPr>
          <w:rFonts w:ascii="Times New Roman" w:cs="Times New Roman" w:eastAsia="Times New Roman" w:hAnsi="Times New Roman"/>
          <w:sz w:val="18"/>
          <w:szCs w:val="18"/>
          <w:color w:val="auto"/>
        </w:rPr>
        <w:t xml:space="preserve">thereof to adopt such other incentive arrangements as it may deem desirable </w:t>
      </w:r>
      <w:r>
        <w:rPr>
          <w:rFonts w:ascii="Times New Roman" w:cs="Times New Roman" w:eastAsia="Times New Roman" w:hAnsi="Times New Roman"/>
          <w:sz w:val="18"/>
          <w:szCs w:val="18"/>
          <w:b w:val="1"/>
          <w:bCs w:val="1"/>
          <w:color w:val="FF0000"/>
          <w:strike w:val="1"/>
        </w:rPr>
        <w:t>including incentive arrangements and awards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do not qualify under Section 162(m) of the Code</w:t>
      </w:r>
      <w:r>
        <w:rPr>
          <w:rFonts w:ascii="Times New Roman" w:cs="Times New Roman" w:eastAsia="Times New Roman" w:hAnsi="Times New Roman"/>
          <w:sz w:val="18"/>
          <w:szCs w:val="18"/>
          <w:color w:val="000000"/>
        </w:rPr>
        <w:t>.</w:t>
      </w:r>
    </w:p>
    <w:p>
      <w:pPr>
        <w:spacing w:after="0" w:line="46" w:lineRule="exact"/>
        <w:rPr>
          <w:sz w:val="20"/>
          <w:szCs w:val="20"/>
          <w:color w:val="auto"/>
        </w:rPr>
      </w:pPr>
    </w:p>
    <w:p>
      <w:pPr>
        <w:ind w:left="514" w:right="20" w:hanging="514"/>
        <w:spacing w:after="0" w:line="259" w:lineRule="auto"/>
        <w:tabs>
          <w:tab w:leader="none" w:pos="514"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Payments in the Event of Forfeitures; Fractional Shares</w:t>
      </w:r>
      <w:r>
        <w:rPr>
          <w:rFonts w:ascii="Times New Roman" w:cs="Times New Roman" w:eastAsia="Times New Roman" w:hAnsi="Times New Roman"/>
          <w:sz w:val="18"/>
          <w:szCs w:val="18"/>
          <w:color w:val="auto"/>
        </w:rPr>
        <w:t>. Unless otherwise determined by the Committee, in the event of a forfeiture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69" w:lineRule="exact"/>
        <w:rPr>
          <w:rFonts w:ascii="Times New Roman" w:cs="Times New Roman" w:eastAsia="Times New Roman" w:hAnsi="Times New Roman"/>
          <w:sz w:val="18"/>
          <w:szCs w:val="18"/>
          <w:b w:val="1"/>
          <w:bCs w:val="1"/>
          <w:i w:val="1"/>
          <w:iCs w:val="1"/>
          <w:color w:val="auto"/>
        </w:rPr>
      </w:pPr>
    </w:p>
    <w:p>
      <w:pPr>
        <w:jc w:val="both"/>
        <w:ind w:left="514" w:right="220" w:hanging="514"/>
        <w:spacing w:after="0" w:line="268" w:lineRule="auto"/>
        <w:tabs>
          <w:tab w:leader="none" w:pos="514"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Except as otherwise provided in any Award Agreement, the validity, construction and effect of the Plan, any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regulations under the Plan, and any Award Agreement shall be determined in accordance with the laws of the State of Delaware without giving effect to principles of conflict of laws, and applicable federal law.</w:t>
      </w:r>
    </w:p>
    <w:p>
      <w:pPr>
        <w:spacing w:after="0" w:line="61" w:lineRule="exact"/>
        <w:rPr>
          <w:rFonts w:ascii="Times New Roman" w:cs="Times New Roman" w:eastAsia="Times New Roman" w:hAnsi="Times New Roman"/>
          <w:sz w:val="18"/>
          <w:szCs w:val="18"/>
          <w:b w:val="1"/>
          <w:bCs w:val="1"/>
          <w:i w:val="1"/>
          <w:iCs w:val="1"/>
          <w:color w:val="auto"/>
        </w:rPr>
      </w:pPr>
    </w:p>
    <w:p>
      <w:pPr>
        <w:ind w:left="514" w:hanging="514"/>
        <w:spacing w:after="0" w:line="262" w:lineRule="auto"/>
        <w:tabs>
          <w:tab w:leader="none" w:pos="514"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Non-U.S. Laws</w:t>
      </w:r>
      <w:r>
        <w:rPr>
          <w:rFonts w:ascii="Times New Roman" w:cs="Times New Roman" w:eastAsia="Times New Roman" w:hAnsi="Times New Roman"/>
          <w:sz w:val="18"/>
          <w:szCs w:val="18"/>
          <w:color w:val="auto"/>
        </w:rPr>
        <w:t>. The Committee shall have the authority to adopt such modifications, procedures, and subplans as may be necessary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67" w:lineRule="exact"/>
        <w:rPr>
          <w:rFonts w:ascii="Times New Roman" w:cs="Times New Roman" w:eastAsia="Times New Roman" w:hAnsi="Times New Roman"/>
          <w:sz w:val="18"/>
          <w:szCs w:val="18"/>
          <w:b w:val="1"/>
          <w:bCs w:val="1"/>
          <w:i w:val="1"/>
          <w:iCs w:val="1"/>
          <w:color w:val="auto"/>
        </w:rPr>
      </w:pPr>
    </w:p>
    <w:p>
      <w:pPr>
        <w:ind w:left="514" w:right="20" w:hanging="514"/>
        <w:spacing w:after="0" w:line="254" w:lineRule="auto"/>
        <w:tabs>
          <w:tab w:leader="none" w:pos="514"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Plan Effective Date and Shareholder Approval; Termination of Plan</w:t>
      </w:r>
      <w:r>
        <w:rPr>
          <w:rFonts w:ascii="Times New Roman" w:cs="Times New Roman" w:eastAsia="Times New Roman" w:hAnsi="Times New Roman"/>
          <w:sz w:val="18"/>
          <w:szCs w:val="18"/>
          <w:color w:val="auto"/>
        </w:rPr>
        <w:t>. The Plan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become effective on the Effective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date the Plan was approved by shareholders of the Company eligible to vote in the election of directors, by a vote sufficient to meet the requirements of Code Section</w:t>
      </w:r>
      <w:r>
        <w:rPr>
          <w:rFonts w:ascii="Times New Roman" w:cs="Times New Roman" w:eastAsia="Times New Roman" w:hAnsi="Times New Roman"/>
          <w:sz w:val="18"/>
          <w:szCs w:val="18"/>
          <w:b w:val="1"/>
          <w:bCs w:val="1"/>
          <w:color w:val="FF0000"/>
          <w:strike w:val="1"/>
        </w:rPr>
        <w:t>s 162(m) (if applicable) and</w:t>
      </w:r>
      <w:r>
        <w:rPr>
          <w:rFonts w:ascii="Times New Roman" w:cs="Times New Roman" w:eastAsia="Times New Roman" w:hAnsi="Times New Roman"/>
          <w:sz w:val="18"/>
          <w:szCs w:val="18"/>
          <w:color w:val="auto"/>
        </w:rPr>
        <w:t xml:space="preserve">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78" w:lineRule="exact"/>
        <w:rPr>
          <w:rFonts w:ascii="Times New Roman" w:cs="Times New Roman" w:eastAsia="Times New Roman" w:hAnsi="Times New Roman"/>
          <w:sz w:val="18"/>
          <w:szCs w:val="18"/>
          <w:b w:val="1"/>
          <w:bCs w:val="1"/>
          <w:i w:val="1"/>
          <w:iCs w:val="1"/>
          <w:color w:val="auto"/>
        </w:rPr>
      </w:pPr>
    </w:p>
    <w:p>
      <w:pPr>
        <w:ind w:left="514" w:right="140" w:hanging="514"/>
        <w:spacing w:after="0" w:line="268" w:lineRule="auto"/>
        <w:tabs>
          <w:tab w:leader="none" w:pos="514"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Construction and Interpretation</w:t>
      </w:r>
      <w:r>
        <w:rPr>
          <w:rFonts w:ascii="Times New Roman" w:cs="Times New Roman" w:eastAsia="Times New Roman" w:hAnsi="Times New Roman"/>
          <w:sz w:val="18"/>
          <w:szCs w:val="18"/>
          <w:color w:val="auto"/>
        </w:rPr>
        <w:t>. Whenever used herein, nouns in the singular shall include the plural, and the masculine pronoun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include the feminine gender. Headings of Articles and Sections hereof are inserted for convenience and reference and constitute no part of the Plan.</w:t>
      </w:r>
    </w:p>
    <w:p>
      <w:pPr>
        <w:spacing w:after="0" w:line="61" w:lineRule="exact"/>
        <w:rPr>
          <w:rFonts w:ascii="Times New Roman" w:cs="Times New Roman" w:eastAsia="Times New Roman" w:hAnsi="Times New Roman"/>
          <w:sz w:val="18"/>
          <w:szCs w:val="18"/>
          <w:b w:val="1"/>
          <w:bCs w:val="1"/>
          <w:i w:val="1"/>
          <w:iCs w:val="1"/>
          <w:color w:val="auto"/>
        </w:rPr>
      </w:pPr>
    </w:p>
    <w:p>
      <w:pPr>
        <w:ind w:left="514" w:hanging="514"/>
        <w:spacing w:after="0"/>
        <w:tabs>
          <w:tab w:leader="none" w:pos="514"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the Plan or any Award Agreement shall be determined to be illegal or unenforceable by any court of</w:t>
      </w:r>
    </w:p>
    <w:p>
      <w:pPr>
        <w:spacing w:after="0" w:line="31" w:lineRule="exact"/>
        <w:rPr>
          <w:sz w:val="20"/>
          <w:szCs w:val="20"/>
          <w:color w:val="auto"/>
        </w:rPr>
      </w:pPr>
    </w:p>
    <w:p>
      <w:pPr>
        <w:ind w:left="514" w:right="80"/>
        <w:spacing w:after="0" w:line="250" w:lineRule="auto"/>
        <w:rPr>
          <w:sz w:val="20"/>
          <w:szCs w:val="20"/>
          <w:color w:val="auto"/>
        </w:rPr>
      </w:pPr>
      <w:r>
        <w:rPr>
          <w:rFonts w:ascii="Times New Roman" w:cs="Times New Roman" w:eastAsia="Times New Roman" w:hAnsi="Times New Roman"/>
          <w:sz w:val="18"/>
          <w:szCs w:val="18"/>
          <w:color w:val="auto"/>
        </w:rPr>
        <w:t>law in any jurisdiction, the remaining provisions hereof and thereof shall be severable and enforceable in accordance with their terms, and all provisions shall remain enforceable in any other jurisdiction.</w:t>
      </w:r>
    </w:p>
    <w:p>
      <w:pPr>
        <w:ind w:left="4414"/>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472440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088" w:right="339" w:bottom="1440" w:gutter="0" w:footer="0" w:header="0"/>
        </w:sectPr>
      </w:pPr>
    </w:p>
    <w:bookmarkStart w:id="80" w:name="page81"/>
    <w:bookmarkEnd w:id="80"/>
    <w:p>
      <w:pPr>
        <w:ind w:left="5000"/>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Notice of 2024 Annual Meeting of</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Stockholders and Proxy Statement</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Thursday, August 8, 2024</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9:30 A.M. EDT</w:t>
      </w:r>
    </w:p>
    <w:p>
      <w:pPr>
        <w:spacing w:after="0" w:line="9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9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Please sign your proxy and</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return it in the enclosed</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postage-paid envelope so</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that you may be represented</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857885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DESTINATION XL GROUP,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8, 2024</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GO GREEN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e-consent makes it easy to go paperless. With e-consent, you can quickly access your proxy material, statements and other eligible documents online, while</w:t>
      </w:r>
    </w:p>
    <w:p>
      <w:pPr>
        <w:jc w:val="center"/>
        <w:ind w:right="-19"/>
        <w:spacing w:after="0"/>
        <w:rPr>
          <w:sz w:val="20"/>
          <w:szCs w:val="20"/>
          <w:color w:val="auto"/>
        </w:rPr>
      </w:pPr>
      <w:r>
        <w:rPr>
          <w:rFonts w:ascii="Times New Roman" w:cs="Times New Roman" w:eastAsia="Times New Roman" w:hAnsi="Times New Roman"/>
          <w:sz w:val="11"/>
          <w:szCs w:val="11"/>
          <w:color w:val="auto"/>
        </w:rPr>
        <w:t>reducing costs, clutter and paper waste. Enroll today via www.astfinancial.com to enjoy online access.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Important Notice Regarding Internet Availability of Proxy Materials for the Annual Meeting of Stockholders to be Held on August 8, 2024</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Proxy Statement and 2024 Annual Report to Stockholders are available at https://investor.dxl.com/financial-information/annual-reports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PLEASE SIGN, DATE AND MAIL</w:t>
      </w:r>
    </w:p>
    <w:p>
      <w:pPr>
        <w:jc w:val="center"/>
        <w:ind w:right="-19"/>
        <w:spacing w:after="0" w:line="226" w:lineRule="auto"/>
        <w:rPr>
          <w:sz w:val="20"/>
          <w:szCs w:val="20"/>
          <w:color w:val="auto"/>
        </w:rPr>
      </w:pPr>
      <w:r>
        <w:rPr>
          <w:rFonts w:ascii="Times New Roman" w:cs="Times New Roman" w:eastAsia="Times New Roman" w:hAnsi="Times New Roman"/>
          <w:sz w:val="14"/>
          <w:szCs w:val="14"/>
          <w:color w:val="auto"/>
        </w:rPr>
        <w:t>YOUR PROXY CARD IN THE ENVELOPE</w:t>
      </w:r>
    </w:p>
    <w:p>
      <w:pPr>
        <w:jc w:val="center"/>
        <w:ind w:right="-19"/>
        <w:spacing w:after="0"/>
        <w:rPr>
          <w:sz w:val="20"/>
          <w:szCs w:val="20"/>
          <w:color w:val="auto"/>
        </w:rPr>
      </w:pPr>
      <w:r>
        <w:rPr>
          <w:rFonts w:ascii="Times New Roman" w:cs="Times New Roman" w:eastAsia="Times New Roman" w:hAnsi="Times New Roman"/>
          <w:sz w:val="14"/>
          <w:szCs w:val="14"/>
          <w:color w:val="auto"/>
        </w:rPr>
        <w:t>PROVIDED AS SOON AS POSSIBLE.</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color w:val="auto"/>
        </w:rPr>
        <w:t>Please detach along perforated line and mail in the envelope provided</w:t>
      </w:r>
      <w:r>
        <w:rPr>
          <w:rFonts w:ascii="Times New Roman" w:cs="Times New Roman" w:eastAsia="Times New Roman" w:hAnsi="Times New Roman"/>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159385</wp:posOffset>
            </wp:positionV>
            <wp:extent cx="7132320" cy="2139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BOARD OF DIRECTORS RECOMMENDS A VOTE “FOR” THE ELECTION OF DIRECTORS AND "FOR" PROPOSALS 2, 3 AND 4.</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PLEASE SIGN, DATE AND RETURN PROMPTLY IN THE ENCLOSED ENVELOPE. PLEASE MARK YOUR VOTE IN BLUE OR BLACK INK AS SHOWN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163195</wp:posOffset>
            </wp:positionV>
            <wp:extent cx="7132320" cy="5916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5916930"/>
                    </a:xfrm>
                    <a:prstGeom prst="rect">
                      <a:avLst/>
                    </a:prstGeom>
                    <a:noFill/>
                  </pic:spPr>
                </pic:pic>
              </a:graphicData>
            </a:graphic>
          </wp:anchor>
        </w:drawing>
      </w:r>
    </w:p>
    <w:p>
      <w:pPr>
        <w:sectPr>
          <w:pgSz w:w="11900" w:h="16838" w:orient="portrait"/>
          <w:cols w:equalWidth="0" w:num="1">
            <w:col w:w="10360"/>
          </w:cols>
          <w:pgMar w:left="760" w:top="1048" w:right="779" w:bottom="1440" w:gutter="0" w:footer="0" w:header="0"/>
        </w:sectPr>
      </w:pPr>
    </w:p>
    <w:p>
      <w:pPr>
        <w:spacing w:after="0" w:line="352" w:lineRule="exact"/>
        <w:rPr>
          <w:sz w:val="20"/>
          <w:szCs w:val="20"/>
          <w:color w:val="auto"/>
        </w:rPr>
      </w:pPr>
    </w:p>
    <w:p>
      <w:pPr>
        <w:ind w:left="400" w:hanging="398"/>
        <w:spacing w:after="0" w:line="207" w:lineRule="exact"/>
        <w:tabs>
          <w:tab w:leader="none" w:pos="400" w:val="left"/>
        </w:tabs>
        <w:numPr>
          <w:ilvl w:val="0"/>
          <w:numId w:val="91"/>
        </w:numPr>
        <w:rPr>
          <w:rFonts w:ascii="Times New Roman" w:cs="Times New Roman" w:eastAsia="Times New Roman" w:hAnsi="Times New Roman"/>
          <w:sz w:val="18"/>
          <w:szCs w:val="18"/>
          <w:color w:val="auto"/>
        </w:rPr>
      </w:pP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b w:val="1"/>
          <w:bCs w:val="1"/>
          <w:color w:val="auto"/>
        </w:rPr>
        <w:t xml:space="preserve">Election of Directors. </w:t>
      </w:r>
      <w:r>
        <w:rPr>
          <w:rFonts w:ascii="Times New Roman" w:cs="Times New Roman" w:eastAsia="Times New Roman" w:hAnsi="Times New Roman"/>
          <w:sz w:val="14"/>
          <w:szCs w:val="14"/>
          <w:color w:val="auto"/>
        </w:rPr>
        <w:t>THE BOARD OF DIRECTORS RECOMMENDS A VOTE “FOR” EACH OF</w:t>
      </w:r>
    </w:p>
    <w:p>
      <w:pPr>
        <w:ind w:left="400" w:hanging="398"/>
        <w:spacing w:after="0" w:line="189" w:lineRule="auto"/>
        <w:tabs>
          <w:tab w:leader="none" w:pos="400" w:val="left"/>
        </w:tabs>
        <w:numPr>
          <w:ilvl w:val="0"/>
          <w:numId w:val="92"/>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0"/>
          <w:szCs w:val="10"/>
          <w:color w:val="auto"/>
        </w:rPr>
        <w:t>THE NOMINEES NAMED BELOW.</w:t>
      </w:r>
    </w:p>
    <w:p>
      <w:pPr>
        <w:spacing w:after="0" w:line="200" w:lineRule="exact"/>
        <w:rPr>
          <w:rFonts w:ascii="Times New Roman" w:cs="Times New Roman" w:eastAsia="Times New Roman" w:hAnsi="Times New Roman"/>
          <w:sz w:val="19"/>
          <w:szCs w:val="19"/>
          <w:color w:val="auto"/>
          <w:vertAlign w:val="subscript"/>
        </w:rPr>
      </w:pPr>
    </w:p>
    <w:p>
      <w:pPr>
        <w:spacing w:after="0" w:line="396" w:lineRule="exact"/>
        <w:rPr>
          <w:rFonts w:ascii="Times New Roman" w:cs="Times New Roman" w:eastAsia="Times New Roman" w:hAnsi="Times New Roman"/>
          <w:sz w:val="19"/>
          <w:szCs w:val="19"/>
          <w:color w:val="auto"/>
          <w:vertAlign w:val="subscript"/>
        </w:rPr>
      </w:pPr>
    </w:p>
    <w:p>
      <w:pPr>
        <w:ind w:left="400"/>
        <w:spacing w:after="0"/>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Harvey S. Kanter</w:t>
      </w:r>
    </w:p>
    <w:p>
      <w:pPr>
        <w:spacing w:after="0" w:line="200" w:lineRule="exact"/>
        <w:rPr>
          <w:rFonts w:ascii="Times New Roman" w:cs="Times New Roman" w:eastAsia="Times New Roman" w:hAnsi="Times New Roman"/>
          <w:sz w:val="19"/>
          <w:szCs w:val="19"/>
          <w:color w:val="auto"/>
          <w:vertAlign w:val="subscript"/>
        </w:rPr>
      </w:pPr>
    </w:p>
    <w:p>
      <w:pPr>
        <w:spacing w:after="0" w:line="200" w:lineRule="exact"/>
        <w:rPr>
          <w:rFonts w:ascii="Times New Roman" w:cs="Times New Roman" w:eastAsia="Times New Roman" w:hAnsi="Times New Roman"/>
          <w:sz w:val="19"/>
          <w:szCs w:val="19"/>
          <w:color w:val="auto"/>
          <w:vertAlign w:val="subscript"/>
        </w:rPr>
      </w:pPr>
    </w:p>
    <w:p>
      <w:pPr>
        <w:spacing w:after="0" w:line="355" w:lineRule="exact"/>
        <w:rPr>
          <w:rFonts w:ascii="Times New Roman" w:cs="Times New Roman" w:eastAsia="Times New Roman" w:hAnsi="Times New Roman"/>
          <w:sz w:val="19"/>
          <w:szCs w:val="19"/>
          <w:color w:val="auto"/>
          <w:vertAlign w:val="subscript"/>
        </w:rPr>
      </w:pPr>
    </w:p>
    <w:p>
      <w:pPr>
        <w:ind w:left="400" w:right="5180"/>
        <w:spacing w:after="0" w:line="921" w:lineRule="auto"/>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Carmen R. Bauza Jack Boyle</w:t>
      </w:r>
    </w:p>
    <w:p>
      <w:pPr>
        <w:spacing w:after="0" w:line="274" w:lineRule="exact"/>
        <w:rPr>
          <w:rFonts w:ascii="Times New Roman" w:cs="Times New Roman" w:eastAsia="Times New Roman" w:hAnsi="Times New Roman"/>
          <w:sz w:val="19"/>
          <w:szCs w:val="19"/>
          <w:color w:val="auto"/>
          <w:vertAlign w:val="subscript"/>
        </w:rPr>
      </w:pPr>
    </w:p>
    <w:p>
      <w:pPr>
        <w:ind w:left="400"/>
        <w:spacing w:after="0"/>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Lionel F. Conacher</w:t>
      </w:r>
    </w:p>
    <w:p>
      <w:pPr>
        <w:spacing w:after="0" w:line="200" w:lineRule="exact"/>
        <w:rPr>
          <w:rFonts w:ascii="Times New Roman" w:cs="Times New Roman" w:eastAsia="Times New Roman" w:hAnsi="Times New Roman"/>
          <w:sz w:val="19"/>
          <w:szCs w:val="19"/>
          <w:color w:val="auto"/>
          <w:vertAlign w:val="subscript"/>
        </w:rPr>
      </w:pPr>
    </w:p>
    <w:p>
      <w:pPr>
        <w:spacing w:after="0" w:line="200" w:lineRule="exact"/>
        <w:rPr>
          <w:rFonts w:ascii="Times New Roman" w:cs="Times New Roman" w:eastAsia="Times New Roman" w:hAnsi="Times New Roman"/>
          <w:sz w:val="19"/>
          <w:szCs w:val="19"/>
          <w:color w:val="auto"/>
          <w:vertAlign w:val="subscript"/>
        </w:rPr>
      </w:pPr>
    </w:p>
    <w:p>
      <w:pPr>
        <w:spacing w:after="0" w:line="355" w:lineRule="exact"/>
        <w:rPr>
          <w:rFonts w:ascii="Times New Roman" w:cs="Times New Roman" w:eastAsia="Times New Roman" w:hAnsi="Times New Roman"/>
          <w:sz w:val="19"/>
          <w:szCs w:val="19"/>
          <w:color w:val="auto"/>
          <w:vertAlign w:val="subscript"/>
        </w:rPr>
      </w:pPr>
    </w:p>
    <w:p>
      <w:pPr>
        <w:ind w:left="400"/>
        <w:spacing w:after="0"/>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Willem Mesdag</w:t>
      </w:r>
    </w:p>
    <w:p>
      <w:pPr>
        <w:spacing w:after="0" w:line="200" w:lineRule="exact"/>
        <w:rPr>
          <w:rFonts w:ascii="Times New Roman" w:cs="Times New Roman" w:eastAsia="Times New Roman" w:hAnsi="Times New Roman"/>
          <w:sz w:val="19"/>
          <w:szCs w:val="19"/>
          <w:color w:val="auto"/>
          <w:vertAlign w:val="subscript"/>
        </w:rPr>
      </w:pPr>
    </w:p>
    <w:p>
      <w:pPr>
        <w:spacing w:after="0" w:line="200" w:lineRule="exact"/>
        <w:rPr>
          <w:rFonts w:ascii="Times New Roman" w:cs="Times New Roman" w:eastAsia="Times New Roman" w:hAnsi="Times New Roman"/>
          <w:sz w:val="19"/>
          <w:szCs w:val="19"/>
          <w:color w:val="auto"/>
          <w:vertAlign w:val="subscript"/>
        </w:rPr>
      </w:pPr>
    </w:p>
    <w:p>
      <w:pPr>
        <w:spacing w:after="0" w:line="355" w:lineRule="exact"/>
        <w:rPr>
          <w:rFonts w:ascii="Times New Roman" w:cs="Times New Roman" w:eastAsia="Times New Roman" w:hAnsi="Times New Roman"/>
          <w:sz w:val="19"/>
          <w:szCs w:val="19"/>
          <w:color w:val="auto"/>
          <w:vertAlign w:val="subscript"/>
        </w:rPr>
      </w:pPr>
    </w:p>
    <w:p>
      <w:pPr>
        <w:ind w:left="400"/>
        <w:spacing w:after="0"/>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Ivy Ross</w:t>
      </w:r>
    </w:p>
    <w:p>
      <w:pPr>
        <w:spacing w:after="0" w:line="200" w:lineRule="exact"/>
        <w:rPr>
          <w:rFonts w:ascii="Times New Roman" w:cs="Times New Roman" w:eastAsia="Times New Roman" w:hAnsi="Times New Roman"/>
          <w:sz w:val="19"/>
          <w:szCs w:val="19"/>
          <w:color w:val="auto"/>
          <w:vertAlign w:val="subscript"/>
        </w:rPr>
      </w:pPr>
    </w:p>
    <w:p>
      <w:pPr>
        <w:spacing w:after="0" w:line="200" w:lineRule="exact"/>
        <w:rPr>
          <w:rFonts w:ascii="Times New Roman" w:cs="Times New Roman" w:eastAsia="Times New Roman" w:hAnsi="Times New Roman"/>
          <w:sz w:val="19"/>
          <w:szCs w:val="19"/>
          <w:color w:val="auto"/>
          <w:vertAlign w:val="subscript"/>
        </w:rPr>
      </w:pPr>
    </w:p>
    <w:p>
      <w:pPr>
        <w:spacing w:after="0" w:line="355" w:lineRule="exact"/>
        <w:rPr>
          <w:rFonts w:ascii="Times New Roman" w:cs="Times New Roman" w:eastAsia="Times New Roman" w:hAnsi="Times New Roman"/>
          <w:sz w:val="19"/>
          <w:szCs w:val="19"/>
          <w:color w:val="auto"/>
          <w:vertAlign w:val="subscript"/>
        </w:rPr>
      </w:pPr>
    </w:p>
    <w:p>
      <w:pPr>
        <w:ind w:left="400"/>
        <w:spacing w:after="0"/>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Elaine K. Rubin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80" w:firstLine="405"/>
        <w:spacing w:after="0" w:line="213" w:lineRule="auto"/>
        <w:rPr>
          <w:sz w:val="20"/>
          <w:szCs w:val="20"/>
          <w:color w:val="auto"/>
        </w:rPr>
      </w:pPr>
      <w:r>
        <w:rPr>
          <w:rFonts w:ascii="Times New Roman" w:cs="Times New Roman" w:eastAsia="Times New Roman" w:hAnsi="Times New Roman"/>
          <w:sz w:val="14"/>
          <w:szCs w:val="14"/>
          <w:b w:val="1"/>
          <w:bCs w:val="1"/>
          <w:color w:val="auto"/>
        </w:rPr>
        <w:t>To approve, on an advisory basis, named executive officer compensation</w:t>
      </w:r>
      <w:r>
        <w:rPr>
          <w:rFonts w:ascii="Times New Roman" w:cs="Times New Roman" w:eastAsia="Times New Roman" w:hAnsi="Times New Roman"/>
          <w:sz w:val="14"/>
          <w:szCs w:val="14"/>
          <w:color w:val="auto"/>
        </w:rPr>
        <w:t>.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4"/>
          <w:szCs w:val="14"/>
          <w:color w:val="auto"/>
        </w:rPr>
        <w:t>DIRECTORS RECOMMENDS A VOTE "FOR" PROPOSAL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8" w:lineRule="exact"/>
        <w:rPr>
          <w:sz w:val="20"/>
          <w:szCs w:val="20"/>
          <w:color w:val="auto"/>
        </w:rPr>
      </w:pPr>
    </w:p>
    <w:p>
      <w:pPr>
        <w:ind w:left="400" w:hanging="398"/>
        <w:spacing w:after="0"/>
        <w:tabs>
          <w:tab w:leader="none" w:pos="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b w:val="1"/>
          <w:bCs w:val="1"/>
          <w:color w:val="auto"/>
        </w:rPr>
        <w:t xml:space="preserve">To approve amendments to our 2016 Incentive Compensation Plan, including </w:t>
      </w:r>
      <w:r>
        <w:rPr>
          <w:rFonts w:ascii="Times New Roman" w:cs="Times New Roman" w:eastAsia="Times New Roman" w:hAnsi="Times New Roman"/>
          <w:sz w:val="17"/>
          <w:szCs w:val="17"/>
          <w:color w:val="auto"/>
        </w:rPr>
        <w:t>t</w:t>
      </w:r>
      <w:r>
        <w:rPr>
          <w:rFonts w:ascii="Times New Roman" w:cs="Times New Roman" w:eastAsia="Times New Roman" w:hAnsi="Times New Roman"/>
          <w:sz w:val="14"/>
          <w:szCs w:val="14"/>
          <w:b w:val="1"/>
          <w:bCs w:val="1"/>
          <w:color w:val="auto"/>
        </w:rPr>
        <w:t>he increase in the total</w:t>
      </w:r>
    </w:p>
    <w:p>
      <w:pPr>
        <w:spacing w:after="0" w:line="20" w:lineRule="exact"/>
        <w:rPr>
          <w:sz w:val="20"/>
          <w:szCs w:val="20"/>
          <w:color w:val="auto"/>
        </w:rPr>
      </w:pPr>
    </w:p>
    <w:p>
      <w:pPr>
        <w:ind w:left="400" w:right="40" w:hanging="398"/>
        <w:spacing w:after="0" w:line="184" w:lineRule="auto"/>
        <w:tabs>
          <w:tab w:leader="none" w:pos="400" w:val="left"/>
        </w:tabs>
        <w:numPr>
          <w:ilvl w:val="0"/>
          <w:numId w:val="94"/>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b w:val="1"/>
          <w:bCs w:val="1"/>
          <w:color w:val="auto"/>
        </w:rPr>
        <w:t>number of shares of common stock authorized for issuance under the plan by 6,150,000 shares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BOARD OF DIRECTORS RECOMMENDS A VOTE “FOR” PROPOSAL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For</w:t>
            </w:r>
          </w:p>
        </w:tc>
        <w:tc>
          <w:tcPr>
            <w:tcW w:w="146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496"/>
        </w:trPr>
        <w:tc>
          <w:tcPr>
            <w:tcW w:w="6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4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7"/>
        </w:trPr>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4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93"/>
        </w:trPr>
        <w:tc>
          <w:tcPr>
            <w:tcW w:w="6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4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7"/>
        </w:trPr>
        <w:tc>
          <w:tcPr>
            <w:tcW w:w="6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4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7"/>
        </w:trPr>
        <w:tc>
          <w:tcPr>
            <w:tcW w:w="6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4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7"/>
        </w:trPr>
        <w:tc>
          <w:tcPr>
            <w:tcW w:w="6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4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7"/>
        </w:trPr>
        <w:tc>
          <w:tcPr>
            <w:tcW w:w="6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4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797"/>
        </w:trPr>
        <w:tc>
          <w:tcPr>
            <w:tcW w:w="6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For</w:t>
            </w:r>
          </w:p>
        </w:tc>
        <w:tc>
          <w:tcPr>
            <w:tcW w:w="146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41"/>
        </w:trPr>
        <w:tc>
          <w:tcPr>
            <w:tcW w:w="620" w:type="dxa"/>
            <w:vAlign w:val="bottom"/>
          </w:tcPr>
          <w:p>
            <w:pPr>
              <w:jc w:val="center"/>
              <w:ind w:right="30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1460" w:type="dxa"/>
            <w:vAlign w:val="bottom"/>
          </w:tcPr>
          <w:p>
            <w:pPr>
              <w:jc w:val="center"/>
              <w:ind w:right="4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1200" w:type="dxa"/>
            <w:vAlign w:val="bottom"/>
          </w:tcPr>
          <w:p>
            <w:pPr>
              <w:jc w:val="center"/>
              <w:ind w:left="568"/>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542"/>
        </w:trPr>
        <w:tc>
          <w:tcPr>
            <w:tcW w:w="6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For</w:t>
            </w:r>
          </w:p>
        </w:tc>
        <w:tc>
          <w:tcPr>
            <w:tcW w:w="146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321"/>
        </w:trPr>
        <w:tc>
          <w:tcPr>
            <w:tcW w:w="6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4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417" w:lineRule="exact"/>
        <w:rPr>
          <w:sz w:val="20"/>
          <w:szCs w:val="20"/>
          <w:color w:val="auto"/>
        </w:rPr>
      </w:pPr>
    </w:p>
    <w:p>
      <w:pPr>
        <w:sectPr>
          <w:pgSz w:w="11900" w:h="16838" w:orient="portrait"/>
          <w:cols w:equalWidth="0" w:num="2">
            <w:col w:w="6600" w:space="480"/>
            <w:col w:w="3280"/>
          </w:cols>
          <w:pgMar w:left="760" w:top="1048" w:right="779" w:bottom="1440" w:gutter="0" w:footer="0" w:header="0"/>
          <w:type w:val="continuous"/>
        </w:sectPr>
      </w:pPr>
    </w:p>
    <w:p>
      <w:pPr>
        <w:spacing w:after="0" w:line="58" w:lineRule="exact"/>
        <w:rPr>
          <w:sz w:val="20"/>
          <w:szCs w:val="20"/>
          <w:color w:val="auto"/>
        </w:rPr>
      </w:pPr>
    </w:p>
    <w:p>
      <w:pPr>
        <w:ind w:left="7080"/>
        <w:spacing w:after="0"/>
        <w:tabs>
          <w:tab w:leader="none" w:pos="7920" w:val="left"/>
          <w:tab w:leader="none" w:pos="982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r>
      <w:r>
        <w:rPr>
          <w:sz w:val="20"/>
          <w:szCs w:val="20"/>
          <w:color w:val="auto"/>
        </w:rPr>
        <w:tab/>
      </w:r>
      <w:r>
        <w:rPr>
          <w:rFonts w:ascii="Times New Roman" w:cs="Times New Roman" w:eastAsia="Times New Roman" w:hAnsi="Times New Roman"/>
          <w:sz w:val="14"/>
          <w:szCs w:val="14"/>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731520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760" w:top="1048" w:right="779" w:bottom="1440" w:gutter="0" w:footer="0" w:header="0"/>
          <w:type w:val="continuous"/>
        </w:sectPr>
      </w:pPr>
    </w:p>
    <w:bookmarkStart w:id="82" w:name="page83"/>
    <w:bookmarkEnd w:id="82"/>
    <w:tbl>
      <w:tblPr>
        <w:tblLayout w:type="fixed"/>
        <w:tblInd w:w="32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 ratify the appointment of KPMG LLP as the Company’s independent registered public</w:t>
            </w:r>
          </w:p>
        </w:tc>
        <w:tc>
          <w:tcPr>
            <w:tcW w:w="0" w:type="dxa"/>
            <w:vAlign w:val="bottom"/>
          </w:tcPr>
          <w:p>
            <w:pPr>
              <w:spacing w:after="0"/>
              <w:rPr>
                <w:sz w:val="1"/>
                <w:szCs w:val="1"/>
                <w:color w:val="auto"/>
              </w:rPr>
            </w:pPr>
          </w:p>
        </w:tc>
      </w:tr>
      <w:tr>
        <w:trPr>
          <w:trHeight w:val="132"/>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 xml:space="preserve">accounting firm for fiscal year ending February 1, 2025. </w:t>
            </w:r>
            <w:r>
              <w:rPr>
                <w:rFonts w:ascii="Times New Roman" w:cs="Times New Roman" w:eastAsia="Times New Roman" w:hAnsi="Times New Roman"/>
                <w:sz w:val="14"/>
                <w:szCs w:val="14"/>
                <w:color w:val="auto"/>
              </w:rPr>
              <w:t>THE BOARD OF DIRECTORS</w:t>
            </w:r>
          </w:p>
        </w:tc>
        <w:tc>
          <w:tcPr>
            <w:tcW w:w="0" w:type="dxa"/>
            <w:vAlign w:val="bottom"/>
          </w:tcPr>
          <w:p>
            <w:pPr>
              <w:spacing w:after="0"/>
              <w:rPr>
                <w:sz w:val="1"/>
                <w:szCs w:val="1"/>
                <w:color w:val="auto"/>
              </w:rPr>
            </w:pPr>
          </w:p>
        </w:tc>
      </w:tr>
      <w:tr>
        <w:trPr>
          <w:trHeight w:val="186"/>
        </w:trPr>
        <w:tc>
          <w:tcPr>
            <w:tcW w:w="180" w:type="dxa"/>
            <w:vAlign w:val="bottom"/>
            <w:vMerge w:val="continue"/>
          </w:tcPr>
          <w:p>
            <w:pPr>
              <w:spacing w:after="0"/>
              <w:rPr>
                <w:sz w:val="16"/>
                <w:szCs w:val="16"/>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RECOMMENDS A VOTE “FOR” PROPOSAL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-299720</wp:posOffset>
            </wp:positionV>
            <wp:extent cx="7132320" cy="27400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740025"/>
                    </a:xfrm>
                    <a:prstGeom prst="rect">
                      <a:avLst/>
                    </a:prstGeom>
                    <a:noFill/>
                  </pic:spPr>
                </pic:pic>
              </a:graphicData>
            </a:graphic>
          </wp:anchor>
        </w:drawing>
      </w:r>
    </w:p>
    <w:p>
      <w:pPr>
        <w:spacing w:after="0" w:line="279"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4"/>
          <w:szCs w:val="14"/>
          <w:color w:val="auto"/>
        </w:rPr>
        <w:t>IF THIS PROXY IS PROPERLY EXECUTED AND RETURNED IT WILL BE VOTED AS SPECIFIED HEREIN. IF NO SPECIFIC DIRECTION IS GIVEN, IT WILL BE VOTED “FOR” EACH DIRECTOR NOMINEE, AND “FOR” EACH OF THE OTHER PROPOSALS. RECEIPT IS HEREBY ACKNOWLEDGED OF THE NOTICE OF ANNUAL MEETING AND PROXY STATEMENT OF DESTINATION XL GROUP, INC. DATED June 28, 2024.</w:t>
      </w:r>
    </w:p>
    <w:p>
      <w:pPr>
        <w:spacing w:after="0" w:line="13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41" w:lineRule="exact"/>
        <w:tabs>
          <w:tab w:leader="none" w:pos="1120" w:val="left"/>
          <w:tab w:leader="none" w:pos="30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2">
            <w:col w:w="6580" w:space="720"/>
            <w:col w:w="3420"/>
          </w:cols>
          <w:pgMar w:left="440" w:top="950" w:right="739" w:bottom="1440" w:gutter="0" w:footer="0" w:header="0"/>
        </w:sectPr>
      </w:pPr>
    </w:p>
    <w:p>
      <w:pPr>
        <w:spacing w:after="0" w:line="37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369" w:lineRule="exact"/>
        <w:rPr>
          <w:sz w:val="20"/>
          <w:szCs w:val="20"/>
          <w:color w:val="auto"/>
        </w:rPr>
      </w:pPr>
    </w:p>
    <w:p>
      <w:pPr>
        <w:ind w:left="220"/>
        <w:spacing w:after="0"/>
        <w:tabs>
          <w:tab w:leader="none" w:pos="2680" w:val="left"/>
          <w:tab w:leader="none" w:pos="4420" w:val="left"/>
          <w:tab w:leader="none" w:pos="8240" w:val="left"/>
        </w:tabs>
        <w:rPr>
          <w:sz w:val="20"/>
          <w:szCs w:val="20"/>
          <w:color w:val="auto"/>
        </w:rPr>
      </w:pP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5126990</wp:posOffset>
            </wp:positionV>
            <wp:extent cx="7132320" cy="2139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40" w:top="950" w:right="739" w:bottom="1440" w:gutter="0" w:footer="0" w:header="0"/>
          <w:type w:val="continuous"/>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26543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654300"/>
                    </a:xfrm>
                    <a:prstGeom prst="rect">
                      <a:avLst/>
                    </a:prstGeom>
                    <a:noFill/>
                  </pic:spPr>
                </pic:pic>
              </a:graphicData>
            </a:graphic>
          </wp:anchor>
        </w:drawing>
        <w:t>555 Turnpike Street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August 8, 2024</w:t>
      </w: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undersigned stockholder of Destination XL Group, Inc. (the “Company”) hereby appoints Lionel F. Conacher and Harvey S. Kanter,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8, 2024, at 9:30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1462405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11" w:right="45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decimal"/>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decimal"/>
      <w:start w:val="1"/>
    </w:lvl>
  </w:abstractNum>
  <w:abstractNum w:abstractNumId="19">
    <w:nsid w:val="1CF10FD8"/>
    <w:multiLevelType w:val="hybridMultilevel"/>
    <w:lvl w:ilvl="0">
      <w:lvlJc w:val="left"/>
      <w:lvlText w:val="(%1)"/>
      <w:numFmt w:val="decimal"/>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decimal"/>
      <w:start w:val="3"/>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decimal"/>
      <w:start w:val="2"/>
    </w:lvl>
  </w:abstractNum>
  <w:abstractNum w:abstractNumId="29">
    <w:nsid w:val="61574095"/>
    <w:multiLevelType w:val="hybridMultilevel"/>
    <w:lvl w:ilvl="0">
      <w:lvlJc w:val="left"/>
      <w:lvlText w:val="(%1)"/>
      <w:numFmt w:val="decimal"/>
      <w:start w:val="3"/>
    </w:lvl>
  </w:abstractNum>
  <w:abstractNum w:abstractNumId="30">
    <w:nsid w:val="7E0C57B1"/>
    <w:multiLevelType w:val="hybridMultilevel"/>
    <w:lvl w:ilvl="0">
      <w:lvlJc w:val="left"/>
      <w:lvlText w:val="(%1)"/>
      <w:numFmt w:val="decimal"/>
      <w:start w:val="4"/>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2"/>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decimal"/>
      <w:start w:val="4"/>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2"/>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lowerRoman"/>
      <w:start w:val="3"/>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5"/>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6">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
    <w:nsid w:val="613EFDC5"/>
    <w:multiLevelType w:val="hybridMultilevel"/>
    <w:lvl w:ilvl="0">
      <w:lvlJc w:val="left"/>
      <w:lvlText w:val="(%1)"/>
      <w:numFmt w:val="lowerLetter"/>
      <w:start w:val="11"/>
    </w:lvl>
    <w:lvl w:ilvl="1">
      <w:lvlJc w:val="left"/>
      <w:lvlText w:val="%2."/>
      <w:numFmt w:val="lowerLetter"/>
      <w:start w:val="11"/>
    </w:lvl>
  </w:abstractNum>
  <w:abstractNum w:abstractNumId="58">
    <w:nsid w:val="BF72B14"/>
    <w:multiLevelType w:val="hybridMultilevel"/>
    <w:lvl w:ilvl="0">
      <w:lvlJc w:val="left"/>
      <w:lvlText w:val="%1."/>
      <w:numFmt w:val="lowerLetter"/>
      <w:start w:val="23"/>
    </w:lvl>
  </w:abstractNum>
  <w:abstractNum w:abstractNumId="59">
    <w:nsid w:val="11447B73"/>
    <w:multiLevelType w:val="hybridMultilevel"/>
    <w:lvl w:ilvl="0">
      <w:lvlJc w:val="left"/>
      <w:lvlText w:val="%1."/>
      <w:numFmt w:val="lowerLetter"/>
      <w:start w:val="27"/>
    </w:lvl>
  </w:abstractNum>
  <w:abstractNum w:abstractNumId="60">
    <w:nsid w:val="42963E5A"/>
    <w:multiLevelType w:val="hybridMultilevel"/>
    <w:lvl w:ilvl="0">
      <w:lvlJc w:val="left"/>
      <w:lvlText w:val="%1"/>
      <w:numFmt w:val="decimal"/>
      <w:start w:val="1"/>
    </w:lvl>
    <w:lvl w:ilvl="1">
      <w:lvlJc w:val="left"/>
      <w:lvlText w:val="%2."/>
      <w:numFmt w:val="lowerLetter"/>
      <w:start w:val="37"/>
    </w:lvl>
  </w:abstractNum>
  <w:abstractNum w:abstractNumId="61">
    <w:nsid w:val="A0382C5"/>
    <w:multiLevelType w:val="hybridMultilevel"/>
    <w:lvl w:ilvl="0">
      <w:lvlJc w:val="left"/>
      <w:lvlText w:val="%1."/>
      <w:numFmt w:val="decimal"/>
      <w:start w:val="3"/>
    </w:lvl>
    <w:lvl w:ilvl="1">
      <w:lvlJc w:val="left"/>
      <w:lvlText w:val="%2."/>
      <w:numFmt w:val="lowerLetter"/>
      <w:start w:val="1"/>
    </w:lvl>
  </w:abstractNum>
  <w:abstractNum w:abstractNumId="62">
    <w:nsid w:val="8F2B15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3">
    <w:nsid w:val="1A32234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5">
    <w:nsid w:val="68EB2F6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6">
    <w:nsid w:val="496281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7">
    <w:nsid w:val="60B6DF7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8">
    <w:nsid w:val="6A5EE6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9">
    <w:nsid w:val="14330624"/>
    <w:multiLevelType w:val="hybridMultilevel"/>
    <w:lvl w:ilvl="0">
      <w:lvlJc w:val="left"/>
      <w:lvlText w:val="%1"/>
      <w:numFmt w:val="lowerLetter"/>
      <w:start w:val="1"/>
    </w:lvl>
    <w:lvl w:ilvl="1">
      <w:lvlJc w:val="left"/>
      <w:lvlText w:val="%2."/>
      <w:numFmt w:val="lowerLetter"/>
      <w:start w:val="35"/>
    </w:lvl>
  </w:abstractNum>
  <w:abstractNum w:abstractNumId="70">
    <w:nsid w:val="7FFFCA11"/>
    <w:multiLevelType w:val="hybridMultilevel"/>
    <w:lvl w:ilvl="0">
      <w:lvlJc w:val="left"/>
      <w:lvlText w:val="%1."/>
      <w:numFmt w:val="lowerLetter"/>
      <w:start w:val="4"/>
    </w:lvl>
    <w:lvl w:ilvl="1">
      <w:lvlJc w:val="left"/>
      <w:lvlText w:val="%2."/>
      <w:numFmt w:val="lowerLetter"/>
      <w:start w:val="9"/>
    </w:lvl>
  </w:abstractNum>
  <w:abstractNum w:abstractNumId="71">
    <w:nsid w:val="1A27709E"/>
    <w:multiLevelType w:val="hybridMultilevel"/>
    <w:lvl w:ilvl="0">
      <w:lvlJc w:val="left"/>
      <w:lvlText w:val="%1."/>
      <w:numFmt w:val="lowerRoman"/>
      <w:start w:val="2"/>
    </w:lvl>
  </w:abstractNum>
  <w:abstractNum w:abstractNumId="72">
    <w:nsid w:val="71EA1109"/>
    <w:multiLevelType w:val="hybridMultilevel"/>
    <w:lvl w:ilvl="0">
      <w:lvlJc w:val="left"/>
      <w:lvlText w:val="%1."/>
      <w:numFmt w:val="lowerLetter"/>
      <w:start w:val="5"/>
    </w:lvl>
    <w:lvl w:ilvl="1">
      <w:lvlJc w:val="left"/>
      <w:lvlText w:val="%2."/>
      <w:numFmt w:val="lowerRoman"/>
      <w:start w:val="1"/>
    </w:lvl>
  </w:abstractNum>
  <w:abstractNum w:abstractNumId="73">
    <w:nsid w:val="100F59DC"/>
    <w:multiLevelType w:val="hybridMultilevel"/>
    <w:lvl w:ilvl="0">
      <w:lvlJc w:val="left"/>
      <w:lvlText w:val="%1."/>
      <w:numFmt w:val="lowerLetter"/>
      <w:start w:val="8"/>
    </w:lvl>
    <w:lvl w:ilvl="1">
      <w:lvlJc w:val="left"/>
      <w:lvlText w:val="%2."/>
      <w:numFmt w:val="lowerRoman"/>
      <w:start w:val="1"/>
    </w:lvl>
  </w:abstractNum>
  <w:abstractNum w:abstractNumId="74">
    <w:nsid w:val="7FB7E0A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5">
    <w:nsid w:val="6EB5BD4"/>
    <w:multiLevelType w:val="hybridMultilevel"/>
    <w:lvl w:ilvl="0">
      <w:lvlJc w:val="left"/>
      <w:lvlText w:val="%1."/>
      <w:numFmt w:val="upperLetter"/>
      <w:start w:val="1"/>
    </w:lvl>
  </w:abstractNum>
  <w:abstractNum w:abstractNumId="76">
    <w:nsid w:val="6F6DD9AC"/>
    <w:multiLevelType w:val="hybridMultilevel"/>
    <w:lvl w:ilvl="0">
      <w:lvlJc w:val="left"/>
      <w:lvlText w:val="%1"/>
      <w:numFmt w:val="lowerLetter"/>
      <w:start w:val="1"/>
    </w:lvl>
    <w:lvl w:ilvl="1">
      <w:lvlJc w:val="left"/>
      <w:lvlText w:val="%2."/>
      <w:numFmt w:val="lowerLetter"/>
      <w:start w:val="61"/>
    </w:lvl>
  </w:abstractNum>
  <w:abstractNum w:abstractNumId="77">
    <w:nsid w:val="94211F2"/>
    <w:multiLevelType w:val="hybridMultilevel"/>
    <w:lvl w:ilvl="0">
      <w:lvlJc w:val="left"/>
      <w:lvlText w:val="%1."/>
      <w:numFmt w:val="lowerLetter"/>
      <w:start w:val="6"/>
    </w:lvl>
    <w:lvl w:ilvl="1">
      <w:lvlJc w:val="left"/>
      <w:lvlText w:val="%2."/>
      <w:numFmt w:val="lowerLetter"/>
      <w:start w:val="9"/>
    </w:lvl>
  </w:abstractNum>
  <w:abstractNum w:abstractNumId="78">
    <w:nsid w:val="885E1B"/>
    <w:multiLevelType w:val="hybridMultilevel"/>
    <w:lvl w:ilvl="0">
      <w:lvlJc w:val="left"/>
      <w:lvlText w:val="%1"/>
      <w:numFmt w:val="decimal"/>
      <w:start w:val="1"/>
    </w:lvl>
    <w:lvl w:ilvl="1">
      <w:lvlJc w:val="left"/>
      <w:lvlText w:val="%2."/>
      <w:numFmt w:val="lowerRoman"/>
      <w:start w:val="2"/>
    </w:lvl>
  </w:abstractNum>
  <w:abstractNum w:abstractNumId="79">
    <w:nsid w:val="76272110"/>
    <w:multiLevelType w:val="hybridMultilevel"/>
    <w:lvl w:ilvl="0">
      <w:lvlJc w:val="left"/>
      <w:lvlText w:val="%1."/>
      <w:numFmt w:val="decimal"/>
      <w:start w:val="9"/>
    </w:lvl>
    <w:lvl w:ilvl="1">
      <w:lvlJc w:val="left"/>
      <w:lvlText w:val="%2"/>
      <w:numFmt w:val="lowerRoman"/>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2"/>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2"/>
    </w:lvl>
    <w:lvl w:ilvl="1">
      <w:lvlJc w:val="left"/>
      <w:lvlText w:val="%2."/>
      <w:numFmt w:val="lowerRoman"/>
      <w:start w:val="1"/>
    </w:lvl>
  </w:abstractNum>
  <w:abstractNum w:abstractNumId="84">
    <w:nsid w:val="74DE0EE3"/>
    <w:multiLevelType w:val="hybridMultilevel"/>
    <w:lvl w:ilvl="0">
      <w:lvlJc w:val="left"/>
      <w:lvlText w:val="%1."/>
      <w:numFmt w:val="lowerLetter"/>
      <w:start w:val="1"/>
    </w:lvl>
    <w:lvl w:ilvl="1">
      <w:lvlJc w:val="left"/>
      <w:lvlText w:val="%2."/>
      <w:numFmt w:val="lowerRoman"/>
      <w:start w:val="1"/>
    </w:lvl>
  </w:abstractNum>
  <w:abstractNum w:abstractNumId="85">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86">
    <w:nsid w:val="2DF6D64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7">
    <w:nsid w:val="46B7D447"/>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88">
    <w:nsid w:val="4A2AC315"/>
    <w:multiLevelType w:val="hybridMultilevel"/>
    <w:lvl w:ilvl="0">
      <w:lvlJc w:val="left"/>
      <w:lvlText w:val="%1."/>
      <w:numFmt w:val="lowerLetter"/>
      <w:start w:val="5"/>
    </w:lvl>
  </w:abstractNum>
  <w:abstractNum w:abstractNumId="89">
    <w:nsid w:val="39EE015C"/>
    <w:multiLevelType w:val="hybridMultilevel"/>
    <w:lvl w:ilvl="0">
      <w:lvlJc w:val="left"/>
      <w:lvlText w:val="%1."/>
      <w:numFmt w:val="lowerLetter"/>
      <w:start w:val="10"/>
    </w:lvl>
  </w:abstractNum>
  <w:abstractNum w:abstractNumId="90">
    <w:nsid w:val="57FC4FBB"/>
    <w:multiLevelType w:val="hybridMultilevel"/>
    <w:lvl w:ilvl="0">
      <w:lvlJc w:val="left"/>
      <w:lvlText w:val="1"/>
      <w:numFmt w:val="bullet"/>
      <w:start w:val="1"/>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3"/>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2024-06-28T12:32:39Z</dcterms:created>
  <dcterms:modified xsi:type="dcterms:W3CDTF">2024-06-28T12:32:39Z</dcterms:modified>
</cp:coreProperties>
</file>