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60" w:right="1600" w:hanging="3839"/>
        <w:spacing w:after="0" w:line="365" w:lineRule="auto"/>
        <w:tabs>
          <w:tab w:leader="none" w:pos="49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240" w:right="1580" w:hanging="4219"/>
        <w:spacing w:after="0" w:line="412"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727"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7"/>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2720" w:type="dxa"/>
            <w:vAlign w:val="bottom"/>
          </w:tcPr>
          <w:p>
            <w:pPr>
              <w:spacing w:after="0"/>
              <w:rPr>
                <w:sz w:val="18"/>
                <w:szCs w:val="18"/>
                <w:color w:val="auto"/>
              </w:rPr>
            </w:pPr>
          </w:p>
        </w:tc>
      </w:tr>
      <w:tr>
        <w:trPr>
          <w:trHeight w:val="232"/>
        </w:trPr>
        <w:tc>
          <w:tcPr>
            <w:tcW w:w="422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Canton, 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131445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8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20" w:type="dxa"/>
            <w:vAlign w:val="bottom"/>
            <w:tcBorders>
              <w:right w:val="single" w:sz="8" w:color="auto"/>
            </w:tcBorders>
          </w:tcPr>
          <w:p>
            <w:pPr>
              <w:spacing w:after="0"/>
              <w:rPr>
                <w:sz w:val="24"/>
                <w:szCs w:val="24"/>
                <w:color w:val="auto"/>
              </w:rPr>
            </w:pP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20" w:type="dxa"/>
            <w:vAlign w:val="bottom"/>
            <w:tcBorders>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1" w:lineRule="exact"/>
        <w:rPr>
          <w:sz w:val="24"/>
          <w:szCs w:val="24"/>
          <w:color w:val="auto"/>
        </w:rPr>
      </w:pPr>
    </w:p>
    <w:p>
      <w:pPr>
        <w:jc w:val="both"/>
        <w:ind w:firstLine="599"/>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right="100" w:firstLine="599"/>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82"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36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May 10, 2022, the registrant had 63,646,745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8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April 30, 2022</w:t>
            </w:r>
          </w:p>
        </w:tc>
        <w:tc>
          <w:tcPr>
            <w:tcW w:w="200" w:type="dxa"/>
            <w:vAlign w:val="bottom"/>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185"/>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2021)</w:t>
            </w:r>
          </w:p>
        </w:tc>
      </w:tr>
      <w:tr>
        <w:trPr>
          <w:trHeight w:val="169"/>
        </w:trPr>
        <w:tc>
          <w:tcPr>
            <w:tcW w:w="7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96,868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113,657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129,877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287,394</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94,362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$0.01 par value, 125,000,000 shares authorized, 77,323,419 and 77,025,419 shares</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at April 30, 2022 and January 29, 2022,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320,745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319,511</w:t>
            </w:r>
          </w:p>
        </w:tc>
        <w:tc>
          <w:tcPr>
            <w:tcW w:w="100" w:type="dxa"/>
            <w:vAlign w:val="bottom"/>
            <w:shd w:val="clear" w:color="auto" w:fill="CFF0FC"/>
          </w:tcPr>
          <w:p>
            <w:pPr>
              <w:spacing w:after="0"/>
              <w:rPr>
                <w:sz w:val="18"/>
                <w:szCs w:val="18"/>
                <w:color w:val="auto"/>
              </w:rPr>
            </w:pPr>
          </w:p>
        </w:tc>
      </w:tr>
      <w:tr>
        <w:trPr>
          <w:trHeight w:val="171"/>
        </w:trPr>
        <w:tc>
          <w:tcPr>
            <w:tcW w:w="77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Treasury stock at cost, 13,701,974 shares and 12,755,873 shares at April 30, 2022 and January 29,</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 respectively</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(97,505 )</w:t>
            </w:r>
          </w:p>
        </w:tc>
        <w:tc>
          <w:tcPr>
            <w:tcW w:w="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(92,658 )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(150,491 )</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(163,879 )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(5,462 )</w:t>
            </w: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(5,525 )</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287,394</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-3779520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-2639695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-2082165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3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00" w:type="dxa"/>
            <w:vAlign w:val="bottom"/>
            <w:gridSpan w:val="6"/>
          </w:tcPr>
          <w:p>
            <w:pPr>
              <w:jc w:val="right"/>
              <w:ind w:right="150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6"/>
        </w:trPr>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color w:val="auto"/>
              </w:rPr>
              <w:t>April 30, 2022</w:t>
            </w:r>
          </w:p>
        </w:tc>
        <w:tc>
          <w:tcPr>
            <w:tcW w:w="320" w:type="dxa"/>
            <w:vAlign w:val="bottom"/>
          </w:tcPr>
          <w:p>
            <w:pPr>
              <w:spacing w:after="0"/>
              <w:rPr>
                <w:sz w:val="15"/>
                <w:szCs w:val="15"/>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1, 2021</w:t>
            </w:r>
          </w:p>
        </w:tc>
      </w:tr>
      <w:tr>
        <w:trPr>
          <w:trHeight w:val="185"/>
        </w:trPr>
        <w:tc>
          <w:tcPr>
            <w:tcW w:w="6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color w:val="auto"/>
              </w:rPr>
              <w:t>(Fiscal 2022)</w:t>
            </w:r>
          </w:p>
        </w:tc>
        <w:tc>
          <w:tcPr>
            <w:tcW w:w="320" w:type="dxa"/>
            <w:vAlign w:val="bottom"/>
          </w:tcPr>
          <w:p>
            <w:pPr>
              <w:spacing w:after="0"/>
              <w:rPr>
                <w:sz w:val="16"/>
                <w:szCs w:val="16"/>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(Fiscal 2021)</w:t>
            </w:r>
          </w:p>
        </w:tc>
      </w:tr>
      <w:tr>
        <w:trPr>
          <w:trHeight w:val="169"/>
        </w:trPr>
        <w:tc>
          <w:tcPr>
            <w:tcW w:w="67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127,655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111,494</w:t>
            </w: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60,661</w:t>
            </w:r>
          </w:p>
        </w:tc>
        <w:tc>
          <w:tcPr>
            <w:tcW w:w="220" w:type="dxa"/>
            <w:vAlign w:val="bottom"/>
          </w:tcPr>
          <w:p>
            <w:pPr>
              <w:spacing w:after="0"/>
              <w:rPr>
                <w:sz w:val="18"/>
                <w:szCs w:val="18"/>
                <w:color w:val="auto"/>
              </w:rPr>
            </w:pPr>
          </w:p>
        </w:tc>
      </w:tr>
      <w:tr>
        <w:trPr>
          <w:trHeight w:val="210"/>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50,833</w:t>
            </w: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37,118</w:t>
            </w:r>
          </w:p>
        </w:tc>
        <w:tc>
          <w:tcPr>
            <w:tcW w:w="220" w:type="dxa"/>
            <w:vAlign w:val="bottom"/>
          </w:tcPr>
          <w:p>
            <w:pPr>
              <w:spacing w:after="0"/>
              <w:rPr>
                <w:sz w:val="18"/>
                <w:szCs w:val="18"/>
                <w:color w:val="auto"/>
              </w:rPr>
            </w:pPr>
          </w:p>
        </w:tc>
      </w:tr>
      <w:tr>
        <w:trPr>
          <w:trHeight w:val="216"/>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3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(351 )</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(652 )</w:t>
            </w:r>
          </w:p>
        </w:tc>
      </w:tr>
      <w:tr>
        <w:trPr>
          <w:trHeight w:val="216"/>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tcPr>
          <w:p>
            <w:pPr>
              <w:spacing w:after="0"/>
              <w:rPr>
                <w:sz w:val="18"/>
                <w:szCs w:val="18"/>
                <w:color w:val="auto"/>
              </w:rPr>
            </w:pPr>
          </w:p>
        </w:tc>
      </w:tr>
      <w:tr>
        <w:trPr>
          <w:trHeight w:val="210"/>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(143 )</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(1,142 )</w:t>
            </w:r>
          </w:p>
        </w:tc>
      </w:tr>
      <w:tr>
        <w:trPr>
          <w:trHeight w:val="209"/>
        </w:trPr>
        <w:tc>
          <w:tcPr>
            <w:tcW w:w="67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r>
      <w:tr>
        <w:trPr>
          <w:trHeight w:val="209"/>
        </w:trPr>
        <w:tc>
          <w:tcPr>
            <w:tcW w:w="6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6"/>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197"/>
        </w:trPr>
        <w:tc>
          <w:tcPr>
            <w:tcW w:w="6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62,153</w:t>
            </w:r>
          </w:p>
        </w:tc>
        <w:tc>
          <w:tcPr>
            <w:tcW w:w="220" w:type="dxa"/>
            <w:vAlign w:val="bottom"/>
          </w:tcPr>
          <w:p>
            <w:pPr>
              <w:spacing w:after="0"/>
              <w:rPr>
                <w:sz w:val="18"/>
                <w:szCs w:val="18"/>
                <w:color w:val="auto"/>
              </w:rPr>
            </w:pPr>
          </w:p>
        </w:tc>
      </w:tr>
      <w:tr>
        <w:trPr>
          <w:trHeight w:val="216"/>
        </w:trPr>
        <w:tc>
          <w:tcPr>
            <w:tcW w:w="6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68,370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-2519680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-2519680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-1962150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-1962150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-1122680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-1104900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-1122680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-1104900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3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gridSpan w:val="5"/>
          </w:tcPr>
          <w:p>
            <w:pPr>
              <w:jc w:val="right"/>
              <w:ind w:right="128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6"/>
        </w:trPr>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April 30, 2022</w:t>
            </w:r>
          </w:p>
        </w:tc>
        <w:tc>
          <w:tcPr>
            <w:tcW w:w="260" w:type="dxa"/>
            <w:vAlign w:val="bottom"/>
          </w:tcPr>
          <w:p>
            <w:pPr>
              <w:spacing w:after="0"/>
              <w:rPr>
                <w:sz w:val="15"/>
                <w:szCs w:val="15"/>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May 1, 2021</w:t>
            </w:r>
          </w:p>
        </w:tc>
      </w:tr>
      <w:tr>
        <w:trPr>
          <w:trHeight w:val="185"/>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(Fiscal 2022)</w:t>
            </w:r>
          </w:p>
        </w:tc>
        <w:tc>
          <w:tcPr>
            <w:tcW w:w="260" w:type="dxa"/>
            <w:vAlign w:val="bottom"/>
          </w:tcPr>
          <w:p>
            <w:pPr>
              <w:spacing w:after="0"/>
              <w:rPr>
                <w:sz w:val="16"/>
                <w:szCs w:val="16"/>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(Fiscal 2021)</w:t>
            </w: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3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plans</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w:t>
            </w: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top w:val="single" w:sz="8" w:color="CFF0FC"/>
            </w:tcBorders>
          </w:tcPr>
          <w:p>
            <w:pPr>
              <w:spacing w:after="0"/>
              <w:rPr>
                <w:sz w:val="18"/>
                <w:szCs w:val="18"/>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3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-599440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-599440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-316230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-316230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color w:val="auto"/>
                <w:w w:val="95"/>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Additional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Paid-in</w:t>
            </w:r>
          </w:p>
        </w:tc>
        <w:tc>
          <w:tcPr>
            <w:tcW w:w="1840" w:type="dxa"/>
            <w:vAlign w:val="bottom"/>
            <w:gridSpan w:val="5"/>
          </w:tcPr>
          <w:p>
            <w:pPr>
              <w:jc w:val="right"/>
              <w:ind w:right="539"/>
              <w:spacing w:after="0"/>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color w:val="auto"/>
                <w:w w:val="92"/>
              </w:rPr>
              <w:t>Accumulated</w:t>
            </w:r>
          </w:p>
        </w:tc>
        <w:tc>
          <w:tcPr>
            <w:tcW w:w="120" w:type="dxa"/>
            <w:vAlign w:val="bottom"/>
          </w:tcPr>
          <w:p>
            <w:pPr>
              <w:spacing w:after="0"/>
              <w:rPr>
                <w:sz w:val="14"/>
                <w:szCs w:val="14"/>
                <w:color w:val="auto"/>
              </w:rPr>
            </w:pPr>
          </w:p>
        </w:tc>
        <w:tc>
          <w:tcPr>
            <w:tcW w:w="108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color w:val="auto"/>
                <w:w w:val="9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Capital</w:t>
            </w:r>
          </w:p>
        </w:tc>
        <w:tc>
          <w:tcPr>
            <w:tcW w:w="820" w:type="dxa"/>
            <w:vAlign w:val="bottom"/>
            <w:gridSpan w:val="2"/>
          </w:tcPr>
          <w:p>
            <w:pPr>
              <w:jc w:val="right"/>
              <w:ind w:right="239"/>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rPr>
                <w:sz w:val="15"/>
                <w:szCs w:val="15"/>
                <w:color w:val="auto"/>
              </w:rPr>
            </w:pPr>
          </w:p>
        </w:tc>
        <w:tc>
          <w:tcPr>
            <w:tcW w:w="860" w:type="dxa"/>
            <w:vAlign w:val="bottom"/>
            <w:gridSpan w:val="2"/>
          </w:tcPr>
          <w:p>
            <w:pPr>
              <w:jc w:val="right"/>
              <w:ind w:right="279"/>
              <w:spacing w:after="0"/>
              <w:rPr>
                <w:sz w:val="20"/>
                <w:szCs w:val="20"/>
                <w:color w:val="auto"/>
              </w:rPr>
            </w:pPr>
            <w:r>
              <w:rPr>
                <w:rFonts w:ascii="Times New Roman" w:cs="Times New Roman" w:eastAsia="Times New Roman" w:hAnsi="Times New Roman"/>
                <w:sz w:val="13"/>
                <w:szCs w:val="13"/>
                <w:color w:val="auto"/>
              </w:rPr>
              <w:t>Amounts</w:t>
            </w:r>
          </w:p>
        </w:tc>
        <w:tc>
          <w:tcPr>
            <w:tcW w:w="100" w:type="dxa"/>
            <w:vAlign w:val="bottom"/>
          </w:tcPr>
          <w:p>
            <w:pPr>
              <w:spacing w:after="0"/>
              <w:rPr>
                <w:sz w:val="15"/>
                <w:szCs w:val="15"/>
                <w:color w:val="auto"/>
              </w:rPr>
            </w:pPr>
          </w:p>
        </w:tc>
        <w:tc>
          <w:tcPr>
            <w:tcW w:w="90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color w:val="auto"/>
              </w:rPr>
              <w:t>Deficit</w:t>
            </w:r>
          </w:p>
        </w:tc>
        <w:tc>
          <w:tcPr>
            <w:tcW w:w="120" w:type="dxa"/>
            <w:vAlign w:val="bottom"/>
          </w:tcPr>
          <w:p>
            <w:pPr>
              <w:spacing w:after="0"/>
              <w:rPr>
                <w:sz w:val="15"/>
                <w:szCs w:val="15"/>
                <w:color w:val="auto"/>
              </w:rPr>
            </w:pPr>
          </w:p>
        </w:tc>
        <w:tc>
          <w:tcPr>
            <w:tcW w:w="1080" w:type="dxa"/>
            <w:vAlign w:val="bottom"/>
            <w:gridSpan w:val="2"/>
          </w:tcPr>
          <w:p>
            <w:pPr>
              <w:jc w:val="center"/>
              <w:ind w:right="199"/>
              <w:spacing w:after="0"/>
              <w:rPr>
                <w:sz w:val="20"/>
                <w:szCs w:val="20"/>
                <w:color w:val="auto"/>
              </w:rPr>
            </w:pPr>
            <w:r>
              <w:rPr>
                <w:rFonts w:ascii="Times New Roman" w:cs="Times New Roman" w:eastAsia="Times New Roman" w:hAnsi="Times New Roman"/>
                <w:sz w:val="13"/>
                <w:szCs w:val="13"/>
                <w:color w:val="auto"/>
                <w:w w:val="97"/>
              </w:rPr>
              <w:t>Loss</w:t>
            </w:r>
          </w:p>
        </w:tc>
        <w:tc>
          <w:tcPr>
            <w:tcW w:w="1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January 29, 2022</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77,025</w:t>
            </w: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319,511</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(92,658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(163,879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Restricted stock units (RSUs) granted for</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achievement of performance-based</w:t>
            </w: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(3 )</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348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(414 )</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(415 )</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8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(946 )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(4,847 )</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(4,847 )</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April 30,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320,745</w:t>
            </w:r>
          </w:p>
        </w:tc>
        <w:tc>
          <w:tcPr>
            <w:tcW w:w="18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(13,702 )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(97,505 )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(150,491 )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(5,462 )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-141605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-141605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-141605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-141605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-141605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-141605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-141605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ind w:left="43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color w:val="auto"/>
                <w:w w:val="95"/>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Additional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00" w:type="dxa"/>
            <w:vAlign w:val="bottom"/>
            <w:gridSpan w:val="4"/>
          </w:tcPr>
          <w:p>
            <w:pPr>
              <w:jc w:val="right"/>
              <w:ind w:right="342"/>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Paid-in</w:t>
            </w:r>
          </w:p>
        </w:tc>
        <w:tc>
          <w:tcPr>
            <w:tcW w:w="1840" w:type="dxa"/>
            <w:vAlign w:val="bottom"/>
            <w:gridSpan w:val="5"/>
          </w:tcPr>
          <w:p>
            <w:pPr>
              <w:jc w:val="right"/>
              <w:ind w:right="539"/>
              <w:spacing w:after="0"/>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color w:val="auto"/>
                <w:w w:val="92"/>
              </w:rPr>
              <w:t>Accumulated</w:t>
            </w:r>
          </w:p>
        </w:tc>
        <w:tc>
          <w:tcPr>
            <w:tcW w:w="120" w:type="dxa"/>
            <w:vAlign w:val="bottom"/>
          </w:tcPr>
          <w:p>
            <w:pPr>
              <w:spacing w:after="0"/>
              <w:rPr>
                <w:sz w:val="14"/>
                <w:szCs w:val="14"/>
                <w:color w:val="auto"/>
              </w:rPr>
            </w:pPr>
          </w:p>
        </w:tc>
        <w:tc>
          <w:tcPr>
            <w:tcW w:w="1080" w:type="dxa"/>
            <w:vAlign w:val="bottom"/>
            <w:gridSpan w:val="2"/>
          </w:tcPr>
          <w:p>
            <w:pPr>
              <w:jc w:val="center"/>
              <w:ind w:right="179"/>
              <w:spacing w:after="0"/>
              <w:rPr>
                <w:sz w:val="20"/>
                <w:szCs w:val="20"/>
                <w:color w:val="auto"/>
              </w:rPr>
            </w:pPr>
            <w:r>
              <w:rPr>
                <w:rFonts w:ascii="Times New Roman" w:cs="Times New Roman" w:eastAsia="Times New Roman" w:hAnsi="Times New Roman"/>
                <w:sz w:val="13"/>
                <w:szCs w:val="13"/>
                <w:color w:val="auto"/>
                <w:w w:val="9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auto"/>
                <w:w w:val="96"/>
              </w:rPr>
              <w:t>Amounts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Capital</w:t>
            </w:r>
          </w:p>
        </w:tc>
        <w:tc>
          <w:tcPr>
            <w:tcW w:w="820" w:type="dxa"/>
            <w:vAlign w:val="bottom"/>
            <w:gridSpan w:val="2"/>
          </w:tcPr>
          <w:p>
            <w:pPr>
              <w:jc w:val="right"/>
              <w:ind w:right="239"/>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rPr>
                <w:sz w:val="15"/>
                <w:szCs w:val="15"/>
                <w:color w:val="auto"/>
              </w:rPr>
            </w:pPr>
          </w:p>
        </w:tc>
        <w:tc>
          <w:tcPr>
            <w:tcW w:w="860" w:type="dxa"/>
            <w:vAlign w:val="bottom"/>
            <w:gridSpan w:val="2"/>
          </w:tcPr>
          <w:p>
            <w:pPr>
              <w:jc w:val="right"/>
              <w:ind w:right="279"/>
              <w:spacing w:after="0"/>
              <w:rPr>
                <w:sz w:val="20"/>
                <w:szCs w:val="20"/>
                <w:color w:val="auto"/>
              </w:rPr>
            </w:pPr>
            <w:r>
              <w:rPr>
                <w:rFonts w:ascii="Times New Roman" w:cs="Times New Roman" w:eastAsia="Times New Roman" w:hAnsi="Times New Roman"/>
                <w:sz w:val="13"/>
                <w:szCs w:val="13"/>
                <w:color w:val="auto"/>
              </w:rPr>
              <w:t>Amounts</w:t>
            </w:r>
          </w:p>
        </w:tc>
        <w:tc>
          <w:tcPr>
            <w:tcW w:w="100" w:type="dxa"/>
            <w:vAlign w:val="bottom"/>
          </w:tcPr>
          <w:p>
            <w:pPr>
              <w:spacing w:after="0"/>
              <w:rPr>
                <w:sz w:val="15"/>
                <w:szCs w:val="15"/>
                <w:color w:val="auto"/>
              </w:rPr>
            </w:pPr>
          </w:p>
        </w:tc>
        <w:tc>
          <w:tcPr>
            <w:tcW w:w="90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color w:val="auto"/>
              </w:rPr>
              <w:t>Deficit</w:t>
            </w:r>
          </w:p>
        </w:tc>
        <w:tc>
          <w:tcPr>
            <w:tcW w:w="120" w:type="dxa"/>
            <w:vAlign w:val="bottom"/>
          </w:tcPr>
          <w:p>
            <w:pPr>
              <w:spacing w:after="0"/>
              <w:rPr>
                <w:sz w:val="15"/>
                <w:szCs w:val="15"/>
                <w:color w:val="auto"/>
              </w:rPr>
            </w:pPr>
          </w:p>
        </w:tc>
        <w:tc>
          <w:tcPr>
            <w:tcW w:w="1080" w:type="dxa"/>
            <w:vAlign w:val="bottom"/>
            <w:gridSpan w:val="2"/>
          </w:tcPr>
          <w:p>
            <w:pPr>
              <w:jc w:val="center"/>
              <w:ind w:right="199"/>
              <w:spacing w:after="0"/>
              <w:rPr>
                <w:sz w:val="20"/>
                <w:szCs w:val="20"/>
                <w:color w:val="auto"/>
              </w:rPr>
            </w:pPr>
            <w:r>
              <w:rPr>
                <w:rFonts w:ascii="Times New Roman" w:cs="Times New Roman" w:eastAsia="Times New Roman" w:hAnsi="Times New Roman"/>
                <w:sz w:val="13"/>
                <w:szCs w:val="13"/>
                <w:color w:val="auto"/>
                <w:w w:val="97"/>
              </w:rPr>
              <w:t>Loss</w:t>
            </w:r>
          </w:p>
        </w:tc>
        <w:tc>
          <w:tcPr>
            <w:tcW w:w="180" w:type="dxa"/>
            <w:vAlign w:val="bottom"/>
          </w:tcPr>
          <w:p>
            <w:pPr>
              <w:spacing w:after="0"/>
              <w:rPr>
                <w:sz w:val="15"/>
                <w:szCs w:val="15"/>
                <w:color w:val="auto"/>
              </w:rPr>
            </w:pPr>
          </w:p>
        </w:tc>
        <w:tc>
          <w:tcPr>
            <w:tcW w:w="72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30, 2021</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64,656</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314,747</w:t>
            </w:r>
          </w:p>
        </w:tc>
        <w:tc>
          <w:tcPr>
            <w:tcW w:w="18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(92,658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(220,592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9"/>
        </w:trPr>
        <w:tc>
          <w:tcPr>
            <w:tcW w:w="348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through private direct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 net of offering costs</w:t>
            </w: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(3 )</w:t>
            </w: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plan, net of taxes</w:t>
            </w: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net of taxes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May 1,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319,443</w:t>
            </w:r>
          </w:p>
        </w:tc>
        <w:tc>
          <w:tcPr>
            <w:tcW w:w="18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(12,755 )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(92,658 )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(211,895 )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(6,168 )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-141605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-141605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-141605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-141605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-141605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-141605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-141605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3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4"/>
                <w:szCs w:val="14"/>
                <w:color w:val="auto"/>
              </w:rPr>
              <w:t>April 30, 2022</w:t>
            </w:r>
          </w:p>
        </w:tc>
        <w:tc>
          <w:tcPr>
            <w:tcW w:w="200" w:type="dxa"/>
            <w:vAlign w:val="bottom"/>
          </w:tcPr>
          <w:p>
            <w:pPr>
              <w:spacing w:after="0"/>
              <w:rPr>
                <w:sz w:val="15"/>
                <w:szCs w:val="15"/>
                <w:color w:val="auto"/>
              </w:rPr>
            </w:pPr>
          </w:p>
        </w:tc>
        <w:tc>
          <w:tcPr>
            <w:tcW w:w="12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color w:val="auto"/>
              </w:rPr>
              <w:t>May 1, 2021</w:t>
            </w:r>
          </w:p>
        </w:tc>
      </w:tr>
      <w:tr>
        <w:trPr>
          <w:trHeight w:val="185"/>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color w:val="auto"/>
              </w:rPr>
              <w:t>(Fiscal 2022)</w:t>
            </w:r>
          </w:p>
        </w:tc>
        <w:tc>
          <w:tcPr>
            <w:tcW w:w="200" w:type="dxa"/>
            <w:vAlign w:val="bottom"/>
          </w:tcPr>
          <w:p>
            <w:pPr>
              <w:spacing w:after="0"/>
              <w:rPr>
                <w:sz w:val="16"/>
                <w:szCs w:val="16"/>
                <w:color w:val="auto"/>
              </w:rPr>
            </w:pPr>
          </w:p>
        </w:tc>
        <w:tc>
          <w:tcPr>
            <w:tcW w:w="128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color w:val="auto"/>
              </w:rPr>
              <w:t>(Fiscal 2021)</w:t>
            </w:r>
          </w:p>
        </w:tc>
      </w:tr>
      <w:tr>
        <w:trPr>
          <w:trHeight w:val="210"/>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8,697</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 of deferred debt issuance costs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(351 )</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(652 )</w:t>
            </w: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tcPr>
          <w:p>
            <w:pPr>
              <w:spacing w:after="0"/>
              <w:rPr>
                <w:sz w:val="17"/>
                <w:szCs w:val="17"/>
                <w:color w:val="auto"/>
              </w:rPr>
            </w:pPr>
          </w:p>
        </w:tc>
      </w:tr>
      <w:tr>
        <w:trPr>
          <w:trHeight w:val="216"/>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FF0FC"/>
          </w:tcPr>
          <w:p>
            <w:pPr>
              <w:spacing w:after="0"/>
              <w:rPr>
                <w:sz w:val="18"/>
                <w:szCs w:val="18"/>
                <w:color w:val="auto"/>
              </w:rPr>
            </w:pP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FF0FC"/>
          </w:tcPr>
          <w:p>
            <w:pPr>
              <w:spacing w:after="0"/>
              <w:rPr>
                <w:sz w:val="17"/>
                <w:szCs w:val="17"/>
                <w:color w:val="auto"/>
              </w:rPr>
            </w:pPr>
          </w:p>
        </w:tc>
      </w:tr>
      <w:tr>
        <w:trPr>
          <w:trHeight w:val="202"/>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7"/>
                <w:szCs w:val="17"/>
                <w:color w:val="auto"/>
              </w:rPr>
            </w:pP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(15,104 )</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(3,362 )</w:t>
            </w: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(1,462 )</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(2,692 )</w:t>
            </w: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7"/>
                <w:szCs w:val="17"/>
                <w:color w:val="auto"/>
              </w:rPr>
            </w:pP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leases, net</w:t>
            </w:r>
          </w:p>
        </w:tc>
        <w:tc>
          <w:tcPr>
            <w:tcW w:w="180" w:type="dxa"/>
            <w:vAlign w:val="bottom"/>
          </w:tcPr>
          <w:p>
            <w:pPr>
              <w:spacing w:after="0"/>
              <w:rPr>
                <w:sz w:val="17"/>
                <w:szCs w:val="17"/>
                <w:color w:val="auto"/>
              </w:rPr>
            </w:pP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(1,874 )</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(6,318 )</w:t>
            </w: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(5,803 )</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FF0FC"/>
          </w:tcPr>
          <w:p>
            <w:pPr>
              <w:spacing w:after="0"/>
              <w:rPr>
                <w:sz w:val="17"/>
                <w:szCs w:val="17"/>
                <w:color w:val="auto"/>
              </w:rPr>
            </w:pPr>
          </w:p>
        </w:tc>
      </w:tr>
      <w:tr>
        <w:trPr>
          <w:trHeight w:val="20"/>
        </w:trPr>
        <w:tc>
          <w:tcPr>
            <w:tcW w:w="8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180" w:type="dxa"/>
            <w:vAlign w:val="bottom"/>
          </w:tcPr>
          <w:p>
            <w:pPr>
              <w:spacing w:after="0"/>
              <w:rPr>
                <w:sz w:val="17"/>
                <w:szCs w:val="17"/>
                <w:color w:val="auto"/>
              </w:rPr>
            </w:pP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(1,543 )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00" w:type="dxa"/>
            <w:vAlign w:val="bottom"/>
          </w:tcPr>
          <w:p>
            <w:pPr>
              <w:spacing w:after="0"/>
              <w:rPr>
                <w:sz w:val="17"/>
                <w:szCs w:val="17"/>
                <w:color w:val="auto"/>
              </w:rPr>
            </w:pPr>
          </w:p>
        </w:tc>
      </w:tr>
      <w:tr>
        <w:trPr>
          <w:trHeight w:val="196"/>
        </w:trPr>
        <w:tc>
          <w:tcPr>
            <w:tcW w:w="80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(1,184 )</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(803 )</w:t>
            </w:r>
          </w:p>
        </w:tc>
      </w:tr>
      <w:tr>
        <w:trPr>
          <w:trHeight w:val="20"/>
        </w:trPr>
        <w:tc>
          <w:tcPr>
            <w:tcW w:w="80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80" w:type="dxa"/>
            <w:vAlign w:val="bottom"/>
          </w:tcPr>
          <w:p>
            <w:pPr>
              <w:spacing w:after="0"/>
              <w:rPr>
                <w:sz w:val="17"/>
                <w:szCs w:val="17"/>
                <w:color w:val="auto"/>
              </w:rPr>
            </w:pP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(1,184 )</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(803 )</w:t>
            </w:r>
          </w:p>
        </w:tc>
      </w:tr>
      <w:tr>
        <w:trPr>
          <w:trHeight w:val="196"/>
        </w:trPr>
        <w:tc>
          <w:tcPr>
            <w:tcW w:w="80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(4,847 )</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from private direct offering, net of offering costs</w:t>
            </w:r>
          </w:p>
        </w:tc>
        <w:tc>
          <w:tcPr>
            <w:tcW w:w="180" w:type="dxa"/>
            <w:vAlign w:val="bottom"/>
          </w:tcPr>
          <w:p>
            <w:pPr>
              <w:spacing w:after="0"/>
              <w:rPr>
                <w:sz w:val="17"/>
                <w:szCs w:val="17"/>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Repayment of FILO loan</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(15,000 )</w:t>
            </w: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new FILO loan</w:t>
            </w:r>
          </w:p>
        </w:tc>
        <w:tc>
          <w:tcPr>
            <w:tcW w:w="180" w:type="dxa"/>
            <w:vAlign w:val="bottom"/>
          </w:tcPr>
          <w:p>
            <w:pPr>
              <w:spacing w:after="0"/>
              <w:rPr>
                <w:sz w:val="17"/>
                <w:szCs w:val="17"/>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tcPr>
          <w:p>
            <w:pPr>
              <w:spacing w:after="0"/>
              <w:rPr>
                <w:sz w:val="17"/>
                <w:szCs w:val="17"/>
                <w:color w:val="auto"/>
              </w:rPr>
            </w:pP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repayments under credit facility</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(26,173 )</w:t>
            </w: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issuance costs</w:t>
            </w:r>
          </w:p>
        </w:tc>
        <w:tc>
          <w:tcPr>
            <w:tcW w:w="180" w:type="dxa"/>
            <w:vAlign w:val="bottom"/>
          </w:tcPr>
          <w:p>
            <w:pPr>
              <w:spacing w:after="0"/>
              <w:rPr>
                <w:sz w:val="17"/>
                <w:szCs w:val="17"/>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(818 )</w:t>
            </w:r>
          </w:p>
        </w:tc>
      </w:tr>
      <w:tr>
        <w:trPr>
          <w:trHeight w:val="203"/>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(415 )</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80" w:type="dxa"/>
            <w:vAlign w:val="bottom"/>
          </w:tcPr>
          <w:p>
            <w:pPr>
              <w:spacing w:after="0"/>
              <w:rPr>
                <w:sz w:val="17"/>
                <w:szCs w:val="17"/>
                <w:color w:val="auto"/>
              </w:rPr>
            </w:pPr>
          </w:p>
        </w:tc>
        <w:tc>
          <w:tcPr>
            <w:tcW w:w="1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(7,966 )</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(13,154 )</w:t>
            </w:r>
          </w:p>
        </w:tc>
      </w:tr>
      <w:tr>
        <w:trPr>
          <w:trHeight w:val="203"/>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18,997</w:t>
            </w:r>
          </w:p>
        </w:tc>
        <w:tc>
          <w:tcPr>
            <w:tcW w:w="100" w:type="dxa"/>
            <w:vAlign w:val="bottom"/>
          </w:tcPr>
          <w:p>
            <w:pPr>
              <w:spacing w:after="0"/>
              <w:rPr>
                <w:sz w:val="17"/>
                <w:szCs w:val="17"/>
                <w:color w:val="auto"/>
              </w:rPr>
            </w:pPr>
          </w:p>
        </w:tc>
      </w:tr>
      <w:tr>
        <w:trPr>
          <w:trHeight w:val="236"/>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-2656840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-2125345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-556895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2022 included in the Company’s Annual Report on Form 10-K, which was filed with the Securities and Exchange Commission on March 17, 2022.</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2022 and fiscal 2021 are 52-week periods ending on January 28, 2023 and January 29, 2022,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 The Company’s wholesale business was a third operating segment. In the first quarter of fiscal 2022, we ended our relationship with our primary wholesale customer. Due to the immateriality of the wholesale segment’s revenues, profits and assets, its operating results are aggregated with the retail segment for both periods presented.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sz w:val="20"/>
          <w:szCs w:val="20"/>
          <w:color w:val="auto"/>
        </w:rPr>
      </w:pPr>
    </w:p>
    <w:p>
      <w:pPr>
        <w:ind w:left="26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 maturity of these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months ended April 30, 2022 and May 1, 2021, respectively,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April 30, 2022</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May 1, 2021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5"/>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200" w:type="dxa"/>
            <w:vAlign w:val="bottom"/>
            <w:gridSpan w:val="4"/>
          </w:tcPr>
          <w:p>
            <w:pPr>
              <w:jc w:val="center"/>
              <w:ind w:right="561"/>
              <w:spacing w:after="0" w:line="160" w:lineRule="exact"/>
              <w:rPr>
                <w:sz w:val="20"/>
                <w:szCs w:val="20"/>
                <w:color w:val="auto"/>
              </w:rPr>
            </w:pPr>
            <w:r>
              <w:rPr>
                <w:rFonts w:ascii="Times New Roman" w:cs="Times New Roman" w:eastAsia="Times New Roman" w:hAnsi="Times New Roman"/>
                <w:sz w:val="14"/>
                <w:szCs w:val="14"/>
                <w:i w:val="1"/>
                <w:iCs w:val="1"/>
                <w:color w:val="auto"/>
                <w:w w:val="91"/>
              </w:rPr>
              <w:t>thousands)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color w:val="auto"/>
              </w:rPr>
              <w:t>Pension</w:t>
            </w:r>
          </w:p>
        </w:tc>
        <w:tc>
          <w:tcPr>
            <w:tcW w:w="120" w:type="dxa"/>
            <w:vAlign w:val="bottom"/>
          </w:tcPr>
          <w:p>
            <w:pPr>
              <w:spacing w:after="0"/>
              <w:rPr>
                <w:sz w:val="14"/>
                <w:szCs w:val="14"/>
                <w:color w:val="auto"/>
              </w:rPr>
            </w:pPr>
          </w:p>
        </w:tc>
        <w:tc>
          <w:tcPr>
            <w:tcW w:w="9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color w:val="auto"/>
              </w:rPr>
              <w:t>Foreign</w:t>
            </w:r>
          </w:p>
        </w:tc>
        <w:tc>
          <w:tcPr>
            <w:tcW w:w="180" w:type="dxa"/>
            <w:vAlign w:val="bottom"/>
          </w:tcPr>
          <w:p>
            <w:pPr>
              <w:spacing w:after="0"/>
              <w:rPr>
                <w:sz w:val="14"/>
                <w:szCs w:val="14"/>
                <w:color w:val="auto"/>
              </w:rPr>
            </w:pPr>
          </w:p>
        </w:tc>
        <w:tc>
          <w:tcPr>
            <w:tcW w:w="84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84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color w:val="auto"/>
              </w:rPr>
              <w:t>Pension</w:t>
            </w:r>
          </w:p>
        </w:tc>
        <w:tc>
          <w:tcPr>
            <w:tcW w:w="1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Foreign</w:t>
            </w:r>
          </w:p>
        </w:tc>
        <w:tc>
          <w:tcPr>
            <w:tcW w:w="200" w:type="dxa"/>
            <w:vAlign w:val="bottom"/>
          </w:tcPr>
          <w:p>
            <w:pPr>
              <w:spacing w:after="0"/>
              <w:rPr>
                <w:sz w:val="14"/>
                <w:szCs w:val="14"/>
                <w:color w:val="auto"/>
              </w:rPr>
            </w:pPr>
          </w:p>
        </w:tc>
        <w:tc>
          <w:tcPr>
            <w:tcW w:w="80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tcPr>
          <w:p>
            <w:pPr>
              <w:spacing w:after="0"/>
              <w:rPr>
                <w:sz w:val="14"/>
                <w:szCs w:val="14"/>
                <w:color w:val="auto"/>
              </w:rPr>
            </w:pPr>
          </w:p>
        </w:tc>
        <w:tc>
          <w:tcPr>
            <w:tcW w:w="9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Currency</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Currency</w:t>
            </w: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quarter</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net of taxes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60"/>
              <w:spacing w:after="0" w:line="229" w:lineRule="exact"/>
              <w:rPr>
                <w:sz w:val="20"/>
                <w:szCs w:val="20"/>
                <w:color w:val="auto"/>
              </w:rPr>
            </w:pPr>
            <w:r>
              <w:rPr>
                <w:rFonts w:ascii="Times New Roman" w:cs="Times New Roman" w:eastAsia="Times New Roman" w:hAnsi="Times New Roman"/>
                <w:sz w:val="18"/>
                <w:szCs w:val="18"/>
                <w:color w:val="auto"/>
              </w:rPr>
              <w:t xml:space="preserve">comprehensive income, net of taxes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9"/>
                <w:szCs w:val="19"/>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(5,399 )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(5,462 )</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(6,168 )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-170815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loss on pension plans, which was charged to “Selling, General and Administrative” Expense on the Consolidated Statements of Operations for both periods presented. The Company recognized income of $12,000 for both the three months ended April 30, 2022 and May 1, 2021, as a result of a change in amortization from average remaining future service to average remaining lifetime. There was no related tax effect for either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based on the assumptions in the table below as it relates to stock options granted during the first three months of fiscal 2022 and fiscal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April 30, 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May 1, 2021</w:t>
            </w:r>
          </w:p>
        </w:tc>
        <w:tc>
          <w:tcPr>
            <w:tcW w:w="100" w:type="dxa"/>
            <w:vAlign w:val="bottom"/>
          </w:tcPr>
          <w:p>
            <w:pPr>
              <w:spacing w:after="0"/>
              <w:rPr>
                <w:sz w:val="16"/>
                <w:szCs w:val="16"/>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109.0%-123.0%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 - 104.9%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- 0.60%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 yrs.</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3.0 - 4.0 yrs.</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 and the related stock compensation expense was fully expensed by the end of fiscal 2021.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8"/>
          <w:szCs w:val="18"/>
          <w:color w:val="auto"/>
        </w:rPr>
        <w:t>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first quarter of fiscal 2022 and fiscal 2021, the Company recognized non-cash gains of $0.5 million and $0.8 million, respectively, related to the Company’s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first quarter of fiscal 2022 and fiscal 2021, $0.4 million and $0.7 million, respectively, were included as an offset to asset impairment charges. The remaining gains for the first quarter of fiscal 2022 and fiscal 2021 were included as a reduction of store occupancy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April 30, 2022, the Company had no short-term leases.</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when the Company considers it reasonably certain that it will exercise an option to extend, the associated payment of that option will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additional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new accounting pronouncements, issued or effective during the first three months of fiscal 2022, have had or are expected to have a significant impact on the Company’s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direct and wholesale. </w:t>
      </w:r>
      <w:r>
        <w:rPr>
          <w:rFonts w:ascii="Times New Roman" w:cs="Times New Roman" w:eastAsia="Times New Roman" w:hAnsi="Times New Roman"/>
          <w:sz w:val="18"/>
          <w:szCs w:val="18"/>
          <w:color w:val="000000"/>
        </w:rPr>
        <w:t>Revenue is recognized by the operating</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Times New Roman" w:cs="Times New Roman" w:eastAsia="Times New Roman" w:hAnsi="Times New Roman"/>
          <w:sz w:val="18"/>
          <w:szCs w:val="18"/>
          <w:color w:val="212121"/>
        </w:rPr>
        <w:t>Generally, all revenues are recognized when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 collected from</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customers and remitted to taxing authorities is excluded from revenue and is included as part of accrued expenses on the Consolidated Balance Sheets.</w:t>
      </w:r>
    </w:p>
    <w:p>
      <w:pPr>
        <w:spacing w:after="0" w:line="72" w:lineRule="exact"/>
        <w:rPr>
          <w:sz w:val="20"/>
          <w:szCs w:val="20"/>
          <w:color w:val="auto"/>
        </w:rPr>
      </w:pPr>
    </w:p>
    <w:p>
      <w:pPr>
        <w:ind w:left="760" w:hanging="378"/>
        <w:spacing w:after="0" w:line="252" w:lineRule="auto"/>
        <w:tabs>
          <w:tab w:leader="none" w:pos="760" w:val="left"/>
        </w:tabs>
        <w:numPr>
          <w:ilvl w:val="0"/>
          <w:numId w:val="4"/>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store operations is recorded upon purchase of merchandise by customers, net of an allowance for sales returns, which is estimated based upon historical experience.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ind w:left="760" w:hanging="378"/>
        <w:spacing w:after="0" w:line="281" w:lineRule="auto"/>
        <w:tabs>
          <w:tab w:leader="none" w:pos="760" w:val="left"/>
        </w:tabs>
        <w:numPr>
          <w:ilvl w:val="0"/>
          <w:numId w:val="5"/>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direct operations is recognized at the time a customer order is delivered, net of an allowance for sales returns, which is estimated based upon historical experience.</w:t>
      </w:r>
    </w:p>
    <w:p>
      <w:pPr>
        <w:spacing w:after="0" w:line="40" w:lineRule="exact"/>
        <w:rPr>
          <w:rFonts w:ascii="Arial" w:cs="Arial" w:eastAsia="Arial" w:hAnsi="Arial"/>
          <w:sz w:val="18"/>
          <w:szCs w:val="18"/>
          <w:color w:val="212121"/>
        </w:rPr>
      </w:pPr>
    </w:p>
    <w:p>
      <w:pPr>
        <w:jc w:val="both"/>
        <w:ind w:left="760" w:hanging="378"/>
        <w:spacing w:after="0" w:line="257" w:lineRule="auto"/>
        <w:tabs>
          <w:tab w:leader="none" w:pos="760" w:val="left"/>
        </w:tabs>
        <w:numPr>
          <w:ilvl w:val="0"/>
          <w:numId w:val="5"/>
        </w:numPr>
        <w:rPr>
          <w:rFonts w:ascii="Arial" w:cs="Arial" w:eastAsia="Arial" w:hAnsi="Arial"/>
          <w:sz w:val="18"/>
          <w:szCs w:val="18"/>
          <w:color w:val="212121"/>
        </w:rPr>
      </w:pPr>
      <w:r>
        <w:rPr>
          <w:rFonts w:ascii="Times New Roman" w:cs="Times New Roman" w:eastAsia="Times New Roman" w:hAnsi="Times New Roman"/>
          <w:sz w:val="18"/>
          <w:szCs w:val="18"/>
          <w:color w:val="auto"/>
        </w:rPr>
        <w:t>Revenue from the Company’s wholesale operations is recognized at the time the wholesale customer takes physical receipt of the merchandise, net of any identified discounts in accordance with each individual order. For the first three months of fiscal 2022 and fiscal 2021, chargebacks were immaterial.</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$2.6 million and $3.3 million at April 30, 2022 and January 29, 2022, respectively.</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Approximately 90% of the Company’s customers participate in the loyalty program.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points are expected to redeem or expire. The cycle of earning and redeeming loyalty points is generally under one year in duration. The loyalty accrual, net of breakage, was $1.4 million and $1.3 million at April 30, 2022 and January 29, 2022, respectively.</w:t>
      </w:r>
    </w:p>
    <w:p>
      <w:pPr>
        <w:spacing w:after="0" w:line="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April 30, 2022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May 1, 2021</w:t>
            </w:r>
          </w:p>
        </w:tc>
        <w:tc>
          <w:tcPr>
            <w:tcW w:w="14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69.1 %</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88,279</w:t>
            </w:r>
          </w:p>
        </w:tc>
        <w:tc>
          <w:tcPr>
            <w:tcW w:w="1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69.4 %</w:t>
            </w: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74,880</w:t>
            </w:r>
          </w:p>
        </w:tc>
        <w:tc>
          <w:tcPr>
            <w:tcW w:w="1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3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12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30.6 %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4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30.9 %</w:t>
            </w:r>
          </w:p>
        </w:tc>
        <w:tc>
          <w:tcPr>
            <w:tcW w:w="0" w:type="dxa"/>
            <w:vAlign w:val="bottom"/>
          </w:tcPr>
          <w:p>
            <w:pPr>
              <w:spacing w:after="0"/>
              <w:rPr>
                <w:sz w:val="1"/>
                <w:szCs w:val="1"/>
                <w:color w:val="auto"/>
              </w:rPr>
            </w:pPr>
          </w:p>
        </w:tc>
      </w:tr>
      <w:tr>
        <w:trPr>
          <w:trHeight w:val="210"/>
        </w:trPr>
        <w:tc>
          <w:tcPr>
            <w:tcW w:w="4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127,273</w:t>
            </w: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108,422</w:t>
            </w:r>
          </w:p>
        </w:tc>
        <w:tc>
          <w:tcPr>
            <w:tcW w:w="12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34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127,655</w:t>
            </w:r>
          </w:p>
        </w:tc>
        <w:tc>
          <w:tcPr>
            <w:tcW w:w="1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-453390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-453390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-453390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-453390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with Citizens Bank, N.A.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2021, the Company entered into a credit facility with Citizens Bank, N.A. (the "Credit Facility”).</w:t>
      </w:r>
    </w:p>
    <w:p>
      <w:pPr>
        <w:spacing w:after="0" w:line="11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Credit Facility is a $125.0 million secured, asset-based credit facility with a maturity date of October 28, 2026. The maximum committed borrowing of $125.0 million includes a sublimit of $20.0 million for commercial and standby letter of credits and a sublimit of up to $15.0 million for swing line loans. The Company’s ability to borrow under the Credit Facility is determined using an availability formula based on eligible assets.</w:t>
      </w:r>
    </w:p>
    <w:p>
      <w:pPr>
        <w:spacing w:after="0" w:line="28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Borrowings made pursuant to the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 Any swingline loan will bear interest at a rate equal to the rate of a Base Rate loan, plus a varying percentage based on the Company’s average excess availability, of either 0.25% or 0.50%. The Company will be subject to an unused line fee of 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8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At April 30, 2022, the Company had no borrowings outstanding under the revolving credit facility and availability under the Credit Facility was $85.0 million. The Company had no borrowings during the first three months of fiscal 2022, resulting in an average unused excess availability of approximately $75.0 million. Outstanding standby letters of credit were $2.7 million and outstanding documentary letters were $1.4 million at April 30, 2022. At April 30, 2022, the Company’s prime-based interest rate was 3.75%.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repayments for the first three months ended May 1, 2021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85"/>
        </w:trPr>
        <w:tc>
          <w:tcPr>
            <w:tcW w:w="81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color w:val="auto"/>
              </w:rPr>
              <w:t>May 1, 2021</w:t>
            </w:r>
          </w:p>
        </w:tc>
        <w:tc>
          <w:tcPr>
            <w:tcW w:w="0" w:type="dxa"/>
            <w:vAlign w:val="bottom"/>
          </w:tcPr>
          <w:p>
            <w:pPr>
              <w:spacing w:after="0"/>
              <w:rPr>
                <w:sz w:val="1"/>
                <w:szCs w:val="1"/>
                <w:color w:val="auto"/>
              </w:rPr>
            </w:pPr>
          </w:p>
        </w:tc>
      </w:tr>
      <w:tr>
        <w:trPr>
          <w:trHeight w:val="209"/>
        </w:trPr>
        <w:tc>
          <w:tcPr>
            <w:tcW w:w="8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54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(41,309 )</w:t>
            </w:r>
          </w:p>
        </w:tc>
        <w:tc>
          <w:tcPr>
            <w:tcW w:w="0" w:type="dxa"/>
            <w:vAlign w:val="bottom"/>
          </w:tcPr>
          <w:p>
            <w:pPr>
              <w:spacing w:after="0"/>
              <w:rPr>
                <w:sz w:val="1"/>
                <w:szCs w:val="1"/>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(repayments)</w:t>
            </w:r>
          </w:p>
        </w:tc>
        <w:tc>
          <w:tcPr>
            <w:tcW w:w="5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(26,173 )</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outstanding long-term debt as of April 30, 2022.</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2021, the Company refinanced its then existing $15.0 million FILO (first-in, last-out) loan and entered into a new $17.5 million FILO loan, which was subsequently repaid in full in September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interest and fees totaling $0.1 million and $1.1 million for the three months ended April 30, 2022 and May 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3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April 30, 2022, the Company’s operating leases liabilities represent the present value of the remaining future minimum lease payments updated based on concessions and lease modifications.</w:t>
      </w:r>
    </w:p>
    <w:p>
      <w:pPr>
        <w:spacing w:after="0" w:line="7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months ended April 30, 2022 and May 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0" w:type="dxa"/>
            <w:vAlign w:val="bottom"/>
            <w:gridSpan w:val="7"/>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April 30,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tcPr>
          <w:p>
            <w:pPr>
              <w:ind w:left="960"/>
              <w:spacing w:after="0" w:line="176" w:lineRule="exact"/>
              <w:rPr>
                <w:sz w:val="20"/>
                <w:szCs w:val="20"/>
                <w:color w:val="auto"/>
              </w:rPr>
            </w:pPr>
            <w:r>
              <w:rPr>
                <w:rFonts w:ascii="Times New Roman" w:cs="Times New Roman" w:eastAsia="Times New Roman" w:hAnsi="Times New Roman"/>
                <w:sz w:val="18"/>
                <w:szCs w:val="18"/>
                <w:color w:val="auto"/>
              </w:rPr>
              <w:t>May 1, 2021</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0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2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10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56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-513715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-513715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its leases.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balance sheet information related to leases for the first three months ended April 30, 2022 and May 1, 2021 is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80" w:type="dxa"/>
            <w:vAlign w:val="bottom"/>
            <w:shd w:val="clear" w:color="auto" w:fill="CFF0FC"/>
          </w:tcPr>
          <w:p>
            <w:pPr>
              <w:spacing w:after="0"/>
              <w:rPr>
                <w:sz w:val="18"/>
                <w:szCs w:val="18"/>
                <w:color w:val="auto"/>
              </w:rPr>
            </w:pPr>
          </w:p>
        </w:tc>
        <w:tc>
          <w:tcPr>
            <w:tcW w:w="3340" w:type="dxa"/>
            <w:vAlign w:val="bottom"/>
            <w:gridSpan w:val="6"/>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80" w:type="dxa"/>
            <w:vAlign w:val="bottom"/>
          </w:tcPr>
          <w:p>
            <w:pPr>
              <w:spacing w:after="0"/>
              <w:rPr>
                <w:sz w:val="15"/>
                <w:szCs w:val="15"/>
                <w:color w:val="auto"/>
              </w:rPr>
            </w:pPr>
          </w:p>
        </w:tc>
        <w:tc>
          <w:tcPr>
            <w:tcW w:w="144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color w:val="auto"/>
                <w:w w:val="98"/>
              </w:rPr>
              <w:t>April 30, 2022</w:t>
            </w:r>
          </w:p>
        </w:tc>
        <w:tc>
          <w:tcPr>
            <w:tcW w:w="360" w:type="dxa"/>
            <w:vAlign w:val="bottom"/>
          </w:tcPr>
          <w:p>
            <w:pPr>
              <w:spacing w:after="0"/>
              <w:rPr>
                <w:sz w:val="15"/>
                <w:szCs w:val="15"/>
                <w:color w:val="auto"/>
              </w:rPr>
            </w:pPr>
          </w:p>
        </w:tc>
        <w:tc>
          <w:tcPr>
            <w:tcW w:w="1540" w:type="dxa"/>
            <w:vAlign w:val="bottom"/>
            <w:gridSpan w:val="3"/>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120"/>
              <w:spacing w:after="0" w:line="257"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20" w:type="dxa"/>
            <w:vAlign w:val="bottom"/>
            <w:vMerge w:val="continue"/>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16,098</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8,608</w:t>
            </w: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16"/>
        </w:trPr>
        <w:tc>
          <w:tcPr>
            <w:tcW w:w="7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4.4 yrs.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4.4 yrs.</w:t>
            </w:r>
          </w:p>
        </w:tc>
        <w:tc>
          <w:tcPr>
            <w:tcW w:w="0" w:type="dxa"/>
            <w:vAlign w:val="bottom"/>
          </w:tcPr>
          <w:p>
            <w:pPr>
              <w:spacing w:after="0"/>
              <w:rPr>
                <w:sz w:val="1"/>
                <w:szCs w:val="1"/>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6.69%</w:t>
            </w: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6.72%</w:t>
            </w:r>
          </w:p>
        </w:tc>
        <w:tc>
          <w:tcPr>
            <w:tcW w:w="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tab/>
        <w:t>The cash paid for the first quarter of fiscal 2022 and fiscal 2021 includes prepaid rent of $4.1 million and $3.8 million.</w:t>
      </w:r>
    </w:p>
    <w:p>
      <w:pPr>
        <w:spacing w:after="0" w:line="22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April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47,109</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37,935</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178,933</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155,445</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2019-2021 LTIP</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performance targets for the Company’s 2019-2021 LTIP were approved by the Compensation Committee of the Board of Directors (the” Compensation Committee”) on August 7, 2019 and covered a three-year period performance period, which ended on January 29, 2022. The time-vested portion of the 2019-2021 LTIP vests in four annual installments, with the remaining installment vesting on April 1, 2023.</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first quarter of fiscal 2022, on March 21, 2022, the Compensation Committee approved a 141.9% payout of its performance targets for the 2019-2021 LTIP. On that date, the Company granted awards totaling $2.7 million, in a combination of 50% cash and 50% RSUs, which will vest, net of any forfeitures, on August 31, 2022. In connection with the grant of 269,162 RSUs, the Company reclassified $1.1 million of its liability accrual from “Accrued expenses and other current liabilities” to “Additional paid-in capital” in the first quarter of fiscal 2022. See the Consolidated Statement of Changes in Stockholders’ Equity.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April 30, 2022, the Company had three active LTIPs: the 2020-2022 LTIP, the 2021-2023 LTIP and the 2022-2024 LTIP. The time-based awards under the 2020-2022 LTIP were granted in a combination of 50% stock options and 50% cash; the 2021-2023 LTIP time-based awards were granted in a combination of 25% stock options and 75% cash; and the 2022-2024 LTIP time-based awards were granted in a combination of 50% restricted stock units and 50% cash.</w:t>
      </w:r>
    </w:p>
    <w:p>
      <w:pPr>
        <w:spacing w:after="0" w:line="6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Performance targets for the 2020-2022 LTIP, 2021-2023 LTIP and 2022-2024 LTIP were established and approved by the Compensation Committee on June 11, 2020, March 8, 2021 and April 9, 2022, respectively. The performance period for each LTIP is three years. Awards for any achievement of performance targets will not be granted until the performance targets are achieved and then will be subject to additional vesting through August 31, 2023, August 31, 2024 and August, 31, 2025, respectively. The time-based awards under the 2020-2022 LTIP, 2021-2023 LTIP and 2022-2024 LITP vest in four equal installments through April 1, 2024, April 1, 2025 and April 1, 2026, respectively. Assuming that the Company achieves the performance targets at target levels and all time-based awards vest, the compensation expense associated with the 2020-2022 LTIP, 2021-2023 LTIP and 2022-2024 LTIP is estimated to be approximately $3.8 million, $4.0 million and $4.5 million, respectively. Approximately half of the compensation expense for each LTIP relates to the time-based awards, which are being expensed straight-line over 46 months, 49 months and 48 months, respectively.</w:t>
      </w:r>
    </w:p>
    <w:p>
      <w:pPr>
        <w:spacing w:after="0" w:line="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April 30, 2022, the Company had accrued $1.7 million under the 2020-2022 LTIP, $1.0 million under the 2021-2023 LTIP and $0.1 million under the 2022-2024 LTIP for the performance awards.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April 30, 2022, the Company had 3,841,133 shares available under the 2016 Plan.</w:t>
      </w:r>
    </w:p>
    <w:p>
      <w:pPr>
        <w:spacing w:after="0" w:line="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April 30, 2022, 298,231 stock options remained outstanding under the 2006 Plan.</w:t>
      </w:r>
    </w:p>
    <w:p>
      <w:pPr>
        <w:spacing w:after="0" w:line="86"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three months of fiscal 2022: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20" w:type="dxa"/>
            <w:vAlign w:val="bottom"/>
          </w:tcPr>
          <w:p>
            <w:pPr>
              <w:jc w:val="right"/>
              <w:ind w:right="76"/>
              <w:spacing w:after="0" w:line="158" w:lineRule="exact"/>
              <w:rPr>
                <w:sz w:val="20"/>
                <w:szCs w:val="20"/>
                <w:color w:val="auto"/>
              </w:rPr>
            </w:pPr>
            <w:r>
              <w:rPr>
                <w:rFonts w:ascii="Times New Roman" w:cs="Times New Roman" w:eastAsia="Times New Roman" w:hAnsi="Times New Roman"/>
                <w:sz w:val="14"/>
                <w:szCs w:val="14"/>
                <w:color w:val="auto"/>
              </w:rPr>
              <w:t>Deferred</w:t>
            </w:r>
          </w:p>
        </w:tc>
        <w:tc>
          <w:tcPr>
            <w:tcW w:w="180" w:type="dxa"/>
            <w:vAlign w:val="bottom"/>
          </w:tcPr>
          <w:p>
            <w:pPr>
              <w:spacing w:after="0"/>
              <w:rPr>
                <w:sz w:val="13"/>
                <w:szCs w:val="13"/>
                <w:color w:val="auto"/>
              </w:rPr>
            </w:pPr>
          </w:p>
        </w:tc>
        <w:tc>
          <w:tcPr>
            <w:tcW w:w="9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tcPr>
          <w:p>
            <w:pPr>
              <w:spacing w:after="0"/>
              <w:rPr>
                <w:sz w:val="13"/>
                <w:szCs w:val="13"/>
                <w:color w:val="auto"/>
              </w:rPr>
            </w:pPr>
          </w:p>
        </w:tc>
        <w:tc>
          <w:tcPr>
            <w:tcW w:w="1080" w:type="dxa"/>
            <w:vAlign w:val="bottom"/>
            <w:gridSpan w:val="2"/>
          </w:tcPr>
          <w:p>
            <w:pPr>
              <w:jc w:val="right"/>
              <w:ind w:right="280"/>
              <w:spacing w:after="0" w:line="158" w:lineRule="exact"/>
              <w:rPr>
                <w:sz w:val="20"/>
                <w:szCs w:val="20"/>
                <w:color w:val="auto"/>
              </w:rPr>
            </w:pPr>
            <w:r>
              <w:rPr>
                <w:rFonts w:ascii="Times New Roman" w:cs="Times New Roman" w:eastAsia="Times New Roman" w:hAnsi="Times New Roman"/>
                <w:sz w:val="14"/>
                <w:szCs w:val="14"/>
                <w:color w:val="auto"/>
              </w:rPr>
              <w:t>Fully-Vested</w:t>
            </w:r>
          </w:p>
        </w:tc>
        <w:tc>
          <w:tcPr>
            <w:tcW w:w="1020" w:type="dxa"/>
            <w:vAlign w:val="bottom"/>
            <w:gridSpan w:val="2"/>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Total number</w:t>
            </w: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4"/>
                <w:szCs w:val="14"/>
                <w:color w:val="auto"/>
              </w:rPr>
              <w:t>grant-date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60" w:type="dxa"/>
            <w:vAlign w:val="bottom"/>
            <w:gridSpan w:val="2"/>
            <w:vMerge w:val="continue"/>
          </w:tcPr>
          <w:p>
            <w:pPr>
              <w:spacing w:after="0"/>
              <w:rPr>
                <w:sz w:val="16"/>
                <w:szCs w:val="16"/>
                <w:color w:val="auto"/>
              </w:rPr>
            </w:pPr>
          </w:p>
        </w:tc>
        <w:tc>
          <w:tcPr>
            <w:tcW w:w="820" w:type="dxa"/>
            <w:vAlign w:val="bottom"/>
          </w:tcPr>
          <w:p>
            <w:pPr>
              <w:jc w:val="right"/>
              <w:ind w:right="76"/>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220" w:type="dxa"/>
            <w:vAlign w:val="bottom"/>
          </w:tcPr>
          <w:p>
            <w:pPr>
              <w:spacing w:after="0"/>
              <w:rPr>
                <w:sz w:val="16"/>
                <w:szCs w:val="16"/>
                <w:color w:val="auto"/>
              </w:rPr>
            </w:pPr>
          </w:p>
        </w:tc>
        <w:tc>
          <w:tcPr>
            <w:tcW w:w="108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4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1,190,85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515,291</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494,444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(313,422 )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(9,352 )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(322,774 )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740" w:type="dxa"/>
            <w:vAlign w:val="bottom"/>
            <w:tcBorders>
              <w:top w:val="single" w:sz="8" w:color="CFF0F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1,371,88</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696,313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-264795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-264795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-264795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-264795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-264795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left="76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three months of fiscal 2022, the Company granted RSUs for the achievement of performance metrics under the 2019-2021 LTIP that are subject to additional vesting through August 31, 2022 and time-based RSUs under its 2022-2024 LTIP. See Note 5, </w:t>
      </w:r>
      <w:r>
        <w:rPr>
          <w:rFonts w:ascii="Times New Roman" w:cs="Times New Roman" w:eastAsia="Times New Roman" w:hAnsi="Times New Roman"/>
          <w:sz w:val="18"/>
          <w:szCs w:val="18"/>
          <w:i w:val="1"/>
          <w:iCs w:val="1"/>
          <w:color w:val="auto"/>
        </w:rPr>
        <w:t>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As a result of net share settlements, of the 313,422 RSUs that vested, only 228,329 shares of common stock were issued</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deferred shares will be issued upon the director’s separation from service.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performance stock units (“PSUs”) granted to Mr. Kanter in February 2019. The 240,000 PSUs will vest when the</w:t>
      </w:r>
    </w:p>
    <w:p>
      <w:pPr>
        <w:spacing w:after="0" w:line="27" w:lineRule="exact"/>
        <w:rPr>
          <w:sz w:val="20"/>
          <w:szCs w:val="20"/>
          <w:color w:val="auto"/>
        </w:rPr>
      </w:pPr>
    </w:p>
    <w:p>
      <w:pPr>
        <w:ind w:left="760"/>
        <w:spacing w:after="0" w:line="235" w:lineRule="auto"/>
        <w:rPr>
          <w:sz w:val="20"/>
          <w:szCs w:val="20"/>
          <w:color w:val="auto"/>
        </w:rPr>
      </w:pPr>
      <w:r>
        <w:rPr>
          <w:rFonts w:ascii="Times New Roman" w:cs="Times New Roman" w:eastAsia="Times New Roman" w:hAnsi="Times New Roman"/>
          <w:sz w:val="18"/>
          <w:szCs w:val="18"/>
          <w:color w:val="auto"/>
        </w:rPr>
        <w:t>trailing 90-day volume-weighted average closing stock price (“VWAP”) is $8.00. The PSUs will expire on April 1, 2023 if the $8.00 VWAP is not achieved by that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 w:name="page15"/>
    <w:bookmarkEnd w:id="14"/>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compensation, with a fair value of $40,494, to certain directors, who are required to receive shares, in lieu of cash, in order to satisfy their minimum equity ownership under the Non-Employee Director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Weighted-</w:t>
            </w:r>
          </w:p>
        </w:tc>
        <w:tc>
          <w:tcPr>
            <w:tcW w:w="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8"/>
        </w:trPr>
        <w:tc>
          <w:tcPr>
            <w:tcW w:w="5900" w:type="dxa"/>
            <w:vAlign w:val="bottom"/>
          </w:tcPr>
          <w:p>
            <w:pPr>
              <w:spacing w:after="0"/>
              <w:rPr>
                <w:sz w:val="13"/>
                <w:szCs w:val="13"/>
                <w:color w:val="auto"/>
              </w:rPr>
            </w:pPr>
          </w:p>
        </w:tc>
        <w:tc>
          <w:tcPr>
            <w:tcW w:w="132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3"/>
                <w:szCs w:val="13"/>
                <w:color w:val="auto"/>
              </w:rPr>
            </w:pPr>
          </w:p>
        </w:tc>
        <w:tc>
          <w:tcPr>
            <w:tcW w:w="100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color w:val="auto"/>
              </w:rPr>
              <w:t>exercise price</w:t>
            </w:r>
          </w:p>
        </w:tc>
        <w:tc>
          <w:tcPr>
            <w:tcW w:w="20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remaining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75"/>
              <w:spacing w:after="0" w:line="158" w:lineRule="exact"/>
              <w:rPr>
                <w:sz w:val="20"/>
                <w:szCs w:val="20"/>
                <w:color w:val="auto"/>
              </w:rPr>
            </w:pPr>
            <w:r>
              <w:rPr>
                <w:rFonts w:ascii="Times New Roman" w:cs="Times New Roman" w:eastAsia="Times New Roman" w:hAnsi="Times New Roman"/>
                <w:sz w:val="14"/>
                <w:szCs w:val="14"/>
                <w:color w:val="auto"/>
              </w:rPr>
              <w:t>Aggregate</w:t>
            </w:r>
          </w:p>
        </w:tc>
        <w:tc>
          <w:tcPr>
            <w:tcW w:w="100" w:type="dxa"/>
            <w:vAlign w:val="bottom"/>
          </w:tcPr>
          <w:p>
            <w:pPr>
              <w:spacing w:after="0"/>
              <w:rPr>
                <w:sz w:val="13"/>
                <w:szCs w:val="13"/>
                <w:color w:val="auto"/>
              </w:rPr>
            </w:pPr>
          </w:p>
        </w:tc>
      </w:tr>
      <w:tr>
        <w:trPr>
          <w:trHeight w:val="189"/>
        </w:trPr>
        <w:tc>
          <w:tcPr>
            <w:tcW w:w="5900" w:type="dxa"/>
            <w:vAlign w:val="bottom"/>
          </w:tcPr>
          <w:p>
            <w:pPr>
              <w:spacing w:after="0"/>
              <w:rPr>
                <w:sz w:val="16"/>
                <w:szCs w:val="16"/>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per option</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intrinsic value</w:t>
            </w:r>
          </w:p>
        </w:tc>
        <w:tc>
          <w:tcPr>
            <w:tcW w:w="100" w:type="dxa"/>
            <w:vAlign w:val="bottom"/>
          </w:tcPr>
          <w:p>
            <w:pPr>
              <w:spacing w:after="0"/>
              <w:rPr>
                <w:sz w:val="16"/>
                <w:szCs w:val="16"/>
                <w:color w:val="auto"/>
              </w:rPr>
            </w:pPr>
          </w:p>
        </w:tc>
      </w:tr>
      <w:tr>
        <w:trPr>
          <w:trHeight w:val="20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4,621,550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years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16,066,914</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(40,749 )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 and canceled</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4,582,841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years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18,572,820</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1,965,178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years</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7,219,904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-281940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-281940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-281940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three months of fiscal 2022, the Company granted stock options to purchase an aggregate of 2,040 shares of common stock, 494,444 restricted stock units and 9,352 fully-vested shares. For the first three months of fiscal 2021, the Company granted stock options to purchase an aggregate of 1,518,154 shares of common stock and 8,054 restricted stock units.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granted 19,570 shares of common stock, with a fair value of approximately $84,738, to certain of its non-employee directors as compensation in lieu of cash in the first three months of fiscal 2022.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$0.4 million and $0.3 million for the first three months of fiscal 2022 and fiscal 2021, respectively. The total compensation cost related to time-vested stock options, RSU and PSU awards not yet recognized as of April 30, 2022 was approximately $2.6 million, net of estimated forfeitures, which will be expensed over a weighted average remaining life of 33 months.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3460" w:type="dxa"/>
            <w:vAlign w:val="bottom"/>
            <w:gridSpan w:val="3"/>
          </w:tcPr>
          <w:p>
            <w:pPr>
              <w:jc w:val="right"/>
              <w:ind w:right="85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color w:val="auto"/>
              </w:rPr>
              <w:t>April 30, 2022</w:t>
            </w:r>
          </w:p>
        </w:tc>
        <w:tc>
          <w:tcPr>
            <w:tcW w:w="260" w:type="dxa"/>
            <w:vAlign w:val="bottom"/>
          </w:tcPr>
          <w:p>
            <w:pPr>
              <w:spacing w:after="0"/>
              <w:rPr>
                <w:sz w:val="16"/>
                <w:szCs w:val="16"/>
                <w:color w:val="auto"/>
              </w:rPr>
            </w:pPr>
          </w:p>
        </w:tc>
        <w:tc>
          <w:tcPr>
            <w:tcW w:w="15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May 1, 2021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62,153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equivalents – stock options, restricted stock units and deferred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-156845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-156845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restricted stock units, or deferred stock had an anti-dilutive effect.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580" w:type="dxa"/>
            <w:vAlign w:val="bottom"/>
            <w:gridSpan w:val="3"/>
          </w:tcPr>
          <w:p>
            <w:pPr>
              <w:jc w:val="right"/>
              <w:ind w:right="9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 w:type="dxa"/>
            <w:vAlign w:val="bottom"/>
          </w:tcPr>
          <w:p>
            <w:pPr>
              <w:spacing w:after="0"/>
              <w:rPr>
                <w:sz w:val="16"/>
                <w:szCs w:val="16"/>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2580" w:type="dxa"/>
            <w:vAlign w:val="bottom"/>
          </w:tcPr>
          <w:p>
            <w:pPr>
              <w:spacing w:after="0"/>
              <w:rPr>
                <w:sz w:val="16"/>
                <w:szCs w:val="16"/>
                <w:color w:val="auto"/>
              </w:rPr>
            </w:pPr>
          </w:p>
        </w:tc>
        <w:tc>
          <w:tcPr>
            <w:tcW w:w="16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color w:val="auto"/>
              </w:rPr>
              <w:t>April 30, 2022</w:t>
            </w:r>
          </w:p>
        </w:tc>
        <w:tc>
          <w:tcPr>
            <w:tcW w:w="280" w:type="dxa"/>
            <w:vAlign w:val="bottom"/>
          </w:tcPr>
          <w:p>
            <w:pPr>
              <w:spacing w:after="0"/>
              <w:rPr>
                <w:sz w:val="16"/>
                <w:szCs w:val="16"/>
                <w:color w:val="auto"/>
              </w:rPr>
            </w:pPr>
          </w:p>
        </w:tc>
        <w:tc>
          <w:tcPr>
            <w:tcW w:w="16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May 1, 2021</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stock</w:t>
            </w:r>
          </w:p>
        </w:tc>
        <w:tc>
          <w:tcPr>
            <w:tcW w:w="25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$4.87-$5.50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$0.69 - $5.50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402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above options, which were outstanding at April 30, 2022, expire from January 31, 2023 to June 29, 2028.</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240,000 shares and 720,000 shares of unvested performance stock units for the three months of fiscal 2022 and fiscal 2021, respectively. These performance-based awards will be included in the computation of basic and diluted earnings per share if, and when, the respective performance targets are achieved. In addition, 435,568 shares of deferred stock at April 30, 2022 and at May 1, 2021 were excluded from basic earnings per share. Outstanding shares of deferred stock are not considered issued and outstanding until the vesting date of the deferral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Repurchase Program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2022, the Company’s Board of Directors approved a stock repurchase program. Under the stock repurchase program, the Company may repurchase up to $15.0 million of its common stock through open market and privately negotiated transactions.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timing and the amount of any repurchases of common stock will be determined based on the Company’s evaluation of market conditions and other factors. The stock repurchase program commenced in the first quarter of fiscal 2022 and will expire on March 15, 2023, but may be suspended, terminated or modified at any time for any reason. The Company expects to finance the repurchases from operating funds and/or periodic borrowings on its credit facility.</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2022, the Company repurchased 946,101 shares at an aggregate cost of $4.8 million, including fees. Shares of repurchased common stock are held as treasury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During the first quarter of fiscal 2022 and fiscal 2021, the Company recorded income tax expense of $103,000 and $28,000, respectively, primarily related to income tax in states where net operating loss ("NOL") usage is statutorily limited. The Company’s effective tax rate will generally differ from the U.S. federal statutory rate of 21% primarily due to the change in full valuation allowance recorded against its deferred tax assets, permanent items, and state taxes.</w:t>
      </w:r>
    </w:p>
    <w:p>
      <w:pPr>
        <w:spacing w:after="0" w:line="6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Since the end of fiscal 2013, the Company has maintained a full valuation allowance against its deferred tax assets. While the Company returned to profitability in fiscal 2021 and is projecting it will generate taxable income in fiscal 2022, given the limited history of profitability and uncertainty in future forecasts, at this time the Company believes that a full valuation allowance remains appropriate.</w:t>
      </w:r>
    </w:p>
    <w:p>
      <w:pPr>
        <w:spacing w:after="0" w:line="82"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For federal income tax purposes, at the end of fiscal 2021, the Company had net operating loss carryforwards of approximately $100.7 million, which will expire from fiscal 2028 through fiscal 2037, and net operating loss carryforwards of $43.1 million, that are not subject to expiration. For state purposes, at the end of fiscal 2021, the Company had $90.0 million of net operating losses that are available to offset future taxable income, the majority of which will expire from fiscal 2028 through fiscal 2041.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sales trends, marketing costs, gross margin rate, improved inventory levels and our ability to secure sufficient inventory to meet customer demand, increased freight costs, increases in certain raw materials cost, our long-term outlook, expected capital expenditures in 2022, our ability to attract new customers, and our plans with respect to our store portfolio, including anticipated closures, re-brandings, and new and relocated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29, 2022, included in our Annual Report on Form 10-K for the year ended January 29, 2022, as filed with the Securities and Exchange Commission on March 17, 2022 (our “Fiscal 2021 Annual Report”).</w:t>
      </w:r>
    </w:p>
    <w:p>
      <w:pPr>
        <w:spacing w:after="0" w:line="19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the ongoing effects of the COVID-19 pandemic, our ability to navigate supply chain uncertainties, our ability to maintain sufficient inventory levels, our ability to successfully execute on our corporate strategy, our ability to predict customer tastes and fashion trends, our ability to grow market share, labor shortages or increased labor costs, and the other risks and uncertainties set forth in the “Risk Factors” section in Part I, Item 1A of our Fiscal 2021 Annual Report.</w:t>
      </w:r>
    </w:p>
    <w:p>
      <w:pPr>
        <w:spacing w:after="0" w:line="18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Destination XL Group, Inc., together with our consolidated subsidiaries (the “Company”), is the largest specialty retailer of big and tall men’s clothing with 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April 30, 2022, we operated 219 Destination XL stores, 16 DXL outlet stores, 32 Casual Male XL retail stores, 19 Casual Male XL outlet stores and a digital business, including an e-commerce site at dxl.com and a mobile site, m.destinationXL.com and mobile app.</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28, 2023, January 29, 2022 and January 30, 2021 as “fiscal 2022,” “fiscal 2021” and “fiscal 2020,” respectively. All three fiscal years are 52-week periods.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 Our wholesale segment was a third operating segment. In the first quarter of fiscal 2022, we ended the relationship with our primary wholesale customer. Due to the immateriality of the wholesale segment’s revenues, profits and assets, its operating results have been aggregated with the retail segment for both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1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7" w:name="page18"/>
    <w:bookmarkEnd w:id="17"/>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visits a store and the item is out of stock, the associate can order the item through our website. A customer also has the ability to order online and pick-up in a store and at curbside.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6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April 30, 2022</w:t>
            </w:r>
          </w:p>
        </w:tc>
        <w:tc>
          <w:tcPr>
            <w:tcW w:w="60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May 1, 2021</w:t>
            </w:r>
          </w:p>
        </w:tc>
        <w:tc>
          <w:tcPr>
            <w:tcW w:w="0" w:type="dxa"/>
            <w:vAlign w:val="bottom"/>
          </w:tcPr>
          <w:p>
            <w:pPr>
              <w:spacing w:after="0"/>
              <w:rPr>
                <w:sz w:val="1"/>
                <w:szCs w:val="1"/>
                <w:color w:val="auto"/>
              </w:rPr>
            </w:pP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33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CFF0FC"/>
            </w:tcBorders>
            <w:shd w:val="clear" w:color="auto" w:fill="CFF0FC"/>
          </w:tcPr>
          <w:p>
            <w:pPr>
              <w:spacing w:after="0"/>
              <w:rPr>
                <w:sz w:val="12"/>
                <w:szCs w:val="12"/>
                <w:color w:val="auto"/>
              </w:rPr>
            </w:pPr>
          </w:p>
        </w:tc>
        <w:tc>
          <w:tcPr>
            <w:tcW w:w="1680" w:type="dxa"/>
            <w:vAlign w:val="bottom"/>
            <w:tcBorders>
              <w:top w:val="single" w:sz="8" w:color="auto"/>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spacing w:after="0"/>
              <w:rPr>
                <w:sz w:val="12"/>
                <w:szCs w:val="12"/>
                <w:color w:val="auto"/>
              </w:rPr>
            </w:pPr>
          </w:p>
        </w:tc>
        <w:tc>
          <w:tcPr>
            <w:tcW w:w="1400" w:type="dxa"/>
            <w:vAlign w:val="bottom"/>
            <w:tcBorders>
              <w:top w:val="single" w:sz="8" w:color="auto"/>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40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4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0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3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Gross Margin. as a percentage of sales</w:t>
            </w:r>
          </w:p>
        </w:tc>
        <w:tc>
          <w:tcPr>
            <w:tcW w:w="320" w:type="dxa"/>
            <w:vAlign w:val="bottom"/>
          </w:tcPr>
          <w:p>
            <w:pPr>
              <w:spacing w:after="0"/>
              <w:rPr>
                <w:sz w:val="15"/>
                <w:szCs w:val="15"/>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50.0 %</w:t>
            </w:r>
          </w:p>
        </w:tc>
        <w:tc>
          <w:tcPr>
            <w:tcW w:w="6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SG&amp;A expenses, as a percentage of sales</w:t>
            </w:r>
          </w:p>
        </w:tc>
        <w:tc>
          <w:tcPr>
            <w:tcW w:w="32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36.5 %</w:t>
            </w:r>
          </w:p>
        </w:tc>
        <w:tc>
          <w:tcPr>
            <w:tcW w:w="6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672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Per diluted share:</w:t>
            </w:r>
          </w:p>
        </w:tc>
        <w:tc>
          <w:tcPr>
            <w:tcW w:w="3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5720" w:type="dxa"/>
            <w:vAlign w:val="bottom"/>
            <w:tcBorders>
              <w:top w:val="single" w:sz="8" w:color="CFF0FC"/>
            </w:tcBorders>
            <w:gridSpan w:val="2"/>
          </w:tcPr>
          <w:p>
            <w:pPr>
              <w:spacing w:after="0"/>
              <w:rPr>
                <w:sz w:val="16"/>
                <w:szCs w:val="16"/>
                <w:color w:val="auto"/>
              </w:rPr>
            </w:pPr>
          </w:p>
        </w:tc>
        <w:tc>
          <w:tcPr>
            <w:tcW w:w="320" w:type="dxa"/>
            <w:vAlign w:val="bottom"/>
            <w:tcBorders>
              <w:top w:val="single" w:sz="8" w:color="CFF0FC"/>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400" w:type="dxa"/>
            <w:vAlign w:val="bottom"/>
            <w:tcBorders>
              <w:top w:val="single" w:sz="8" w:color="CFF0FC"/>
            </w:tcBorders>
          </w:tcPr>
          <w:p>
            <w:pPr>
              <w:spacing w:after="0"/>
              <w:rPr>
                <w:sz w:val="16"/>
                <w:szCs w:val="16"/>
                <w:color w:val="auto"/>
              </w:rPr>
            </w:pPr>
          </w:p>
        </w:tc>
        <w:tc>
          <w:tcPr>
            <w:tcW w:w="600" w:type="dxa"/>
            <w:vAlign w:val="bottom"/>
            <w:tcBorders>
              <w:top w:val="single" w:sz="8" w:color="CFF0FC"/>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Borders>
              <w:top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are pleased to report our fifth consecutive quarter of sales and earnings growth. Comparable sales increased 19.5% for the quarter, with increases across all of our customer channels. Improvements in store traffic and conversion contributed to growth across all of our geographic regions. Our digital marketing efforts and our presence on third-party marketplaces drove growth in both our direct business and in our stores during the first quarter of fiscal 2022. Our gross margin rate for the first quarter of fiscal 2022 improved by 440 basis points driven by our brand repositioning that resulted in fewer and less frequent merchandise promotions, less penetration in lower margin wholesale revenues, and improved leverage on occupancy costs. As expected, our selling, general and administrative expenses (SG&amp;A) increased by 320 basis points primarily due to increased payroll costs to support sales, marketing costs, and accruals for performance-based incentive plans. Our marketing costs for the first quarter of fiscal 2022 represented 5.3% of sales as compared to 3.0% in the first quarter of fiscal 2021. As a result of our sales growth and margin improvement, we exceeded our first quarter financial performance expectations with net income of $13.4 million, or $0.20 per diluted share for the first quarter of fiscal 2022, as compared to net income of $8.7 million, or $0.14 per diluted share, for the first quarter of fiscal 2021.</w:t>
      </w:r>
    </w:p>
    <w:p>
      <w:pPr>
        <w:spacing w:after="0" w:line="19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At April 30, 2022, we had no debt outstanding and we did not make any borrowings under our credit facility during the first quarter. Our unused excess availability at April 30, 2022 was $85.0 million. We also are pleased with our improved inventory position at the end of the first quarter. While we are still not at our ideal inventory level for certain categories, we have been able to secure inventory to support customer demand as we continue to manage supply chain challenges. As we head into the second quarter, we are encouraged by the fact that our inventory position continues to improve.</w:t>
      </w:r>
    </w:p>
    <w:p>
      <w:pPr>
        <w:spacing w:after="0" w:line="1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we previously disclosed, the Company's Board of Directors approved a $15.0 million stock repurchase program in March 2022 and, during the first quarter, we repurchased 0.9 million shares of our common stock, at an aggregate cost of $4.8 million, including fees.</w:t>
      </w:r>
    </w:p>
    <w:p>
      <w:pPr>
        <w:spacing w:after="0" w:line="16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While we believe our long-term outlook is strong, the current environment remains highly volatile, with inflation, rising interest rates, supply chain, labor and staffing challenges, the ongoing global pandemic, as well as the war in Ukraine.</w:t>
      </w: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months ended April 30, 2022 and May 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auto"/>
              </w:rPr>
              <w:t>April 30, 2022</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8"/>
              </w:rPr>
              <w:t>May 1, 2021</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w:t>
            </w:r>
          </w:p>
        </w:tc>
        <w:tc>
          <w:tcPr>
            <w:tcW w:w="1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88,279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69.4</w:t>
            </w:r>
          </w:p>
        </w:tc>
        <w:tc>
          <w:tcPr>
            <w:tcW w:w="240" w:type="dxa"/>
            <w:vAlign w:val="bottom"/>
            <w:vMerge w:val="continue"/>
          </w:tcPr>
          <w:p>
            <w:pPr>
              <w:spacing w:after="0"/>
              <w:rPr>
                <w:sz w:val="17"/>
                <w:szCs w:val="17"/>
                <w:color w:val="auto"/>
              </w:rPr>
            </w:pPr>
          </w:p>
        </w:tc>
        <w:tc>
          <w:tcPr>
            <w:tcW w:w="1160" w:type="dxa"/>
            <w:vAlign w:val="bottom"/>
          </w:tcPr>
          <w:p>
            <w:pPr>
              <w:jc w:val="right"/>
              <w:ind w:right="9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74,880</w:t>
            </w:r>
          </w:p>
        </w:tc>
        <w:tc>
          <w:tcPr>
            <w:tcW w:w="100" w:type="dxa"/>
            <w:vAlign w:val="bottom"/>
            <w:vMerge w:val="continue"/>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69.1 %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30.6 %</w:t>
            </w:r>
          </w:p>
        </w:tc>
        <w:tc>
          <w:tcPr>
            <w:tcW w:w="1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30.9 %</w:t>
            </w:r>
          </w:p>
        </w:tc>
        <w:tc>
          <w:tcPr>
            <w:tcW w:w="0" w:type="dxa"/>
            <w:vAlign w:val="bottom"/>
          </w:tcPr>
          <w:p>
            <w:pPr>
              <w:spacing w:after="0"/>
              <w:rPr>
                <w:sz w:val="1"/>
                <w:szCs w:val="1"/>
                <w:color w:val="auto"/>
              </w:rPr>
            </w:pPr>
          </w:p>
        </w:tc>
      </w:tr>
      <w:tr>
        <w:trPr>
          <w:trHeight w:val="209"/>
        </w:trPr>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16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127,273</w:t>
            </w: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108,422</w:t>
            </w:r>
          </w:p>
        </w:tc>
        <w:tc>
          <w:tcPr>
            <w:tcW w:w="10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-453390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-453390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-453390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-453390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sales for the first quarter of fiscal 2022 were $127.7 million, as compared to $111.5 million in the first quarter of fiscal 2021. Comparable sales for the first quarter were up 19.5% with comparable sales from our stores up 20.8% and our direct business were up 16.7%.</w:t>
      </w:r>
    </w:p>
    <w:p>
      <w:pPr>
        <w:spacing w:after="0" w:line="4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The strength of our stores during the first quarter was driven by an increase in store traffic and dollars spent per transaction. All regions reported a comparable sales increase for the first quarter, with our Northeast, Florida and West Coast stores showing the strongest performance, resulting in a 20.8% comparable sales increase from our stores. As store traffic improved during the first quarter, sales growth in our direct business, which grew over 40% since fiscal 2019, started to normalize. The 16.7% increase in comparable sales from our direct business was driven by double-digit growth from our website, an increase in our universe sales (online orders that originate in a store) and continued growth from online marketplaces. Through our digital efforts and marketplace presence, we are continuing to attract a new customer to DXL.</w:t>
      </w:r>
    </w:p>
    <w:p>
      <w:pPr>
        <w:spacing w:after="0" w:line="8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As we previously disclosed, during the first quarter of fiscal 2022, we ended our relationship with our primary wholesale customer. As a result, our wholesale revenues decreased to $0.4 million as compared to $3.1 million for the first quarter of fiscal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the first quarter of fiscal 2022, our gross margin rate, inclusive of occupancy costs, was 50.0% as compared to a gross margin rate of 45.6% for first quarter of fiscal 2021.</w:t>
      </w:r>
    </w:p>
    <w:p>
      <w:pPr>
        <w:spacing w:after="0" w:line="5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Our gross margin rate improved by 440 basis points, driven by a 200 basis point improvement in merchandise margins and a 240 basis point improvement in occupancy costs as compared to the first quarter of fiscal 2021. The 240 basis point improvement in occupancy costs was due to the increased leverage from sales as well as a decrease of approximately $0.9 million in occupancy costs from closed stores. The 200 basis point improvement in merchandise margin was driven by our brand repositioning which has resulted in lower promotional markdowns. Merchandise margin also improved as a result of the decrease in wholesale revenues, which by its nature has a lower margin. These improvements were partially offset by higher freight costs. We expect that we will continue to experience an increase in freight costs and in the cost of certain raw materials, particularly cotton. As compared to fiscal 2021, we expect that our gross margin rate for fiscal 2022 will decrease by approximately 100 basis points due to expected ongoing increased freight costs and raw material costs, as well as inventory mix with lower margin, branded collection apparel.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percentage of sales, SG&amp;A (selling, general and administrative) expenses for the first quarter of fiscal 2022 were 36.5% as compared to 33.3% for the first quarter of fiscal 2021.</w:t>
      </w:r>
    </w:p>
    <w:p>
      <w:pPr>
        <w:spacing w:after="0" w:line="6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a dollar basis, SG&amp;A expenses increased by $9.5 million as compared to the first quarter of fiscal 2021. The increase was primarily due to an increase in marketing costs to drive customer acquisition and engagement, payroll costs to support sales growth, including merit adjustments and filling open positions, and an increase in performance-based incentive accruals. Our marketing costs for the first quarter of fiscal 2022 represented 5.3% of sales as compared to 3.0% in the first quarter of fiscal 2021. For the fiscal 2022, the Company is expecting marketing costs to be approximately 6.2% of sales.</w:t>
      </w:r>
    </w:p>
    <w:p>
      <w:pPr>
        <w:spacing w:after="0" w:line="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20.2% of sales in the first quarter of fiscal 2022 as compared to 17.9% of sales in the first quarter of fiscal 2021. Corporate Support Costs, which include the distribution center and corporate overhead costs, represented 16.3% of sales in the first quarter of fiscal 2022 compared to 15.4% of sales in the first quarter of fiscal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9" w:name="page20"/>
    <w:bookmarkEnd w:id="19"/>
    <w:p>
      <w:pPr>
        <w:ind w:right="60"/>
        <w:spacing w:after="0" w:line="247" w:lineRule="auto"/>
        <w:rPr>
          <w:sz w:val="20"/>
          <w:szCs w:val="20"/>
          <w:color w:val="auto"/>
        </w:rPr>
      </w:pPr>
      <w:r>
        <w:rPr>
          <w:rFonts w:ascii="Times New Roman" w:cs="Times New Roman" w:eastAsia="Times New Roman" w:hAnsi="Times New Roman"/>
          <w:sz w:val="18"/>
          <w:szCs w:val="18"/>
          <w:color w:val="auto"/>
        </w:rPr>
        <w:t>During the first quarter of fiscal 2022 and fiscal 2021, the Company recorded non-cash gains of $0.5 million and $0.8 million, respectively, on the reduction of its operating lease liability in connection with its decision to close certain retail stores, which resulted in a revaluation of the lease liability. Of the total non-cash gains, $0.4 million and $0.7 million for the first quarter of fiscal 2022 and fiscal 2021, respectively, related to leases where the right-of-use assets had previously been impaired, and therefore, were recorded as a reduction of the previously-recorded impairment and were included in the Impairment of Assets line of the Consolidated Statement of Operations for the three months ended April 30, 2022 and May 1, 2021. The remaining gain of $0.1 million in each the first quarter of fiscal 2022 and fiscal 2021 was recorded as a reduction to occupancy costs in each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for the first quarter of fiscal 2022 decreased to $4.0 million as compared to $4.5 million for the first quarter of fiscal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due to a lower depreciable cost base, especially from our store assets, due to our limited capital spending since fiscal 2020.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Interest expense for first quarter of fiscal 2022 was $0.1 million, as compared to $1.1 million for the first quarter of fiscal 2021. The Company had no outstanding debt and no borrowings under its credit facility during the first quarter of fiscal 2022 resulting in a decrease in interest expense as compared to the first quarter of fiscal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established a full valuation allowance against our deferred tax assets at the end of fiscal 2013. While we returned to profitability in fiscal 2021 and are projecting that we will generate taxable income in fiscal 2022, given our limited history of profitability and uncertainty in future forecast, at this time we believe that a full valuation allowance remains appropriate.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provision for the first quarter of fiscal 2022 and fiscal 2021 was primarily due to income tax in states where NOL usage is statutorily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2022, we recorded net income of $13.4 million, or $0.20 per diluted share, compared with net income of $8.7 million, or $0.14 per diluted share, for the first quarter of fiscal 2021. The improvement in earnings was driven by sales growth and improved margins.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0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of April 30, 2022, our inventory increased approximately $8.5 million to $96.9 million, as compared to $88.4 million at May 1, 2021. We are in a stronger inventory position at April 30, 2022 than at the end of the first quarter last year and are continuing to manage inventory closely given the ongoing issues with the global supply chain. We believe that we will be able to secure sufficient inventory to support our sales forecasts. At April 30, 2022, our clearance inventory was 6.9% of our total inventory, as compared to 10.1% at May 1,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and net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Traditionally, a significant portion of our operating income and net income is generated in the fourth quarter, as a result of the “Holiday” season.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availability under our credit facility. At April 30, 2022, we had no outstanding debt, including no borrowings during the quarter under our credit facility. We believe our cash on hand, availability under our credit facility, and ongoing cash generated from our operations will be sufficient to fund our working capital requirements, our stock repurchase program and capital expenditures for the next 12 months. We believe that cash flows from operating activities and cash on hand will also be sufficient to satisfy our capital requirements in the longer-term, however, to the extent future capital requirements exceed cash on hand plus cash flows from operating activities, we anticipate that working capital will be financed by our credit facility, as discussed below.</w:t>
      </w:r>
    </w:p>
    <w:p>
      <w:pPr>
        <w:spacing w:after="0" w:line="195"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For the first three months of fiscal 2022, cash flow from operations decreased to $(1.5) million as compared to $7.8 million for the first three months of fiscal 2021. Free cash flow, a non-GAAP measure, decreased to $(2.7) million for the first three months of fiscal</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0" w:name="page21"/>
    <w:bookmarkEnd w:id="20"/>
    <w:p>
      <w:pPr>
        <w:jc w:val="both"/>
        <w:ind w:right="580"/>
        <w:spacing w:after="0" w:line="258" w:lineRule="auto"/>
        <w:rPr>
          <w:sz w:val="20"/>
          <w:szCs w:val="20"/>
          <w:color w:val="auto"/>
        </w:rPr>
      </w:pPr>
      <w:r>
        <w:rPr>
          <w:rFonts w:ascii="Times New Roman" w:cs="Times New Roman" w:eastAsia="Times New Roman" w:hAnsi="Times New Roman"/>
          <w:sz w:val="18"/>
          <w:szCs w:val="18"/>
          <w:color w:val="auto"/>
        </w:rPr>
        <w:t>2022 as compared to $7.0 million for the first three months of fiscal 2021. The decrease in free cash flow was due to our seasonal inventory build in advance of Father's Day, the payout of incentive-based awards, and an increase in capital expenditures, which were partially offset by our increased earnings.</w:t>
      </w:r>
    </w:p>
    <w:p>
      <w:pPr>
        <w:spacing w:after="0" w:line="16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Cash flow used from financing activities for the first three months of fiscal 2022 improved by $14.9 million as compared to the first three months of fiscal 2021, primarily due to the repayment in the prior year of amounts outstanding under our revolver. This was partially offset by the stock offering in the first quarter of fiscal 2021 and the repurchase of our common stock, as discussed below, in the first quarter of fiscal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22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March 2022, the Company’s Board of Directors approved a stock repurchase program. Under the stock repurchase program, the Company may repurchase up to $15.0 million of its common stock through open market and privately negotiated transactions. For the first quarter of fiscal 2022, the Company repurchased 946,101 shares at an aggregate cost, including fees, of $4.8 million. Shares of repurchased common stock are held as treasury stock. The stock repurchase program will expire in March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October 28, 2021, we entered into a $125.0 million revolving credit agreement, which replaced our prior credit facility that was due to expire in May 2023 (the "Credit Facility"). The Credit Facility has a five-year term and provides more favorable terms than the previous credit facility. The Credit Facility includes a sublimit of $20.0 million for commercial and standby letters of credit and a sublimit of up to $15.0 million for swingline loans. Borrowings made pursuant to the Credit Facility will be made pursuant to either a Base Rate loan or LIBOR Rate loan, at the Company's option. Base Rate loans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bear interest at (i) the LIBOR rate, or the Benchmark Rate as defined in the credit agreement plus (ii) a varying percentage based on the Company’s average excess availability, of either 1.25% or 1.50%.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outstanding borrowings under the New Credit Facility at April 30, 2022 and no borrowings during the first quarter of fiscal 2022. At April 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outstanding standby letters of credit were $2.7 million and outstanding documentary letters of credit were $1.4 million. The average unused excess</w:t>
      </w:r>
    </w:p>
    <w:p>
      <w:pPr>
        <w:spacing w:after="0"/>
        <w:rPr>
          <w:sz w:val="20"/>
          <w:szCs w:val="20"/>
          <w:color w:val="auto"/>
        </w:rPr>
      </w:pPr>
      <w:r>
        <w:rPr>
          <w:rFonts w:ascii="Times New Roman" w:cs="Times New Roman" w:eastAsia="Times New Roman" w:hAnsi="Times New Roman"/>
          <w:sz w:val="18"/>
          <w:szCs w:val="18"/>
          <w:color w:val="auto"/>
        </w:rPr>
        <w:t>availability during the first quarter of fiscal 2022 was approximately $75.0 million and the unused excess availability at April 30, 2022 was $85.0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April 30, 2022 and May 1, 2021,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April 30, 2022</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May 1, 2021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17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4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260" w:type="dxa"/>
            <w:vAlign w:val="bottom"/>
          </w:tcPr>
          <w:p>
            <w:pPr>
              <w:spacing w:after="0"/>
              <w:rPr>
                <w:sz w:val="12"/>
                <w:szCs w:val="12"/>
                <w:color w:val="auto"/>
              </w:rPr>
            </w:pPr>
          </w:p>
        </w:tc>
        <w:tc>
          <w:tcPr>
            <w:tcW w:w="16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4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Stores</w:t>
            </w: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Footage</w:t>
            </w:r>
          </w:p>
        </w:tc>
        <w:tc>
          <w:tcPr>
            <w:tcW w:w="260" w:type="dxa"/>
            <w:vAlign w:val="bottom"/>
          </w:tcPr>
          <w:p>
            <w:pPr>
              <w:spacing w:after="0"/>
              <w:rPr>
                <w:sz w:val="16"/>
                <w:szCs w:val="16"/>
                <w:color w:val="auto"/>
              </w:rPr>
            </w:pP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Stores</w:t>
            </w: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Footage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Casual Male XL Retail</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Outlets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Stores</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Our capital expenditures for the past two years have been very limited due to the pandemic. For fiscal 2022, we expect our capital expenditures will be approximately $10.0-$12.0 million as we make investments in technology related to our marketing and merchandising initiatives and actively pursue opportunities to relocate or convert our remaining Casual Male XL stores to DXL stores. During fiscal 2022, we are planning on rebranding up to 4 of our Casual Male XL retail stores to DXL retail stores. During the first quarter of fiscal 2022, we closed 3 Casual Male XL retail stores and 1 DXL retail store.</w:t>
      </w:r>
    </w:p>
    <w:p>
      <w:pPr>
        <w:spacing w:after="0" w:line="177" w:lineRule="exact"/>
        <w:rPr>
          <w:sz w:val="20"/>
          <w:szCs w:val="20"/>
          <w:color w:val="auto"/>
        </w:rPr>
      </w:pPr>
    </w:p>
    <w:p>
      <w:pPr>
        <w:jc w:val="both"/>
        <w:ind w:right="140"/>
        <w:spacing w:after="0" w:line="280" w:lineRule="auto"/>
        <w:rPr>
          <w:sz w:val="20"/>
          <w:szCs w:val="20"/>
          <w:color w:val="auto"/>
        </w:rPr>
      </w:pPr>
      <w:r>
        <w:rPr>
          <w:rFonts w:ascii="Times New Roman" w:cs="Times New Roman" w:eastAsia="Times New Roman" w:hAnsi="Times New Roman"/>
          <w:sz w:val="17"/>
          <w:szCs w:val="17"/>
          <w:color w:val="auto"/>
        </w:rPr>
        <w:t>We are also reviewing white space opportunities in markets where our store footprint is underpenetrated.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to a net of 50 new and relocated stores.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 w:name="page22"/>
    <w:bookmarkEnd w:id="21"/>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Fiscal 2021 Annual Report. See Note 1 to the Consolidated Financial Statements included in this report for information on recent accounting pronouncements and changes in accounting principles.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Free cash flow and Adjusted EBITDA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Free cash flow excludes the mandatory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repayment of debt. Free cash flow is a metric that management uses to monitor liquidity. We expect to fund our ongoing capital expenditures with cash flow from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214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color w:val="auto"/>
              </w:rPr>
              <w:t>April 30, 2022</w:t>
            </w:r>
          </w:p>
        </w:tc>
        <w:tc>
          <w:tcPr>
            <w:tcW w:w="800" w:type="dxa"/>
            <w:vAlign w:val="bottom"/>
          </w:tcPr>
          <w:p>
            <w:pPr>
              <w:spacing w:after="0"/>
              <w:rPr>
                <w:sz w:val="16"/>
                <w:szCs w:val="16"/>
                <w:color w:val="auto"/>
              </w:rPr>
            </w:pPr>
          </w:p>
        </w:tc>
        <w:tc>
          <w:tcPr>
            <w:tcW w:w="17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color w:val="auto"/>
              </w:rPr>
              <w:t>May 1, 2021</w:t>
            </w:r>
          </w:p>
        </w:tc>
      </w:tr>
      <w:tr>
        <w:trPr>
          <w:trHeight w:val="16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4"/>
                <w:szCs w:val="14"/>
                <w:color w:val="auto"/>
              </w:rPr>
            </w:pPr>
          </w:p>
        </w:tc>
      </w:tr>
      <w:tr>
        <w:trPr>
          <w:trHeight w:val="17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60" w:type="dxa"/>
            <w:vAlign w:val="bottom"/>
          </w:tcPr>
          <w:p>
            <w:pPr>
              <w:spacing w:after="0"/>
              <w:rPr>
                <w:sz w:val="15"/>
                <w:szCs w:val="15"/>
                <w:color w:val="auto"/>
              </w:rPr>
            </w:pPr>
          </w:p>
        </w:tc>
        <w:tc>
          <w:tcPr>
            <w:tcW w:w="21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(1.2 )</w:t>
            </w:r>
          </w:p>
        </w:tc>
        <w:tc>
          <w:tcPr>
            <w:tcW w:w="80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(0.8 )</w:t>
            </w:r>
          </w:p>
        </w:tc>
      </w:tr>
      <w:tr>
        <w:trPr>
          <w:trHeight w:val="209"/>
        </w:trPr>
        <w:tc>
          <w:tcPr>
            <w:tcW w:w="62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380" w:type="dxa"/>
            <w:vAlign w:val="bottom"/>
            <w:tcBorders>
              <w:bottom w:val="single" w:sz="8" w:color="CFF0FC"/>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tcBorders>
              <w:top w:val="single" w:sz="8" w:color="auto"/>
              <w:bottom w:val="single" w:sz="8" w:color="auto"/>
            </w:tcBorders>
            <w:shd w:val="clear" w:color="auto" w:fill="CFF0FC"/>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 is before any impairment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any. We believe that adjusted EBITDA is useful to investors in evaluating our performance and is a key metric to measure profitability and economic productivity. The following table reconciles adjusted EBITDA from net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20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April 30, 2022</w:t>
            </w:r>
          </w:p>
        </w:tc>
        <w:tc>
          <w:tcPr>
            <w:tcW w:w="600" w:type="dxa"/>
            <w:vAlign w:val="bottom"/>
          </w:tcPr>
          <w:p>
            <w:pPr>
              <w:spacing w:after="0"/>
              <w:rPr>
                <w:sz w:val="16"/>
                <w:szCs w:val="16"/>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May 1, 2021</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32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400" w:type="dxa"/>
            <w:vAlign w:val="bottom"/>
          </w:tcPr>
          <w:p>
            <w:pPr>
              <w:spacing w:after="0"/>
              <w:rPr>
                <w:sz w:val="12"/>
                <w:szCs w:val="12"/>
                <w:color w:val="auto"/>
              </w:rPr>
            </w:pPr>
          </w:p>
        </w:tc>
        <w:tc>
          <w:tcPr>
            <w:tcW w:w="600" w:type="dxa"/>
            <w:vAlign w:val="bottom"/>
            <w:tcBorders>
              <w:top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32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3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(gain) of assets</w:t>
            </w:r>
          </w:p>
        </w:tc>
        <w:tc>
          <w:tcPr>
            <w:tcW w:w="320" w:type="dxa"/>
            <w:vAlign w:val="bottom"/>
          </w:tcPr>
          <w:p>
            <w:pPr>
              <w:spacing w:after="0"/>
              <w:rPr>
                <w:sz w:val="15"/>
                <w:szCs w:val="15"/>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(0.4 )</w:t>
            </w:r>
          </w:p>
        </w:tc>
        <w:tc>
          <w:tcPr>
            <w:tcW w:w="60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5"/>
        </w:trPr>
        <w:tc>
          <w:tcPr>
            <w:tcW w:w="67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-145415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6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not been any material changes to our interest rate or foreign currency risks previously disclosed in Part II, Item 7A of our Fiscal 2021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April 30, 2022.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ind w:right="200"/>
        <w:spacing w:after="0" w:line="282" w:lineRule="auto"/>
        <w:rPr>
          <w:sz w:val="20"/>
          <w:szCs w:val="20"/>
          <w:color w:val="auto"/>
        </w:rPr>
      </w:pPr>
      <w:r>
        <w:rPr>
          <w:rFonts w:ascii="Times New Roman" w:cs="Times New Roman" w:eastAsia="Times New Roman" w:hAnsi="Times New Roman"/>
          <w:sz w:val="18"/>
          <w:szCs w:val="18"/>
          <w:color w:val="auto"/>
        </w:rPr>
        <w:t>controls and procedures. Based on this evaluation, our Chief Executive Officer and Chief Financial Officer concluded that, as of April 30, 2022, our disclosure controls and procedures were effective.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majority of our home office employees are working remotely during the COVID-19 pandemic, we have not experienced any changes in our internal control over financial reporting (as defined in Rules 13a-15(f) and 15d-15(f) under the Exchange Act) during the three months ended April 30, 2022 that has materially affected, or is reasonably likely to materially affect, our internal control over financial reporting.</w:t>
      </w:r>
    </w:p>
    <w:p>
      <w:pPr>
        <w:spacing w:after="0" w:line="2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32"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2021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w:t>
      </w:r>
    </w:p>
    <w:p>
      <w:pPr>
        <w:spacing w:after="0" w:line="212" w:lineRule="exact"/>
        <w:rPr>
          <w:sz w:val="20"/>
          <w:szCs w:val="20"/>
          <w:color w:val="auto"/>
        </w:rPr>
      </w:pPr>
    </w:p>
    <w:p>
      <w:pPr>
        <w:ind w:left="300" w:right="100"/>
        <w:spacing w:after="0" w:line="246" w:lineRule="auto"/>
        <w:rPr>
          <w:sz w:val="20"/>
          <w:szCs w:val="20"/>
          <w:color w:val="auto"/>
        </w:rPr>
      </w:pPr>
      <w:r>
        <w:rPr>
          <w:rFonts w:ascii="Times New Roman" w:cs="Times New Roman" w:eastAsia="Times New Roman" w:hAnsi="Times New Roman"/>
          <w:sz w:val="18"/>
          <w:szCs w:val="18"/>
          <w:color w:val="auto"/>
        </w:rPr>
        <w:t>On March 15, 2022, the Company’s Board of Directors approved a stock repurchase program that allows for the repurchase of up to $15.0 million of our common stock through open market and privately negotiated transactions. The timing and the amount of any repurchases of common stock will be determined based on the Company’s evaluation of market conditions and other factors. The stock repurchase program will expire on March 15, 2023, but may be suspended, terminated or modified at any time for any reason. At April 30, 2022, the remaining authorization under the stock repurchase program was approximately $10.2 million.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repurchase activity during the three months ended April 30, 2022 was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9"/>
              </w:rPr>
              <w:t>(c)</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5"/>
              </w:rPr>
              <w:t>(d)</w:t>
            </w:r>
          </w:p>
        </w:tc>
      </w:tr>
      <w:tr>
        <w:trPr>
          <w:trHeight w:val="189"/>
        </w:trPr>
        <w:tc>
          <w:tcPr>
            <w:tcW w:w="3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0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20" w:type="dxa"/>
            <w:vAlign w:val="bottom"/>
            <w:gridSpan w:val="2"/>
            <w:shd w:val="clear" w:color="auto" w:fill="CFF0FC"/>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8"/>
              </w:rPr>
              <w:t>Approximate dollar</w:t>
            </w:r>
          </w:p>
        </w:tc>
      </w:tr>
      <w:tr>
        <w:trPr>
          <w:trHeight w:val="189"/>
        </w:trPr>
        <w:tc>
          <w:tcPr>
            <w:tcW w:w="3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57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59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4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purchased as part of</w:t>
            </w:r>
          </w:p>
        </w:tc>
        <w:tc>
          <w:tcPr>
            <w:tcW w:w="160" w:type="dxa"/>
            <w:vAlign w:val="bottom"/>
            <w:shd w:val="clear" w:color="auto" w:fill="CFF0FC"/>
          </w:tcPr>
          <w:p>
            <w:pPr>
              <w:spacing w:after="0"/>
              <w:rPr>
                <w:sz w:val="16"/>
                <w:szCs w:val="16"/>
                <w:color w:val="auto"/>
              </w:rPr>
            </w:pPr>
          </w:p>
        </w:tc>
        <w:tc>
          <w:tcPr>
            <w:tcW w:w="1980" w:type="dxa"/>
            <w:vAlign w:val="bottom"/>
            <w:gridSpan w:val="3"/>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value of shares that may</w:t>
            </w:r>
          </w:p>
        </w:tc>
      </w:tr>
      <w:tr>
        <w:trPr>
          <w:trHeight w:val="189"/>
        </w:trPr>
        <w:tc>
          <w:tcPr>
            <w:tcW w:w="3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18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Average price paid</w:t>
            </w:r>
          </w:p>
        </w:tc>
        <w:tc>
          <w:tcPr>
            <w:tcW w:w="240" w:type="dxa"/>
            <w:vAlign w:val="bottom"/>
            <w:shd w:val="clear" w:color="auto" w:fill="CFF0FC"/>
          </w:tcPr>
          <w:p>
            <w:pPr>
              <w:spacing w:after="0"/>
              <w:rPr>
                <w:sz w:val="16"/>
                <w:szCs w:val="16"/>
                <w:color w:val="auto"/>
              </w:rPr>
            </w:pPr>
          </w:p>
        </w:tc>
        <w:tc>
          <w:tcPr>
            <w:tcW w:w="170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w:t>
            </w:r>
          </w:p>
        </w:tc>
        <w:tc>
          <w:tcPr>
            <w:tcW w:w="160" w:type="dxa"/>
            <w:vAlign w:val="bottom"/>
            <w:shd w:val="clear" w:color="auto" w:fill="CFF0FC"/>
          </w:tcPr>
          <w:p>
            <w:pPr>
              <w:spacing w:after="0"/>
              <w:rPr>
                <w:sz w:val="16"/>
                <w:szCs w:val="16"/>
                <w:color w:val="auto"/>
              </w:rPr>
            </w:pPr>
          </w:p>
        </w:tc>
        <w:tc>
          <w:tcPr>
            <w:tcW w:w="1980" w:type="dxa"/>
            <w:vAlign w:val="bottom"/>
            <w:gridSpan w:val="3"/>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yet be purchased under</w:t>
            </w:r>
          </w:p>
        </w:tc>
      </w:tr>
      <w:tr>
        <w:trPr>
          <w:trHeight w:val="234"/>
        </w:trPr>
        <w:tc>
          <w:tcPr>
            <w:tcW w:w="3780" w:type="dxa"/>
            <w:vAlign w:val="bottom"/>
            <w:tcBorders>
              <w:bottom w:val="single" w:sz="8" w:color="auto"/>
            </w:tcBorders>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shares purchased</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plan</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7"/>
              </w:rPr>
              <w:t>the plan</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9"/>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820" w:type="dxa"/>
            <w:vAlign w:val="bottom"/>
            <w:gridSpan w:val="2"/>
          </w:tcPr>
          <w:p>
            <w:pPr>
              <w:spacing w:after="0"/>
              <w:rPr>
                <w:sz w:val="18"/>
                <w:szCs w:val="18"/>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30, 2022 to February 26, 2022</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2022 to April 2, 2022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493,156</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493,156</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12,458,203</w:t>
            </w:r>
          </w:p>
        </w:tc>
        <w:tc>
          <w:tcPr>
            <w:tcW w:w="100" w:type="dxa"/>
            <w:vAlign w:val="bottom"/>
          </w:tcPr>
          <w:p>
            <w:pPr>
              <w:spacing w:after="0"/>
              <w:rPr>
                <w:sz w:val="18"/>
                <w:szCs w:val="18"/>
                <w:color w:val="auto"/>
              </w:rPr>
            </w:pPr>
          </w:p>
        </w:tc>
      </w:tr>
      <w:tr>
        <w:trPr>
          <w:trHeight w:val="216"/>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3, 2022 to April 30, 2022</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452,945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452,945</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10,153,020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946,101</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946,101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10,153,020</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-727710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-727710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-727710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-727710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2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Fourth Amended and Restated Long-Term Incentive Plan.(included as Exhibit 10.2 to the Company's Current Report on Form 8-K filed</w:t>
              </w:r>
            </w:hyperlink>
          </w:p>
        </w:tc>
      </w:tr>
      <w:tr>
        <w:trPr>
          <w:trHeight w:val="169"/>
        </w:trPr>
        <w:tc>
          <w:tcPr>
            <w:tcW w:w="96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April 5, 2022, and incorporated herein by reference).</w:t>
              </w:r>
            </w:hyperlink>
          </w:p>
        </w:tc>
        <w:tc>
          <w:tcPr>
            <w:tcW w:w="20" w:type="dxa"/>
            <w:vAlign w:val="bottom"/>
            <w:tcBorders>
              <w:top w:val="single" w:sz="8" w:color="0000FF"/>
              <w:bottom w:val="single" w:sz="8" w:color="0000EE"/>
            </w:tcBorders>
          </w:tcPr>
          <w:p>
            <w:pPr>
              <w:spacing w:after="0"/>
              <w:rPr>
                <w:sz w:val="14"/>
                <w:szCs w:val="14"/>
                <w:color w:val="auto"/>
              </w:rPr>
            </w:pPr>
          </w:p>
        </w:tc>
        <w:tc>
          <w:tcPr>
            <w:tcW w:w="5980" w:type="dxa"/>
            <w:vAlign w:val="bottom"/>
            <w:tcBorders>
              <w:top w:val="single" w:sz="8" w:color="0000FF"/>
            </w:tcBorders>
            <w:gridSpan w:val="10"/>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2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2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Fifth Amended and Restated Annual Incentive Plan (included as Exhibit 10.3 to the Company's Current Report on Form 8-K filed April 5,</w:t>
              </w:r>
            </w:hyperlink>
          </w:p>
        </w:tc>
      </w:tr>
      <w:tr>
        <w:trPr>
          <w:trHeight w:val="169"/>
        </w:trPr>
        <w:tc>
          <w:tcPr>
            <w:tcW w:w="960" w:type="dxa"/>
            <w:vAlign w:val="bottom"/>
          </w:tcPr>
          <w:p>
            <w:pPr>
              <w:spacing w:after="0"/>
              <w:rPr>
                <w:sz w:val="14"/>
                <w:szCs w:val="14"/>
                <w:color w:val="auto"/>
              </w:rPr>
            </w:pPr>
          </w:p>
        </w:tc>
        <w:tc>
          <w:tcPr>
            <w:tcW w:w="100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2022, and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2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Employment Agreement between the Company and Harvey S. Kanter effective April 1, 2022 (included as Exhibit</w:t>
              </w:r>
            </w:hyperlink>
          </w:p>
        </w:tc>
      </w:tr>
      <w:tr>
        <w:trPr>
          <w:trHeight w:val="169"/>
        </w:trPr>
        <w:tc>
          <w:tcPr>
            <w:tcW w:w="960" w:type="dxa"/>
            <w:vAlign w:val="bottom"/>
          </w:tcPr>
          <w:p>
            <w:pPr>
              <w:spacing w:after="0"/>
              <w:rPr>
                <w:sz w:val="14"/>
                <w:szCs w:val="14"/>
                <w:color w:val="auto"/>
              </w:rPr>
            </w:pPr>
          </w:p>
        </w:tc>
        <w:tc>
          <w:tcPr>
            <w:tcW w:w="794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April 5, 2022, and incorporated herein by reference).</w:t>
              </w:r>
            </w:hyperlink>
          </w:p>
        </w:tc>
        <w:tc>
          <w:tcPr>
            <w:tcW w:w="2020" w:type="dxa"/>
            <w:vAlign w:val="bottom"/>
            <w:tcBorders>
              <w:top w:val="single" w:sz="8" w:color="0000FF"/>
            </w:tcBorders>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between the Company and Anthony J. Gaeta effective March 6, 2022.*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between the Company and Allison Surette effective March 6, 2022.*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between the Company and John F. Cooney effective March 6, 2022.*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of 2002.*</w:t>
            </w:r>
          </w:p>
        </w:tc>
        <w:tc>
          <w:tcPr>
            <w:tcW w:w="20" w:type="dxa"/>
            <w:vAlign w:val="bottom"/>
            <w:tcBorders>
              <w:top w:val="single" w:sz="8" w:color="0000FF"/>
              <w:bottom w:val="single" w:sz="8" w:color="0000EE"/>
            </w:tcBorders>
          </w:tcPr>
          <w:p>
            <w:pPr>
              <w:spacing w:after="0"/>
              <w:rPr>
                <w:sz w:val="14"/>
                <w:szCs w:val="14"/>
                <w:color w:val="auto"/>
              </w:rPr>
            </w:pPr>
          </w:p>
        </w:tc>
        <w:tc>
          <w:tcPr>
            <w:tcW w:w="9380" w:type="dxa"/>
            <w:vAlign w:val="bottom"/>
            <w:tcBorders>
              <w:top w:val="single" w:sz="8" w:color="0000FF"/>
            </w:tcBorders>
            <w:gridSpan w:val="19"/>
          </w:tcPr>
          <w:p>
            <w:pPr>
              <w:spacing w:after="0"/>
              <w:rPr>
                <w:sz w:val="14"/>
                <w:szCs w:val="1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of 2002.*</w:t>
            </w:r>
          </w:p>
        </w:tc>
        <w:tc>
          <w:tcPr>
            <w:tcW w:w="20" w:type="dxa"/>
            <w:vAlign w:val="bottom"/>
            <w:tcBorders>
              <w:top w:val="single" w:sz="8" w:color="0000FF"/>
              <w:bottom w:val="single" w:sz="8" w:color="0000EE"/>
            </w:tcBorders>
          </w:tcPr>
          <w:p>
            <w:pPr>
              <w:spacing w:after="0"/>
              <w:rPr>
                <w:sz w:val="14"/>
                <w:szCs w:val="14"/>
                <w:color w:val="auto"/>
              </w:rPr>
            </w:pPr>
          </w:p>
        </w:tc>
        <w:tc>
          <w:tcPr>
            <w:tcW w:w="932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 not appear in the Interactive Data File because its XBRL tags are embedded</w:t>
            </w:r>
          </w:p>
        </w:tc>
      </w:tr>
      <w:tr>
        <w:trPr>
          <w:trHeight w:val="169"/>
        </w:trPr>
        <w:tc>
          <w:tcPr>
            <w:tcW w:w="960" w:type="dxa"/>
            <w:vAlign w:val="bottom"/>
          </w:tcPr>
          <w:p>
            <w:pPr>
              <w:spacing w:after="0"/>
              <w:rPr>
                <w:sz w:val="14"/>
                <w:szCs w:val="14"/>
                <w:color w:val="auto"/>
              </w:rPr>
            </w:pPr>
          </w:p>
        </w:tc>
        <w:tc>
          <w:tcPr>
            <w:tcW w:w="1006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within the Inline XBRL document.</w:t>
            </w:r>
          </w:p>
        </w:tc>
        <w:tc>
          <w:tcPr>
            <w:tcW w:w="20" w:type="dxa"/>
            <w:vAlign w:val="bottom"/>
          </w:tcPr>
          <w:p>
            <w:pPr>
              <w:spacing w:after="0"/>
              <w:rPr>
                <w:sz w:val="14"/>
                <w:szCs w:val="14"/>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Inline XBRL Taxonomy Extension Schema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 Document.</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Definition Linkbase Document.</w:t>
            </w:r>
          </w:p>
        </w:tc>
        <w:tc>
          <w:tcPr>
            <w:tcW w:w="140" w:type="dxa"/>
            <w:vAlign w:val="bottom"/>
            <w:tcBorders>
              <w:top w:val="single" w:sz="8" w:color="0000FF"/>
            </w:tcBorders>
          </w:tcPr>
          <w:p>
            <w:pPr>
              <w:spacing w:after="0"/>
              <w:rPr>
                <w:sz w:val="24"/>
                <w:szCs w:val="24"/>
                <w:color w:val="auto"/>
              </w:rPr>
            </w:pPr>
          </w:p>
        </w:tc>
        <w:tc>
          <w:tcPr>
            <w:tcW w:w="5100" w:type="dxa"/>
            <w:vAlign w:val="bottom"/>
            <w:gridSpan w:val="11"/>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Inline XBRL Taxonomy Extension Label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4500" w:type="dxa"/>
            <w:vAlign w:val="bottom"/>
            <w:gridSpan w:val="8"/>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hanging="938"/>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18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5" w:name="page26"/>
    <w:bookmarkEnd w:id="25"/>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960" w:val="left"/>
          <w:tab w:leader="none" w:pos="6760" w:val="left"/>
        </w:tabs>
        <w:rPr>
          <w:sz w:val="20"/>
          <w:szCs w:val="20"/>
          <w:color w:val="auto"/>
        </w:rPr>
      </w:pPr>
      <w:r>
        <w:rPr>
          <w:rFonts w:ascii="Times New Roman" w:cs="Times New Roman" w:eastAsia="Times New Roman" w:hAnsi="Times New Roman"/>
          <w:sz w:val="18"/>
          <w:szCs w:val="18"/>
          <w:color w:val="auto"/>
        </w:rPr>
        <w:t>Date: May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John F. Cooney</w:t>
      </w:r>
    </w:p>
    <w:p>
      <w:pPr>
        <w:spacing w:after="0" w:line="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ind w:left="6780"/>
        <w:spacing w:after="0" w:line="232" w:lineRule="auto"/>
        <w:rPr>
          <w:sz w:val="20"/>
          <w:szCs w:val="20"/>
          <w:color w:val="auto"/>
        </w:rPr>
      </w:pPr>
      <w:r>
        <w:rPr>
          <w:rFonts w:ascii="Times New Roman" w:cs="Times New Roman" w:eastAsia="Times New Roman" w:hAnsi="Times New Roman"/>
          <w:sz w:val="17"/>
          <w:szCs w:val="17"/>
          <w:color w:val="auto"/>
        </w:rPr>
        <w:t>Corporate Controller (Duly Authorized Officer and Chief</w:t>
      </w:r>
    </w:p>
    <w:p>
      <w:pPr>
        <w:ind w:left="67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3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24" w:right="67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EMPLOYMENT AGREEMENT</w:t>
      </w:r>
    </w:p>
    <w:p>
      <w:pPr>
        <w:spacing w:after="0" w:line="200" w:lineRule="exact"/>
        <w:rPr>
          <w:sz w:val="20"/>
          <w:szCs w:val="20"/>
          <w:color w:val="auto"/>
        </w:rPr>
      </w:pPr>
    </w:p>
    <w:p>
      <w:pPr>
        <w:spacing w:after="0" w:line="2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This Amended and Restated Employment Agreement ("Agreement") is made effective as of March 6, 2022 (the “Effective Date”) between DESTINATION XL GROUP, INC. (the “Company”), a Delaware corporation with an office at 555 Turnpike Street, Canton, Massachusetts 02021 (“DXLG” which term includes any affiliates and subsidiaries), and ANTHONY J. GAETA (the “Executive”) having an address at 14 Quail Run Road, Bridgewater, MA 02324.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33" w:lineRule="exact"/>
        <w:rPr>
          <w:sz w:val="20"/>
          <w:szCs w:val="20"/>
          <w:color w:val="auto"/>
        </w:rPr>
      </w:pPr>
    </w:p>
    <w:p>
      <w:pPr>
        <w:ind w:right="360" w:firstLine="449"/>
        <w:spacing w:after="0" w:line="271" w:lineRule="auto"/>
        <w:rPr>
          <w:sz w:val="20"/>
          <w:szCs w:val="20"/>
          <w:color w:val="auto"/>
        </w:rPr>
      </w:pPr>
      <w:r>
        <w:rPr>
          <w:rFonts w:ascii="Times New Roman" w:cs="Times New Roman" w:eastAsia="Times New Roman" w:hAnsi="Times New Roman"/>
          <w:sz w:val="22"/>
          <w:szCs w:val="22"/>
          <w:color w:val="auto"/>
        </w:rPr>
        <w:t>WHEREAS, the Company desires that Executive work for the Company and Executive desires to be so employed by the Company as its Chief Stores Officer.</w:t>
      </w:r>
    </w:p>
    <w:p>
      <w:pPr>
        <w:spacing w:after="0" w:line="171" w:lineRule="exact"/>
        <w:rPr>
          <w:sz w:val="20"/>
          <w:szCs w:val="20"/>
          <w:color w:val="auto"/>
        </w:rPr>
      </w:pPr>
    </w:p>
    <w:p>
      <w:pPr>
        <w:ind w:right="960" w:firstLine="449"/>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desire to set forth in writing the terms and conditions of the Executive's employment with the Company from the date hereof.</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promises, representations and covenants herein contained, the parties hereto agree as follows:</w:t>
      </w:r>
    </w:p>
    <w:p>
      <w:pPr>
        <w:spacing w:after="0" w:line="199" w:lineRule="exact"/>
        <w:rPr>
          <w:sz w:val="20"/>
          <w:szCs w:val="20"/>
          <w:color w:val="auto"/>
        </w:rPr>
      </w:pPr>
    </w:p>
    <w:p>
      <w:pPr>
        <w:ind w:left="700" w:hanging="224"/>
        <w:spacing w:after="0"/>
        <w:tabs>
          <w:tab w:leader="none" w:pos="7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p>
    <w:p>
      <w:pPr>
        <w:spacing w:after="0" w:line="247" w:lineRule="exact"/>
        <w:rPr>
          <w:sz w:val="20"/>
          <w:szCs w:val="20"/>
          <w:color w:val="auto"/>
        </w:rPr>
      </w:pPr>
    </w:p>
    <w:p>
      <w:pPr>
        <w:ind w:right="460" w:firstLine="843"/>
        <w:spacing w:after="0" w:line="258" w:lineRule="auto"/>
        <w:rPr>
          <w:sz w:val="20"/>
          <w:szCs w:val="20"/>
          <w:color w:val="auto"/>
        </w:rPr>
      </w:pPr>
      <w:r>
        <w:rPr>
          <w:rFonts w:ascii="Times New Roman" w:cs="Times New Roman" w:eastAsia="Times New Roman" w:hAnsi="Times New Roman"/>
          <w:sz w:val="22"/>
          <w:szCs w:val="22"/>
          <w:color w:val="auto"/>
        </w:rPr>
        <w:t>The Company hereby employs Executive and Executive hereby accepts such employment, subject to the terms and conditions herein set forth.</w:t>
      </w:r>
    </w:p>
    <w:p>
      <w:pPr>
        <w:spacing w:after="0" w:line="199"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47" w:lineRule="exact"/>
        <w:rPr>
          <w:sz w:val="20"/>
          <w:szCs w:val="20"/>
          <w:color w:val="auto"/>
        </w:rPr>
      </w:pPr>
    </w:p>
    <w:p>
      <w:pPr>
        <w:ind w:right="40" w:firstLine="843"/>
        <w:spacing w:after="0" w:line="258" w:lineRule="auto"/>
        <w:rPr>
          <w:sz w:val="20"/>
          <w:szCs w:val="20"/>
          <w:color w:val="auto"/>
        </w:rPr>
      </w:pPr>
      <w:r>
        <w:rPr>
          <w:rFonts w:ascii="Times New Roman" w:cs="Times New Roman" w:eastAsia="Times New Roman" w:hAnsi="Times New Roman"/>
          <w:sz w:val="22"/>
          <w:szCs w:val="22"/>
          <w:color w:val="auto"/>
        </w:rPr>
        <w:t>The term of employment under this Agreement (the “Term of Employment”) shall begin on the Effective Date and shall continue until terminated by either party as hereinafter set forth.</w:t>
      </w:r>
    </w:p>
    <w:p>
      <w:pPr>
        <w:spacing w:after="0" w:line="199"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46" w:lineRule="exact"/>
        <w:rPr>
          <w:rFonts w:ascii="Times New Roman" w:cs="Times New Roman" w:eastAsia="Times New Roman" w:hAnsi="Times New Roman"/>
          <w:sz w:val="22"/>
          <w:szCs w:val="22"/>
          <w:color w:val="auto"/>
        </w:rPr>
      </w:pPr>
    </w:p>
    <w:p>
      <w:pPr>
        <w:ind w:right="180" w:firstLine="757"/>
        <w:spacing w:after="0" w:line="238" w:lineRule="auto"/>
        <w:tabs>
          <w:tab w:leader="none" w:pos="1043"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Twenty-Five Thousand Dollars and 00/100 Cents ($325,000.00)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223" w:lineRule="exact"/>
        <w:rPr>
          <w:sz w:val="20"/>
          <w:szCs w:val="20"/>
          <w:color w:val="auto"/>
        </w:rPr>
      </w:pPr>
    </w:p>
    <w:p>
      <w:pPr>
        <w:jc w:val="both"/>
        <w:ind w:firstLine="8"/>
        <w:spacing w:after="0" w:line="241"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50% of Executive’s actual annual base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2"/>
          <w:szCs w:val="22"/>
          <w:color w:val="auto"/>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14" w:lineRule="exact"/>
        <w:rPr>
          <w:sz w:val="20"/>
          <w:szCs w:val="20"/>
          <w:color w:val="auto"/>
        </w:rPr>
      </w:pPr>
    </w:p>
    <w:p>
      <w:pPr>
        <w:jc w:val="both"/>
        <w:ind w:firstLine="8"/>
        <w:spacing w:after="0" w:line="241" w:lineRule="auto"/>
        <w:tabs>
          <w:tab w:leader="none" w:pos="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217"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18"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p>
    <w:p>
      <w:pPr>
        <w:spacing w:after="0" w:line="246" w:lineRule="exact"/>
        <w:rPr>
          <w:rFonts w:ascii="Times New Roman" w:cs="Times New Roman" w:eastAsia="Times New Roman" w:hAnsi="Times New Roman"/>
          <w:sz w:val="22"/>
          <w:szCs w:val="22"/>
          <w:color w:val="auto"/>
        </w:rPr>
      </w:pPr>
    </w:p>
    <w:p>
      <w:pPr>
        <w:jc w:val="both"/>
        <w:ind w:firstLine="906"/>
        <w:spacing w:after="0"/>
        <w:tabs>
          <w:tab w:leader="none" w:pos="119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20" w:lineRule="exact"/>
        <w:rPr>
          <w:rFonts w:ascii="Times New Roman" w:cs="Times New Roman" w:eastAsia="Times New Roman" w:hAnsi="Times New Roman"/>
          <w:sz w:val="22"/>
          <w:szCs w:val="22"/>
          <w:color w:val="auto"/>
        </w:rPr>
      </w:pPr>
    </w:p>
    <w:p>
      <w:pPr>
        <w:jc w:val="both"/>
        <w:ind w:firstLine="906"/>
        <w:spacing w:after="0" w:line="243" w:lineRule="auto"/>
        <w:tabs>
          <w:tab w:leader="none" w:pos="1797"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204" w:lineRule="exact"/>
        <w:rPr>
          <w:sz w:val="20"/>
          <w:szCs w:val="20"/>
          <w:color w:val="auto"/>
        </w:rPr>
      </w:pPr>
    </w:p>
    <w:p>
      <w:pPr>
        <w:ind w:left="1220" w:hanging="314"/>
        <w:spacing w:after="0"/>
        <w:tabs>
          <w:tab w:leader="none" w:pos="12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eligible to participate in the Company’s annual performance appraisal process.</w:t>
      </w:r>
    </w:p>
    <w:p>
      <w:pPr>
        <w:spacing w:after="0" w:line="246" w:lineRule="exact"/>
        <w:rPr>
          <w:rFonts w:ascii="Times New Roman" w:cs="Times New Roman" w:eastAsia="Times New Roman" w:hAnsi="Times New Roman"/>
          <w:sz w:val="22"/>
          <w:szCs w:val="22"/>
          <w:color w:val="auto"/>
        </w:rPr>
      </w:pPr>
    </w:p>
    <w:p>
      <w:pPr>
        <w:ind w:left="1020" w:hanging="210"/>
        <w:spacing w:after="0"/>
        <w:tabs>
          <w:tab w:leader="none" w:pos="10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ind w:firstLine="757"/>
        <w:spacing w:after="0" w:line="251" w:lineRule="auto"/>
        <w:tabs>
          <w:tab w:leader="none" w:pos="105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such duties and functions consistent with the position of Chief Stores Officer and/or as the Company shall from time to time determine and Executive shall comply in the performance of his duties with the policies of, and be subject to the direction of the Company.</w:t>
      </w:r>
    </w:p>
    <w:p>
      <w:pPr>
        <w:spacing w:after="0" w:line="205" w:lineRule="exact"/>
        <w:rPr>
          <w:rFonts w:ascii="Times New Roman" w:cs="Times New Roman" w:eastAsia="Times New Roman" w:hAnsi="Times New Roman"/>
          <w:sz w:val="22"/>
          <w:szCs w:val="22"/>
          <w:color w:val="auto"/>
        </w:rPr>
      </w:pPr>
    </w:p>
    <w:p>
      <w:pPr>
        <w:jc w:val="both"/>
        <w:ind w:firstLine="757"/>
        <w:spacing w:after="0" w:line="241" w:lineRule="auto"/>
        <w:tabs>
          <w:tab w:leader="none" w:pos="105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his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spacing w:after="0" w:line="203" w:lineRule="exact"/>
        <w:rPr>
          <w:rFonts w:ascii="Times New Roman" w:cs="Times New Roman" w:eastAsia="Times New Roman" w:hAnsi="Times New Roman"/>
          <w:sz w:val="22"/>
          <w:szCs w:val="22"/>
          <w:color w:val="auto"/>
        </w:rPr>
      </w:pPr>
    </w:p>
    <w:p>
      <w:pPr>
        <w:ind w:right="120" w:firstLine="757"/>
        <w:spacing w:after="0" w:line="244" w:lineRule="auto"/>
        <w:tabs>
          <w:tab w:leader="none" w:pos="104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13" w:lineRule="exact"/>
        <w:rPr>
          <w:sz w:val="20"/>
          <w:szCs w:val="20"/>
          <w:color w:val="auto"/>
        </w:rPr>
      </w:pPr>
    </w:p>
    <w:p>
      <w:pPr>
        <w:ind w:left="980" w:hanging="223"/>
        <w:spacing w:after="0"/>
        <w:tabs>
          <w:tab w:leader="none" w:pos="9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EFFECT OF TERMINATION</w:t>
      </w:r>
    </w:p>
    <w:p>
      <w:pPr>
        <w:spacing w:after="0" w:line="246" w:lineRule="exact"/>
        <w:rPr>
          <w:rFonts w:ascii="Times New Roman" w:cs="Times New Roman" w:eastAsia="Times New Roman" w:hAnsi="Times New Roman"/>
          <w:sz w:val="22"/>
          <w:szCs w:val="22"/>
          <w:color w:val="auto"/>
        </w:rPr>
      </w:pPr>
    </w:p>
    <w:p>
      <w:pPr>
        <w:ind w:left="1200" w:hanging="294"/>
        <w:spacing w:after="0"/>
        <w:tabs>
          <w:tab w:leader="none" w:pos="12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may be terminated by the Company at any time:</w:t>
      </w:r>
    </w:p>
    <w:p>
      <w:pPr>
        <w:spacing w:after="0" w:line="246" w:lineRule="exact"/>
        <w:rPr>
          <w:rFonts w:ascii="Times New Roman" w:cs="Times New Roman" w:eastAsia="Times New Roman" w:hAnsi="Times New Roman"/>
          <w:sz w:val="22"/>
          <w:szCs w:val="22"/>
          <w:color w:val="auto"/>
        </w:rPr>
      </w:pPr>
    </w:p>
    <w:p>
      <w:pPr>
        <w:jc w:val="both"/>
        <w:ind w:firstLine="1356"/>
        <w:spacing w:after="0" w:line="244" w:lineRule="auto"/>
        <w:tabs>
          <w:tab w:leader="none" w:pos="166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3" w:lineRule="exact"/>
        <w:rPr>
          <w:rFonts w:ascii="Times New Roman" w:cs="Times New Roman" w:eastAsia="Times New Roman" w:hAnsi="Times New Roman"/>
          <w:sz w:val="22"/>
          <w:szCs w:val="22"/>
          <w:color w:val="auto"/>
        </w:rPr>
      </w:pPr>
    </w:p>
    <w:p>
      <w:pPr>
        <w:ind w:left="1680" w:hanging="324"/>
        <w:spacing w:after="0"/>
        <w:tabs>
          <w:tab w:leader="none" w:pos="168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of the Company that there is justifiable cause (as hereinafter defined) for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222" w:lineRule="exact"/>
        <w:rPr>
          <w:rFonts w:ascii="Times New Roman" w:cs="Times New Roman" w:eastAsia="Times New Roman" w:hAnsi="Times New Roman"/>
          <w:sz w:val="22"/>
          <w:szCs w:val="22"/>
          <w:color w:val="auto"/>
        </w:rPr>
      </w:pPr>
    </w:p>
    <w:p>
      <w:pPr>
        <w:ind w:left="1220" w:hanging="314"/>
        <w:spacing w:after="0"/>
        <w:tabs>
          <w:tab w:leader="none" w:pos="122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shall terminate upon:</w:t>
      </w:r>
    </w:p>
    <w:p>
      <w:pPr>
        <w:spacing w:after="0" w:line="246" w:lineRule="exact"/>
        <w:rPr>
          <w:rFonts w:ascii="Times New Roman" w:cs="Times New Roman" w:eastAsia="Times New Roman" w:hAnsi="Times New Roman"/>
          <w:sz w:val="22"/>
          <w:szCs w:val="22"/>
          <w:color w:val="auto"/>
        </w:rPr>
      </w:pPr>
    </w:p>
    <w:p>
      <w:pPr>
        <w:ind w:left="1620" w:hanging="265"/>
        <w:spacing w:after="0"/>
        <w:tabs>
          <w:tab w:leader="none" w:pos="162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Executive;</w:t>
      </w:r>
    </w:p>
    <w:p>
      <w:pPr>
        <w:spacing w:after="0" w:line="247" w:lineRule="exact"/>
        <w:rPr>
          <w:sz w:val="20"/>
          <w:szCs w:val="20"/>
          <w:color w:val="auto"/>
        </w:rPr>
      </w:pPr>
    </w:p>
    <w:p>
      <w:pPr>
        <w:ind w:right="860" w:firstLine="757"/>
        <w:spacing w:after="0" w:line="258" w:lineRule="auto"/>
        <w:tabs>
          <w:tab w:leader="none" w:pos="106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elects to terminate the Term of Employment by reason of the "disability" of Executive (as hereinafter defined in subsection (c) herein) pursuant to subsection (g) hereof; or</w:t>
      </w:r>
    </w:p>
    <w:p>
      <w:pPr>
        <w:spacing w:after="0" w:line="198" w:lineRule="exact"/>
        <w:rPr>
          <w:rFonts w:ascii="Times New Roman" w:cs="Times New Roman" w:eastAsia="Times New Roman" w:hAnsi="Times New Roman"/>
          <w:sz w:val="22"/>
          <w:szCs w:val="22"/>
          <w:color w:val="auto"/>
        </w:rPr>
      </w:pPr>
    </w:p>
    <w:p>
      <w:pPr>
        <w:ind w:left="1740" w:hanging="385"/>
        <w:spacing w:after="0"/>
        <w:tabs>
          <w:tab w:leader="none" w:pos="174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resignation of employment.</w:t>
      </w:r>
    </w:p>
    <w:p>
      <w:pPr>
        <w:spacing w:after="0" w:line="233" w:lineRule="exact"/>
        <w:rPr>
          <w:rFonts w:ascii="Times New Roman" w:cs="Times New Roman" w:eastAsia="Times New Roman" w:hAnsi="Times New Roman"/>
          <w:sz w:val="22"/>
          <w:szCs w:val="22"/>
          <w:color w:val="auto"/>
        </w:rPr>
      </w:pPr>
    </w:p>
    <w:p>
      <w:pPr>
        <w:jc w:val="both"/>
        <w:ind w:firstLine="944"/>
        <w:spacing w:after="0" w:line="250" w:lineRule="auto"/>
        <w:tabs>
          <w:tab w:leader="none" w:pos="129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ind w:firstLine="906"/>
        <w:spacing w:after="0" w:line="238" w:lineRule="auto"/>
        <w:tabs>
          <w:tab w:leader="none" w:pos="1212"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p>
    <w:p>
      <w:pPr>
        <w:spacing w:after="0" w:line="208" w:lineRule="exact"/>
        <w:rPr>
          <w:rFonts w:ascii="Times New Roman" w:cs="Times New Roman" w:eastAsia="Times New Roman" w:hAnsi="Times New Roman"/>
          <w:sz w:val="22"/>
          <w:szCs w:val="22"/>
          <w:color w:val="auto"/>
        </w:rPr>
      </w:pPr>
    </w:p>
    <w:p>
      <w:pPr>
        <w:jc w:val="both"/>
        <w:ind w:firstLine="757"/>
        <w:spacing w:after="0" w:line="260" w:lineRule="auto"/>
        <w:tabs>
          <w:tab w:leader="none" w:pos="1045"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terminates this Agreement without "justifiable cause" as provided in subsection 7(a)(i), the Company shall pay Executive his then current base salary for six months (that is, the one month notice period referenced in Paragraph 7(a)</w:t>
      </w:r>
    </w:p>
    <w:p>
      <w:pPr>
        <w:ind w:left="280" w:hanging="272"/>
        <w:spacing w:after="0"/>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five months after the effectiveness of such termination), payable in equal payments in accordance with the Company’s</w:t>
      </w:r>
    </w:p>
    <w:p>
      <w:pPr>
        <w:spacing w:after="0" w:line="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221" w:lineRule="exact"/>
        <w:rPr>
          <w:sz w:val="20"/>
          <w:szCs w:val="20"/>
          <w:color w:val="auto"/>
        </w:rPr>
      </w:pPr>
    </w:p>
    <w:p>
      <w:pPr>
        <w:jc w:val="both"/>
        <w:ind w:firstLine="906"/>
        <w:spacing w:after="0" w:line="244" w:lineRule="auto"/>
        <w:tabs>
          <w:tab w:leader="none" w:pos="11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213" w:lineRule="exact"/>
        <w:rPr>
          <w:rFonts w:ascii="Times New Roman" w:cs="Times New Roman" w:eastAsia="Times New Roman" w:hAnsi="Times New Roman"/>
          <w:sz w:val="22"/>
          <w:szCs w:val="22"/>
          <w:color w:val="auto"/>
        </w:rPr>
      </w:pPr>
    </w:p>
    <w:p>
      <w:pPr>
        <w:jc w:val="both"/>
        <w:ind w:firstLine="906"/>
        <w:spacing w:after="0" w:line="244" w:lineRule="auto"/>
        <w:tabs>
          <w:tab w:leader="none" w:pos="125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213" w:lineRule="exact"/>
        <w:rPr>
          <w:rFonts w:ascii="Times New Roman" w:cs="Times New Roman" w:eastAsia="Times New Roman" w:hAnsi="Times New Roman"/>
          <w:sz w:val="22"/>
          <w:szCs w:val="22"/>
          <w:color w:val="auto"/>
        </w:rPr>
      </w:pPr>
    </w:p>
    <w:p>
      <w:pPr>
        <w:ind w:right="260" w:firstLine="906"/>
        <w:spacing w:after="0" w:line="260" w:lineRule="auto"/>
        <w:tabs>
          <w:tab w:leader="none" w:pos="120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resignation of Executive in any capacity, that resignation will be deemed to be a resignation from all offices and positions that Executive holds with respect to the Company and any of its subsidiaries and affiliates. In the event of</w:t>
      </w:r>
    </w:p>
    <w:p>
      <w:pPr>
        <w:spacing w:after="0" w:line="235" w:lineRule="auto"/>
        <w:rPr>
          <w:sz w:val="20"/>
          <w:szCs w:val="20"/>
          <w:color w:val="auto"/>
        </w:rPr>
      </w:pPr>
      <w:r>
        <w:rPr>
          <w:rFonts w:ascii="Times New Roman" w:cs="Times New Roman" w:eastAsia="Times New Roman" w:hAnsi="Times New Roman"/>
          <w:sz w:val="22"/>
          <w:szCs w:val="22"/>
          <w:color w:val="auto"/>
        </w:rPr>
        <w:t>Executive’s resignation, 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ind w:right="40"/>
        <w:spacing w:after="0" w:line="259" w:lineRule="auto"/>
        <w:rPr>
          <w:sz w:val="20"/>
          <w:szCs w:val="20"/>
          <w:color w:val="auto"/>
        </w:rPr>
      </w:pPr>
      <w:r>
        <w:rPr>
          <w:rFonts w:ascii="Times New Roman" w:cs="Times New Roman" w:eastAsia="Times New Roman" w:hAnsi="Times New Roman"/>
          <w:sz w:val="22"/>
          <w:szCs w:val="22"/>
          <w:color w:val="auto"/>
        </w:rPr>
        <w:t>shall be entitled only to receive such portion of his annual Base Salary and reimbursement of expenses pursuant to paragraph 4 as have been accrued through the date of his resignation.</w:t>
      </w:r>
    </w:p>
    <w:p>
      <w:pPr>
        <w:spacing w:after="0" w:line="197" w:lineRule="exact"/>
        <w:rPr>
          <w:sz w:val="20"/>
          <w:szCs w:val="20"/>
          <w:color w:val="auto"/>
        </w:rPr>
      </w:pPr>
    </w:p>
    <w:p>
      <w:pPr>
        <w:ind w:right="60" w:firstLine="906"/>
        <w:spacing w:after="0" w:line="248" w:lineRule="auto"/>
        <w:tabs>
          <w:tab w:leader="none" w:pos="115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226" w:lineRule="exact"/>
        <w:rPr>
          <w:rFonts w:ascii="Times New Roman" w:cs="Times New Roman" w:eastAsia="Times New Roman" w:hAnsi="Times New Roman"/>
          <w:sz w:val="21"/>
          <w:szCs w:val="21"/>
          <w:color w:val="auto"/>
        </w:rPr>
      </w:pPr>
    </w:p>
    <w:p>
      <w:pPr>
        <w:ind w:firstLine="8"/>
        <w:spacing w:after="0" w:line="258" w:lineRule="auto"/>
        <w:tabs>
          <w:tab w:leader="none" w:pos="27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of Certain Compensation and Benefits. If, after the termination of the Term of Employment for any reason other than by the Company for “justifiable cause”:</w:t>
      </w:r>
    </w:p>
    <w:p>
      <w:pPr>
        <w:spacing w:after="0" w:line="172" w:lineRule="exact"/>
        <w:rPr>
          <w:sz w:val="20"/>
          <w:szCs w:val="20"/>
          <w:color w:val="auto"/>
        </w:rPr>
      </w:pPr>
    </w:p>
    <w:p>
      <w:pPr>
        <w:jc w:val="both"/>
        <w:ind w:firstLine="1779"/>
        <w:spacing w:after="0"/>
        <w:rPr>
          <w:sz w:val="20"/>
          <w:szCs w:val="20"/>
          <w:color w:val="auto"/>
        </w:rPr>
      </w:pPr>
      <w:r>
        <w:rPr>
          <w:rFonts w:ascii="Times New Roman" w:cs="Times New Roman" w:eastAsia="Times New Roman" w:hAnsi="Times New Roman"/>
          <w:sz w:val="22"/>
          <w:szCs w:val="22"/>
          <w:color w:val="auto"/>
        </w:rPr>
        <w:t>A.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93" w:lineRule="exact"/>
        <w:rPr>
          <w:sz w:val="20"/>
          <w:szCs w:val="20"/>
          <w:color w:val="auto"/>
        </w:rPr>
      </w:pPr>
    </w:p>
    <w:p>
      <w:pPr>
        <w:jc w:val="both"/>
        <w:ind w:firstLine="1779"/>
        <w:spacing w:after="0" w:line="244" w:lineRule="auto"/>
        <w:rPr>
          <w:sz w:val="20"/>
          <w:szCs w:val="20"/>
          <w:color w:val="auto"/>
        </w:rPr>
      </w:pPr>
      <w:r>
        <w:rPr>
          <w:rFonts w:ascii="Times New Roman" w:cs="Times New Roman" w:eastAsia="Times New Roman" w:hAnsi="Times New Roman"/>
          <w:sz w:val="22"/>
          <w:szCs w:val="22"/>
          <w:color w:val="auto"/>
        </w:rPr>
        <w:t>B. 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3" w:lineRule="exact"/>
        <w:rPr>
          <w:sz w:val="20"/>
          <w:szCs w:val="20"/>
          <w:color w:val="auto"/>
        </w:rPr>
      </w:pPr>
    </w:p>
    <w:p>
      <w:pPr>
        <w:jc w:val="both"/>
        <w:ind w:firstLine="2995"/>
        <w:spacing w:after="0" w:line="250" w:lineRule="auto"/>
        <w:rPr>
          <w:sz w:val="20"/>
          <w:szCs w:val="20"/>
          <w:color w:val="auto"/>
        </w:rPr>
      </w:pPr>
      <w:r>
        <w:rPr>
          <w:rFonts w:ascii="Times New Roman" w:cs="Times New Roman" w:eastAsia="Times New Roman" w:hAnsi="Times New Roman"/>
          <w:sz w:val="22"/>
          <w:szCs w:val="22"/>
          <w:color w:val="auto"/>
        </w:rPr>
        <w:t>1) the Executive shall be required to pay to the Company, immediately upon written demand by the Company, all amounts paid to Executive by the Company, whether or not pursuant to this Agreement (other than such portion of Executive’s Base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spacing w:after="0" w:line="259" w:lineRule="auto"/>
        <w:rPr>
          <w:sz w:val="20"/>
          <w:szCs w:val="20"/>
          <w:color w:val="auto"/>
        </w:rPr>
      </w:pPr>
      <w:r>
        <w:rPr>
          <w:rFonts w:ascii="Times New Roman" w:cs="Times New Roman" w:eastAsia="Times New Roman" w:hAnsi="Times New Roman"/>
          <w:sz w:val="21"/>
          <w:szCs w:val="21"/>
          <w:color w:val="auto"/>
        </w:rPr>
        <w:t>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2)</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all vested and unvested Awards (as that term is defined in</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2016 Incentive Compensation Plan) then held by the Executive shall immediately expire; and</w:t>
            </w:r>
          </w:p>
        </w:tc>
      </w:tr>
      <w:tr>
        <w:trPr>
          <w:trHeight w:val="457"/>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3)</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the Executive shall be required to pay to the Company,</w:t>
            </w: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81" w:lineRule="exact"/>
        <w:rPr>
          <w:sz w:val="20"/>
          <w:szCs w:val="20"/>
          <w:color w:val="auto"/>
        </w:rPr>
      </w:pPr>
    </w:p>
    <w:p>
      <w:pPr>
        <w:ind w:right="100" w:firstLine="906"/>
        <w:spacing w:after="0" w:line="250" w:lineRule="auto"/>
        <w:tabs>
          <w:tab w:leader="none" w:pos="120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spacing w:after="0" w:line="167" w:lineRule="exact"/>
        <w:rPr>
          <w:rFonts w:ascii="Times New Roman" w:cs="Times New Roman" w:eastAsia="Times New Roman" w:hAnsi="Times New Roman"/>
          <w:sz w:val="22"/>
          <w:szCs w:val="22"/>
          <w:color w:val="auto"/>
        </w:rPr>
      </w:pPr>
    </w:p>
    <w:p>
      <w:pPr>
        <w:ind w:left="980" w:hanging="223"/>
        <w:spacing w:after="0"/>
        <w:tabs>
          <w:tab w:leader="none" w:pos="9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p>
    <w:p>
      <w:pPr>
        <w:spacing w:after="0" w:line="206" w:lineRule="exact"/>
        <w:rPr>
          <w:sz w:val="20"/>
          <w:szCs w:val="20"/>
          <w:color w:val="auto"/>
        </w:rPr>
      </w:pPr>
    </w:p>
    <w:p>
      <w:pPr>
        <w:jc w:val="both"/>
        <w:ind w:firstLine="757"/>
        <w:spacing w:after="0" w:line="239" w:lineRule="auto"/>
        <w:tabs>
          <w:tab w:leader="none" w:pos="104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94" w:lineRule="exact"/>
        <w:rPr>
          <w:rFonts w:ascii="Times New Roman" w:cs="Times New Roman" w:eastAsia="Times New Roman" w:hAnsi="Times New Roman"/>
          <w:sz w:val="22"/>
          <w:szCs w:val="22"/>
          <w:color w:val="auto"/>
        </w:rPr>
      </w:pPr>
    </w:p>
    <w:p>
      <w:pPr>
        <w:jc w:val="both"/>
        <w:ind w:firstLine="757"/>
        <w:spacing w:after="0" w:line="250" w:lineRule="auto"/>
        <w:tabs>
          <w:tab w:leader="none" w:pos="106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ind w:left="1060" w:hanging="303"/>
        <w:spacing w:after="0"/>
        <w:tabs>
          <w:tab w:leader="none" w:pos="10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 Delay for “Specified Employees”.</w:t>
      </w:r>
    </w:p>
    <w:p>
      <w:pPr>
        <w:spacing w:after="0" w:line="206" w:lineRule="exact"/>
        <w:rPr>
          <w:rFonts w:ascii="Times New Roman" w:cs="Times New Roman" w:eastAsia="Times New Roman" w:hAnsi="Times New Roman"/>
          <w:sz w:val="22"/>
          <w:szCs w:val="22"/>
          <w:color w:val="auto"/>
        </w:rPr>
      </w:pPr>
    </w:p>
    <w:p>
      <w:pPr>
        <w:ind w:firstLine="1505"/>
        <w:spacing w:after="0" w:line="253" w:lineRule="auto"/>
        <w:tabs>
          <w:tab w:leader="none" w:pos="175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92" w:lineRule="exact"/>
        <w:rPr>
          <w:rFonts w:ascii="Times New Roman" w:cs="Times New Roman" w:eastAsia="Times New Roman" w:hAnsi="Times New Roman"/>
          <w:sz w:val="21"/>
          <w:szCs w:val="21"/>
          <w:color w:val="auto"/>
        </w:rPr>
      </w:pPr>
    </w:p>
    <w:p>
      <w:pPr>
        <w:jc w:val="both"/>
        <w:ind w:firstLine="1505"/>
        <w:spacing w:after="0" w:line="244" w:lineRule="auto"/>
        <w:tabs>
          <w:tab w:leader="none" w:pos="181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0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2" w:lineRule="exact"/>
        <w:rPr>
          <w:rFonts w:ascii="Times New Roman" w:cs="Times New Roman" w:eastAsia="Times New Roman" w:hAnsi="Times New Roman"/>
          <w:sz w:val="22"/>
          <w:szCs w:val="22"/>
          <w:color w:val="auto"/>
        </w:rPr>
      </w:pPr>
    </w:p>
    <w:p>
      <w:pPr>
        <w:jc w:val="both"/>
        <w:ind w:firstLine="757"/>
        <w:spacing w:after="0" w:line="248" w:lineRule="auto"/>
        <w:tabs>
          <w:tab w:leader="none" w:pos="105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6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Taxable Reimbursements.</w:t>
      </w:r>
    </w:p>
    <w:p>
      <w:pPr>
        <w:spacing w:after="0" w:line="206" w:lineRule="exact"/>
        <w:rPr>
          <w:rFonts w:ascii="Times New Roman" w:cs="Times New Roman" w:eastAsia="Times New Roman" w:hAnsi="Times New Roman"/>
          <w:sz w:val="22"/>
          <w:szCs w:val="22"/>
          <w:color w:val="auto"/>
        </w:rPr>
      </w:pPr>
    </w:p>
    <w:p>
      <w:pPr>
        <w:jc w:val="both"/>
        <w:ind w:firstLine="1505"/>
        <w:spacing w:after="0" w:line="248" w:lineRule="auto"/>
        <w:tabs>
          <w:tab w:leader="none" w:pos="176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69" w:lineRule="exact"/>
        <w:rPr>
          <w:rFonts w:ascii="Times New Roman" w:cs="Times New Roman" w:eastAsia="Times New Roman" w:hAnsi="Times New Roman"/>
          <w:sz w:val="22"/>
          <w:szCs w:val="22"/>
          <w:color w:val="auto"/>
        </w:rPr>
      </w:pPr>
    </w:p>
    <w:p>
      <w:pPr>
        <w:ind w:firstLine="1505"/>
        <w:spacing w:after="0" w:line="282" w:lineRule="auto"/>
        <w:tabs>
          <w:tab w:leader="none" w:pos="182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48" w:lineRule="exact"/>
        <w:rPr>
          <w:rFonts w:ascii="Times New Roman" w:cs="Times New Roman" w:eastAsia="Times New Roman" w:hAnsi="Times New Roman"/>
          <w:sz w:val="21"/>
          <w:szCs w:val="21"/>
          <w:color w:val="auto"/>
        </w:rPr>
      </w:pPr>
    </w:p>
    <w:p>
      <w:pPr>
        <w:ind w:left="1880" w:hanging="375"/>
        <w:spacing w:after="0"/>
        <w:tabs>
          <w:tab w:leader="none" w:pos="18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Taxable Reimbursements shall not be subject to liquidation or exchange for another benefit.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left="980" w:hanging="223"/>
        <w:spacing w:after="0"/>
        <w:tabs>
          <w:tab w:leader="none" w:pos="9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AND AGREEMENTS OF EXECUTIVE</w:t>
      </w:r>
    </w:p>
    <w:p>
      <w:pPr>
        <w:spacing w:after="0" w:line="247" w:lineRule="exact"/>
        <w:rPr>
          <w:rFonts w:ascii="Times New Roman" w:cs="Times New Roman" w:eastAsia="Times New Roman" w:hAnsi="Times New Roman"/>
          <w:sz w:val="22"/>
          <w:szCs w:val="22"/>
          <w:color w:val="auto"/>
        </w:rPr>
      </w:pPr>
    </w:p>
    <w:p>
      <w:pPr>
        <w:jc w:val="both"/>
        <w:ind w:firstLine="8"/>
        <w:spacing w:after="0" w:line="250" w:lineRule="auto"/>
        <w:tabs>
          <w:tab w:leader="none" w:pos="30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94" w:lineRule="exact"/>
        <w:rPr>
          <w:rFonts w:ascii="Times New Roman" w:cs="Times New Roman" w:eastAsia="Times New Roman" w:hAnsi="Times New Roman"/>
          <w:sz w:val="22"/>
          <w:szCs w:val="22"/>
          <w:color w:val="auto"/>
        </w:rPr>
      </w:pPr>
    </w:p>
    <w:p>
      <w:pPr>
        <w:ind w:right="220" w:firstLine="944"/>
        <w:spacing w:after="0" w:line="268" w:lineRule="auto"/>
        <w:tabs>
          <w:tab w:leader="none" w:pos="1242"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90" w:lineRule="exact"/>
        <w:rPr>
          <w:rFonts w:ascii="Times New Roman" w:cs="Times New Roman" w:eastAsia="Times New Roman" w:hAnsi="Times New Roman"/>
          <w:sz w:val="21"/>
          <w:szCs w:val="21"/>
          <w:color w:val="auto"/>
        </w:rPr>
      </w:pPr>
    </w:p>
    <w:p>
      <w:pPr>
        <w:ind w:right="80" w:firstLine="944"/>
        <w:spacing w:after="0" w:line="250" w:lineRule="auto"/>
        <w:tabs>
          <w:tab w:leader="none" w:pos="123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94" w:lineRule="exact"/>
        <w:rPr>
          <w:rFonts w:ascii="Times New Roman" w:cs="Times New Roman" w:eastAsia="Times New Roman" w:hAnsi="Times New Roman"/>
          <w:sz w:val="22"/>
          <w:szCs w:val="22"/>
          <w:color w:val="auto"/>
        </w:rPr>
      </w:pPr>
    </w:p>
    <w:p>
      <w:pPr>
        <w:jc w:val="both"/>
        <w:ind w:firstLine="944"/>
        <w:spacing w:after="0" w:line="250" w:lineRule="auto"/>
        <w:tabs>
          <w:tab w:leader="none" w:pos="1253"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a party to any judicial or administrative proceeding that resulted in a judgment, decree, or final order (i) enjoining his from future violations of, or prohibiting any violations of any federal or state securities law, or (ii) finding any violations of any federal or state securities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Executive represents and warrants that he has never been accused of any impropriety in connection with any employment;</w:t>
      </w:r>
    </w:p>
    <w:p>
      <w:pPr>
        <w:spacing w:after="0" w:line="2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Any breach of any of the above representations and warranties is "justifiable cause" for termination under paragraph 7(d) of this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 NON-COMPETITION</w:t>
      </w:r>
    </w:p>
    <w:p>
      <w:pPr>
        <w:spacing w:after="0" w:line="206" w:lineRule="exact"/>
        <w:rPr>
          <w:sz w:val="20"/>
          <w:szCs w:val="20"/>
          <w:color w:val="auto"/>
        </w:rPr>
      </w:pPr>
    </w:p>
    <w:p>
      <w:pPr>
        <w:ind w:right="60" w:firstLine="757"/>
        <w:spacing w:after="0" w:line="237" w:lineRule="auto"/>
        <w:tabs>
          <w:tab w:leader="none" w:pos="104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promotion to Chief Stores Officer, the corresponding $30,000.00 gross salary increase and the increased bonus percentage participation,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 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ind w:right="20"/>
        <w:spacing w:after="0" w:line="251" w:lineRule="auto"/>
        <w:rPr>
          <w:sz w:val="20"/>
          <w:szCs w:val="20"/>
          <w:color w:val="auto"/>
        </w:rPr>
      </w:pPr>
      <w:r>
        <w:rPr>
          <w:rFonts w:ascii="Times New Roman" w:cs="Times New Roman" w:eastAsia="Times New Roman" w:hAnsi="Times New Roman"/>
          <w:sz w:val="22"/>
          <w:szCs w:val="22"/>
          <w:color w:val="auto"/>
        </w:rPr>
        <w:t>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6" w:lineRule="exact"/>
        <w:rPr>
          <w:sz w:val="20"/>
          <w:szCs w:val="20"/>
          <w:color w:val="auto"/>
        </w:rPr>
      </w:pPr>
    </w:p>
    <w:p>
      <w:pPr>
        <w:ind w:firstLine="757"/>
        <w:spacing w:after="0" w:line="255" w:lineRule="auto"/>
        <w:tabs>
          <w:tab w:leader="none" w:pos="10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202" w:lineRule="exact"/>
        <w:rPr>
          <w:rFonts w:ascii="Times New Roman" w:cs="Times New Roman" w:eastAsia="Times New Roman" w:hAnsi="Times New Roman"/>
          <w:sz w:val="21"/>
          <w:szCs w:val="21"/>
          <w:color w:val="auto"/>
        </w:rPr>
      </w:pPr>
    </w:p>
    <w:p>
      <w:pPr>
        <w:ind w:right="20" w:firstLine="757"/>
        <w:spacing w:after="0" w:line="241" w:lineRule="auto"/>
        <w:tabs>
          <w:tab w:leader="none" w:pos="104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7" w:lineRule="exact"/>
        <w:rPr>
          <w:rFonts w:ascii="Times New Roman" w:cs="Times New Roman" w:eastAsia="Times New Roman" w:hAnsi="Times New Roman"/>
          <w:sz w:val="22"/>
          <w:szCs w:val="22"/>
          <w:color w:val="auto"/>
        </w:rPr>
      </w:pPr>
    </w:p>
    <w:p>
      <w:pPr>
        <w:ind w:right="60" w:firstLine="757"/>
        <w:spacing w:after="0"/>
        <w:tabs>
          <w:tab w:leader="none" w:pos="105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20" w:lineRule="exact"/>
        <w:rPr>
          <w:sz w:val="20"/>
          <w:szCs w:val="20"/>
          <w:color w:val="auto"/>
        </w:rPr>
      </w:pPr>
    </w:p>
    <w:p>
      <w:pPr>
        <w:ind w:left="1080" w:hanging="323"/>
        <w:spacing w:after="0"/>
        <w:tabs>
          <w:tab w:leader="none" w:pos="10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DISCOVERIES</w:t>
      </w:r>
    </w:p>
    <w:p>
      <w:pPr>
        <w:spacing w:after="0" w:line="247" w:lineRule="exact"/>
        <w:rPr>
          <w:sz w:val="20"/>
          <w:szCs w:val="20"/>
          <w:color w:val="auto"/>
        </w:rPr>
      </w:pPr>
    </w:p>
    <w:p>
      <w:pPr>
        <w:ind w:right="100" w:firstLine="757"/>
        <w:spacing w:after="0"/>
        <w:tabs>
          <w:tab w:leader="none" w:pos="104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his as a consequence of his employment or the rendering of advisory and consulting services hereunder (collectively the "Subject Matter").</w:t>
      </w:r>
    </w:p>
    <w:p>
      <w:pPr>
        <w:spacing w:after="0" w:line="203" w:lineRule="exact"/>
        <w:rPr>
          <w:rFonts w:ascii="Times New Roman" w:cs="Times New Roman" w:eastAsia="Times New Roman" w:hAnsi="Times New Roman"/>
          <w:sz w:val="22"/>
          <w:szCs w:val="22"/>
          <w:color w:val="auto"/>
        </w:rPr>
      </w:pPr>
    </w:p>
    <w:p>
      <w:pPr>
        <w:ind w:right="60" w:firstLine="8"/>
        <w:spacing w:after="0" w:line="243" w:lineRule="auto"/>
        <w:tabs>
          <w:tab w:leader="none" w:pos="30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w:t>
      </w: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ind w:right="20"/>
        <w:spacing w:after="0" w:line="241" w:lineRule="auto"/>
        <w:rPr>
          <w:sz w:val="20"/>
          <w:szCs w:val="20"/>
          <w:color w:val="auto"/>
        </w:rPr>
      </w:pPr>
      <w:r>
        <w:rPr>
          <w:rFonts w:ascii="Times New Roman" w:cs="Times New Roman" w:eastAsia="Times New Roman" w:hAnsi="Times New Roman"/>
          <w:sz w:val="22"/>
          <w:szCs w:val="22"/>
          <w:color w:val="auto"/>
        </w:rPr>
        <w:t>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18" w:lineRule="exact"/>
        <w:rPr>
          <w:sz w:val="20"/>
          <w:szCs w:val="20"/>
          <w:color w:val="auto"/>
        </w:rPr>
      </w:pPr>
    </w:p>
    <w:p>
      <w:pPr>
        <w:ind w:left="1080" w:hanging="323"/>
        <w:spacing w:after="0"/>
        <w:tabs>
          <w:tab w:leader="none" w:pos="10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p>
    <w:p>
      <w:pPr>
        <w:spacing w:after="0" w:line="247" w:lineRule="exact"/>
        <w:rPr>
          <w:sz w:val="20"/>
          <w:szCs w:val="20"/>
          <w:color w:val="auto"/>
        </w:rPr>
      </w:pPr>
    </w:p>
    <w:p>
      <w:pPr>
        <w:ind w:firstLine="757"/>
        <w:spacing w:after="0" w:line="248" w:lineRule="auto"/>
        <w:tabs>
          <w:tab w:leader="none" w:pos="104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19" w:lineRule="exact"/>
        <w:rPr>
          <w:rFonts w:ascii="Times New Roman" w:cs="Times New Roman" w:eastAsia="Times New Roman" w:hAnsi="Times New Roman"/>
          <w:sz w:val="21"/>
          <w:szCs w:val="21"/>
          <w:color w:val="auto"/>
        </w:rPr>
      </w:pPr>
    </w:p>
    <w:p>
      <w:pPr>
        <w:ind w:firstLine="757"/>
        <w:spacing w:after="0" w:line="243" w:lineRule="auto"/>
        <w:tabs>
          <w:tab w:leader="none" w:pos="105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4" w:lineRule="exact"/>
        <w:rPr>
          <w:rFonts w:ascii="Times New Roman" w:cs="Times New Roman" w:eastAsia="Times New Roman" w:hAnsi="Times New Roman"/>
          <w:sz w:val="22"/>
          <w:szCs w:val="22"/>
          <w:color w:val="auto"/>
        </w:rPr>
      </w:pPr>
    </w:p>
    <w:p>
      <w:pPr>
        <w:jc w:val="both"/>
        <w:ind w:right="480" w:firstLine="8"/>
        <w:spacing w:after="0" w:line="260" w:lineRule="auto"/>
        <w:tabs>
          <w:tab w:leader="none" w:pos="29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Federal Defend Trade Secrets Act, Executive cannot be held criminally or civilly liable under any federal or state trade secret law for disclosing a trade secret (i) in confidence to a federal, state, or local government official,</w:t>
      </w:r>
    </w:p>
    <w:p>
      <w:pPr>
        <w:spacing w:after="0" w:line="235" w:lineRule="auto"/>
        <w:rPr>
          <w:sz w:val="20"/>
          <w:szCs w:val="20"/>
          <w:color w:val="auto"/>
        </w:rPr>
      </w:pPr>
      <w:r>
        <w:rPr>
          <w:rFonts w:ascii="Times New Roman" w:cs="Times New Roman" w:eastAsia="Times New Roman" w:hAnsi="Times New Roman"/>
          <w:sz w:val="22"/>
          <w:szCs w:val="22"/>
          <w:color w:val="auto"/>
        </w:rPr>
        <w:t>either directly or indirectly, or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ind w:right="120"/>
        <w:spacing w:after="0" w:line="251" w:lineRule="auto"/>
        <w:rPr>
          <w:sz w:val="20"/>
          <w:szCs w:val="20"/>
          <w:color w:val="auto"/>
        </w:rPr>
      </w:pPr>
      <w:r>
        <w:rPr>
          <w:rFonts w:ascii="Times New Roman" w:cs="Times New Roman" w:eastAsia="Times New Roman" w:hAnsi="Times New Roman"/>
          <w:sz w:val="22"/>
          <w:szCs w:val="22"/>
          <w:color w:val="auto"/>
        </w:rPr>
        <w:t>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52" w:lineRule="exact"/>
        <w:rPr>
          <w:sz w:val="20"/>
          <w:szCs w:val="20"/>
          <w:color w:val="auto"/>
        </w:rPr>
      </w:pPr>
    </w:p>
    <w:p>
      <w:pPr>
        <w:ind w:left="1080" w:hanging="323"/>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p>
    <w:p>
      <w:pPr>
        <w:spacing w:after="0" w:line="24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24" w:lineRule="exact"/>
        <w:rPr>
          <w:sz w:val="20"/>
          <w:szCs w:val="20"/>
          <w:color w:val="auto"/>
        </w:rPr>
      </w:pPr>
    </w:p>
    <w:p>
      <w:pPr>
        <w:ind w:left="1080" w:hanging="323"/>
        <w:spacing w:after="0"/>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ALTERATION</w:t>
      </w:r>
    </w:p>
    <w:p>
      <w:pPr>
        <w:spacing w:after="0" w:line="24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No amendment or alteration of the terms of this Agreement shall be valid unless made in writing and signed by both of the parties hereto.</w:t>
      </w:r>
    </w:p>
    <w:p>
      <w:pPr>
        <w:spacing w:after="0" w:line="199" w:lineRule="exact"/>
        <w:rPr>
          <w:sz w:val="20"/>
          <w:szCs w:val="20"/>
          <w:color w:val="auto"/>
        </w:rPr>
      </w:pPr>
    </w:p>
    <w:p>
      <w:pPr>
        <w:ind w:left="1080" w:hanging="323"/>
        <w:spacing w:after="0"/>
        <w:tabs>
          <w:tab w:leader="none" w:pos="10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47"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99" w:lineRule="exact"/>
        <w:rPr>
          <w:sz w:val="20"/>
          <w:szCs w:val="20"/>
          <w:color w:val="auto"/>
        </w:rPr>
      </w:pPr>
    </w:p>
    <w:p>
      <w:pPr>
        <w:ind w:left="1080" w:hanging="323"/>
        <w:spacing w:after="0"/>
        <w:tabs>
          <w:tab w:leader="none" w:pos="10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p>
    <w:p>
      <w:pPr>
        <w:spacing w:after="0" w:line="24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99" w:lineRule="exact"/>
        <w:rPr>
          <w:sz w:val="20"/>
          <w:szCs w:val="20"/>
          <w:color w:val="auto"/>
        </w:rPr>
      </w:pPr>
    </w:p>
    <w:p>
      <w:pPr>
        <w:ind w:left="1080" w:hanging="323"/>
        <w:spacing w:after="0"/>
        <w:tabs>
          <w:tab w:leader="none" w:pos="10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notices required or permitted to be given hereunder shall be sufficient if in</w:t>
      </w:r>
    </w:p>
    <w:p>
      <w:pPr>
        <w:spacing w:after="0" w:line="1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19" w:lineRule="exact"/>
        <w:rPr>
          <w:sz w:val="20"/>
          <w:szCs w:val="20"/>
          <w:color w:val="auto"/>
        </w:rPr>
      </w:pPr>
    </w:p>
    <w:p>
      <w:pPr>
        <w:ind w:left="1080" w:hanging="323"/>
        <w:spacing w:after="0"/>
        <w:tabs>
          <w:tab w:leader="none" w:pos="10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ind w:right="20" w:firstLine="749"/>
        <w:spacing w:after="0" w:line="271" w:lineRule="auto"/>
        <w:rPr>
          <w:sz w:val="20"/>
          <w:szCs w:val="20"/>
          <w:color w:val="auto"/>
        </w:rPr>
      </w:pPr>
      <w:r>
        <w:rPr>
          <w:rFonts w:ascii="Times New Roman" w:cs="Times New Roman" w:eastAsia="Times New Roman" w:hAnsi="Times New Roman"/>
          <w:sz w:val="22"/>
          <w:szCs w:val="22"/>
          <w:color w:val="auto"/>
        </w:rPr>
        <w:t>It is agreed that a waiver by either party of a breach of any provision of this Agreement shall not operate, or be construed as a waiver of any subsequent breach by that same party.</w:t>
      </w:r>
    </w:p>
    <w:p>
      <w:pPr>
        <w:spacing w:after="0" w:line="185" w:lineRule="exact"/>
        <w:rPr>
          <w:sz w:val="20"/>
          <w:szCs w:val="20"/>
          <w:color w:val="auto"/>
        </w:rPr>
      </w:pPr>
    </w:p>
    <w:p>
      <w:pPr>
        <w:ind w:left="1080" w:hanging="323"/>
        <w:spacing w:after="0"/>
        <w:tabs>
          <w:tab w:leader="none" w:pos="10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AND BINDING EFFECT</w:t>
      </w:r>
    </w:p>
    <w:p>
      <w:pPr>
        <w:spacing w:after="0" w:line="233"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21" w:lineRule="exact"/>
        <w:rPr>
          <w:sz w:val="20"/>
          <w:szCs w:val="20"/>
          <w:color w:val="auto"/>
        </w:rPr>
      </w:pPr>
    </w:p>
    <w:p>
      <w:pPr>
        <w:ind w:left="1080" w:hanging="323"/>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p>
    <w:p>
      <w:pPr>
        <w:spacing w:after="0" w:line="233"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08" w:lineRule="exact"/>
        <w:rPr>
          <w:sz w:val="20"/>
          <w:szCs w:val="20"/>
          <w:color w:val="auto"/>
        </w:rPr>
      </w:pPr>
    </w:p>
    <w:p>
      <w:pPr>
        <w:ind w:left="1080" w:hanging="323"/>
        <w:spacing w:after="0"/>
        <w:tabs>
          <w:tab w:leader="none" w:pos="10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p>
    <w:p>
      <w:pPr>
        <w:spacing w:after="0" w:line="247"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Any and all disputes arising under or in connection with this Agreement shall be resolved in accordance with this paragraph 21 and paragraph 15.</w:t>
      </w:r>
    </w:p>
    <w:p>
      <w:pPr>
        <w:spacing w:after="0" w:line="199" w:lineRule="exact"/>
        <w:rPr>
          <w:sz w:val="20"/>
          <w:szCs w:val="20"/>
          <w:color w:val="auto"/>
        </w:rPr>
      </w:pPr>
    </w:p>
    <w:p>
      <w:pPr>
        <w:ind w:right="320" w:firstLine="749"/>
        <w:spacing w:after="0" w:line="243" w:lineRule="auto"/>
        <w:rPr>
          <w:sz w:val="20"/>
          <w:szCs w:val="20"/>
          <w:color w:val="auto"/>
        </w:rPr>
      </w:pPr>
      <w:r>
        <w:rPr>
          <w:rFonts w:ascii="Times New Roman" w:cs="Times New Roman" w:eastAsia="Times New Roman" w:hAnsi="Times New Roman"/>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4" w:lineRule="exact"/>
        <w:rPr>
          <w:sz w:val="20"/>
          <w:szCs w:val="20"/>
          <w:color w:val="auto"/>
        </w:rPr>
      </w:pPr>
    </w:p>
    <w:p>
      <w:pPr>
        <w:ind w:left="1080" w:hanging="323"/>
        <w:spacing w:after="0"/>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p>
    <w:p>
      <w:pPr>
        <w:spacing w:after="0" w:line="24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73" w:lineRule="exact"/>
        <w:rPr>
          <w:sz w:val="20"/>
          <w:szCs w:val="20"/>
          <w:color w:val="auto"/>
        </w:rPr>
      </w:pPr>
    </w:p>
    <w:p>
      <w:pPr>
        <w:ind w:left="1080" w:hanging="323"/>
        <w:spacing w:after="0"/>
        <w:tabs>
          <w:tab w:leader="none" w:pos="10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ind w:firstLine="749"/>
        <w:spacing w:after="0" w:line="271" w:lineRule="auto"/>
        <w:rPr>
          <w:sz w:val="20"/>
          <w:szCs w:val="20"/>
          <w:color w:val="auto"/>
        </w:rPr>
      </w:pPr>
      <w:r>
        <w:rPr>
          <w:rFonts w:ascii="Times New Roman" w:cs="Times New Roman" w:eastAsia="Times New Roman" w:hAnsi="Times New Roman"/>
          <w:sz w:val="22"/>
          <w:szCs w:val="22"/>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39" w:name="page40"/>
    <w:bookmarkEnd w:id="39"/>
    <w:p>
      <w:pPr>
        <w:ind w:left="1080" w:hanging="323"/>
        <w:spacing w:after="0"/>
        <w:tabs>
          <w:tab w:leader="none" w:pos="10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AND AFFILIATES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7" w:lineRule="exact"/>
        <w:rPr>
          <w:sz w:val="20"/>
          <w:szCs w:val="20"/>
          <w:color w:val="auto"/>
        </w:rPr>
      </w:pPr>
    </w:p>
    <w:p>
      <w:pPr>
        <w:ind w:right="40" w:firstLine="8"/>
        <w:spacing w:after="0" w:line="244" w:lineRule="auto"/>
        <w:tabs>
          <w:tab w:leader="none" w:pos="2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13" w:lineRule="exact"/>
        <w:rPr>
          <w:rFonts w:ascii="Times New Roman" w:cs="Times New Roman" w:eastAsia="Times New Roman" w:hAnsi="Times New Roman"/>
          <w:sz w:val="22"/>
          <w:szCs w:val="22"/>
          <w:color w:val="auto"/>
        </w:rPr>
      </w:pPr>
    </w:p>
    <w:p>
      <w:pPr>
        <w:ind w:right="100" w:firstLine="757"/>
        <w:spacing w:after="0" w:line="243" w:lineRule="auto"/>
        <w:tabs>
          <w:tab w:leader="none" w:pos="10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4" w:lineRule="exact"/>
        <w:rPr>
          <w:sz w:val="20"/>
          <w:szCs w:val="20"/>
          <w:color w:val="auto"/>
        </w:rPr>
      </w:pPr>
    </w:p>
    <w:p>
      <w:pPr>
        <w:ind w:left="1080" w:hanging="323"/>
        <w:spacing w:after="0"/>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p>
    <w:p>
      <w:pPr>
        <w:spacing w:after="0" w:line="247"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71" w:lineRule="exact"/>
        <w:rPr>
          <w:sz w:val="20"/>
          <w:szCs w:val="20"/>
          <w:color w:val="auto"/>
        </w:rPr>
      </w:pPr>
    </w:p>
    <w:p>
      <w:pPr>
        <w:ind w:left="1080" w:hanging="323"/>
        <w:spacing w:after="0"/>
        <w:tabs>
          <w:tab w:leader="none" w:pos="10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47" w:lineRule="exact"/>
        <w:rPr>
          <w:sz w:val="20"/>
          <w:szCs w:val="20"/>
          <w:color w:val="auto"/>
        </w:rPr>
      </w:pPr>
    </w:p>
    <w:p>
      <w:pPr>
        <w:ind w:right="460" w:firstLine="749"/>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28"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DESTINATION XL GROUP, INC.</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Harvey S. Kanter</w:t>
            </w:r>
          </w:p>
        </w:tc>
        <w:tc>
          <w:tcPr>
            <w:tcW w:w="306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7"/>
              </w:rPr>
              <w:t>Date: March 29, 2022</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3"/>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Harvey S. Kanter</w:t>
            </w: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2"/>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Its: President, Chief Executive Officer</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Anthony J. Gaeta</w:t>
            </w:r>
          </w:p>
        </w:tc>
        <w:tc>
          <w:tcPr>
            <w:tcW w:w="306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7"/>
              </w:rPr>
              <w:t>Date: March 29, 2022</w:t>
            </w:r>
          </w:p>
        </w:tc>
      </w:tr>
      <w:tr>
        <w:trPr>
          <w:trHeight w:val="20"/>
        </w:trPr>
        <w:tc>
          <w:tcPr>
            <w:tcW w:w="26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89"/>
        </w:trPr>
        <w:tc>
          <w:tcPr>
            <w:tcW w:w="26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Anthony J. Gaeta</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RELEASE OF CLAIMS</w:t>
      </w:r>
    </w:p>
    <w:p>
      <w:pPr>
        <w:spacing w:after="0" w:line="2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i w:val="1"/>
          <w:iCs w:val="1"/>
          <w:color w:val="auto"/>
        </w:rPr>
        <w:t>GENERAL RELEASE OF CLAIMS</w:t>
      </w:r>
    </w:p>
    <w:p>
      <w:pPr>
        <w:spacing w:after="0" w:line="200" w:lineRule="exact"/>
        <w:rPr>
          <w:sz w:val="20"/>
          <w:szCs w:val="20"/>
          <w:color w:val="auto"/>
        </w:rPr>
      </w:pPr>
    </w:p>
    <w:p>
      <w:pPr>
        <w:spacing w:after="0" w:line="215" w:lineRule="exact"/>
        <w:rPr>
          <w:sz w:val="20"/>
          <w:szCs w:val="20"/>
          <w:color w:val="auto"/>
        </w:rPr>
      </w:pPr>
    </w:p>
    <w:p>
      <w:pPr>
        <w:ind w:firstLine="757"/>
        <w:spacing w:after="0" w:line="248" w:lineRule="auto"/>
        <w:tabs>
          <w:tab w:leader="none" w:pos="149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Anthony Gaeta,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as amended, to which a form of this release is attached as Exhibit A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does hereby release and forever discharge, to the maximum extent permitted by law, CMRG Apparel,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8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1" w:name="page42"/>
    <w:bookmarkEnd w:id="41"/>
    <w:p>
      <w:pPr>
        <w:spacing w:after="0" w:line="238" w:lineRule="auto"/>
        <w:rPr>
          <w:sz w:val="20"/>
          <w:szCs w:val="20"/>
          <w:color w:val="auto"/>
        </w:rPr>
      </w:pPr>
      <w:r>
        <w:rPr>
          <w:rFonts w:ascii="Times New Roman" w:cs="Times New Roman" w:eastAsia="Times New Roman" w:hAnsi="Times New Roman"/>
          <w:sz w:val="22"/>
          <w:szCs w:val="22"/>
          <w:color w:val="auto"/>
        </w:rPr>
        <w:t>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84" w:lineRule="exact"/>
        <w:rPr>
          <w:sz w:val="20"/>
          <w:szCs w:val="20"/>
          <w:color w:val="auto"/>
        </w:rPr>
      </w:pPr>
    </w:p>
    <w:p>
      <w:pPr>
        <w:jc w:val="both"/>
        <w:ind w:firstLine="757"/>
        <w:spacing w:after="0" w:line="255" w:lineRule="auto"/>
        <w:tabs>
          <w:tab w:leader="none" w:pos="149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Executive shall not have relinquished his right to commence a Proceeding to challenge whether Executive knowingly and voluntarily waived his rights under ADEA.</w:t>
      </w:r>
    </w:p>
    <w:p>
      <w:pPr>
        <w:spacing w:after="0" w:line="171" w:lineRule="exact"/>
        <w:rPr>
          <w:sz w:val="20"/>
          <w:szCs w:val="20"/>
          <w:color w:val="auto"/>
        </w:rPr>
      </w:pPr>
    </w:p>
    <w:p>
      <w:pPr>
        <w:ind w:left="980" w:hanging="223"/>
        <w:spacing w:after="0"/>
        <w:tabs>
          <w:tab w:leader="none" w:pos="9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757"/>
        <w:spacing w:after="0" w:line="238" w:lineRule="auto"/>
        <w:tabs>
          <w:tab w:leader="none" w:pos="10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 any corporation which is engaged in such</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both"/>
        <w:ind w:firstLine="851"/>
        <w:spacing w:after="0" w:line="258" w:lineRule="auto"/>
        <w:tabs>
          <w:tab w:leader="none" w:pos="115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7" w:lineRule="exact"/>
        <w:rPr>
          <w:rFonts w:ascii="Times New Roman" w:cs="Times New Roman" w:eastAsia="Times New Roman" w:hAnsi="Times New Roman"/>
          <w:sz w:val="21"/>
          <w:szCs w:val="21"/>
          <w:color w:val="auto"/>
        </w:rPr>
      </w:pPr>
    </w:p>
    <w:p>
      <w:pPr>
        <w:jc w:val="both"/>
        <w:ind w:firstLine="757"/>
        <w:spacing w:after="0" w:line="241" w:lineRule="auto"/>
        <w:tabs>
          <w:tab w:leader="none" w:pos="10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7" w:lineRule="exact"/>
        <w:rPr>
          <w:rFonts w:ascii="Times New Roman" w:cs="Times New Roman" w:eastAsia="Times New Roman" w:hAnsi="Times New Roman"/>
          <w:sz w:val="22"/>
          <w:szCs w:val="22"/>
          <w:color w:val="auto"/>
        </w:rPr>
      </w:pPr>
    </w:p>
    <w:p>
      <w:pPr>
        <w:jc w:val="both"/>
        <w:ind w:firstLine="757"/>
        <w:spacing w:after="0" w:line="243" w:lineRule="auto"/>
        <w:tabs>
          <w:tab w:leader="none" w:pos="107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0" w:lineRule="exact"/>
        <w:rPr>
          <w:sz w:val="20"/>
          <w:szCs w:val="20"/>
          <w:color w:val="auto"/>
        </w:rPr>
      </w:pPr>
    </w:p>
    <w:p>
      <w:pPr>
        <w:ind w:left="980" w:hanging="223"/>
        <w:spacing w:after="0"/>
        <w:tabs>
          <w:tab w:leader="none" w:pos="9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Discoveries.</w:t>
      </w:r>
    </w:p>
    <w:p>
      <w:pPr>
        <w:spacing w:after="0" w:line="251" w:lineRule="exact"/>
        <w:rPr>
          <w:sz w:val="20"/>
          <w:szCs w:val="20"/>
          <w:color w:val="auto"/>
        </w:rPr>
      </w:pPr>
    </w:p>
    <w:p>
      <w:pPr>
        <w:jc w:val="both"/>
        <w:ind w:firstLine="757"/>
        <w:spacing w:after="0"/>
        <w:tabs>
          <w:tab w:leader="none" w:pos="105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17" w:lineRule="exact"/>
        <w:rPr>
          <w:rFonts w:ascii="Times New Roman" w:cs="Times New Roman" w:eastAsia="Times New Roman" w:hAnsi="Times New Roman"/>
          <w:sz w:val="22"/>
          <w:szCs w:val="22"/>
          <w:color w:val="auto"/>
        </w:rPr>
      </w:pPr>
    </w:p>
    <w:p>
      <w:pPr>
        <w:jc w:val="both"/>
        <w:ind w:firstLine="8"/>
        <w:spacing w:after="0" w:line="238" w:lineRule="auto"/>
        <w:tabs>
          <w:tab w:leader="none" w:pos="31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line="259" w:lineRule="auto"/>
        <w:rPr>
          <w:sz w:val="20"/>
          <w:szCs w:val="20"/>
          <w:color w:val="auto"/>
        </w:rPr>
      </w:pPr>
      <w:r>
        <w:rPr>
          <w:rFonts w:ascii="Times New Roman" w:cs="Times New Roman" w:eastAsia="Times New Roman" w:hAnsi="Times New Roman"/>
          <w:sz w:val="22"/>
          <w:szCs w:val="22"/>
          <w:color w:val="auto"/>
        </w:rPr>
        <w:t>day (or portion thereof), plus out-of-pocket expenses incurred in rendering such assistance or giving or preparing to give such testimony.</w:t>
      </w:r>
    </w:p>
    <w:p>
      <w:pPr>
        <w:spacing w:after="0" w:line="193" w:lineRule="exact"/>
        <w:rPr>
          <w:sz w:val="20"/>
          <w:szCs w:val="20"/>
          <w:color w:val="auto"/>
        </w:rPr>
      </w:pPr>
    </w:p>
    <w:p>
      <w:pPr>
        <w:ind w:left="980" w:hanging="223"/>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Confidential Information.</w:t>
      </w:r>
    </w:p>
    <w:p>
      <w:pPr>
        <w:spacing w:after="0" w:line="251" w:lineRule="exact"/>
        <w:rPr>
          <w:sz w:val="20"/>
          <w:szCs w:val="20"/>
          <w:color w:val="auto"/>
        </w:rPr>
      </w:pPr>
    </w:p>
    <w:p>
      <w:pPr>
        <w:jc w:val="both"/>
        <w:ind w:firstLine="757"/>
        <w:spacing w:after="0" w:line="237" w:lineRule="auto"/>
        <w:tabs>
          <w:tab w:leader="none" w:pos="107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214" w:lineRule="exact"/>
        <w:rPr>
          <w:rFonts w:ascii="Times New Roman" w:cs="Times New Roman" w:eastAsia="Times New Roman" w:hAnsi="Times New Roman"/>
          <w:sz w:val="22"/>
          <w:szCs w:val="22"/>
          <w:color w:val="auto"/>
        </w:rPr>
      </w:pPr>
    </w:p>
    <w:p>
      <w:pPr>
        <w:jc w:val="both"/>
        <w:ind w:firstLine="757"/>
        <w:spacing w:after="0" w:line="243" w:lineRule="auto"/>
        <w:tabs>
          <w:tab w:leader="none" w:pos="105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17" w:lineRule="exact"/>
        <w:rPr>
          <w:rFonts w:ascii="Times New Roman" w:cs="Times New Roman" w:eastAsia="Times New Roman" w:hAnsi="Times New Roman"/>
          <w:sz w:val="22"/>
          <w:szCs w:val="22"/>
          <w:color w:val="auto"/>
        </w:rPr>
      </w:pPr>
    </w:p>
    <w:p>
      <w:pPr>
        <w:jc w:val="both"/>
        <w:ind w:firstLine="757"/>
        <w:spacing w:after="0" w:line="253" w:lineRule="auto"/>
        <w:tabs>
          <w:tab w:leader="none" w:pos="1048"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w:t>
      </w:r>
    </w:p>
    <w:p>
      <w:pPr>
        <w:spacing w:after="0" w:line="2" w:lineRule="exact"/>
        <w:rPr>
          <w:rFonts w:ascii="Times New Roman" w:cs="Times New Roman" w:eastAsia="Times New Roman" w:hAnsi="Times New Roman"/>
          <w:sz w:val="21"/>
          <w:szCs w:val="21"/>
          <w:color w:val="auto"/>
        </w:rPr>
      </w:pPr>
    </w:p>
    <w:p>
      <w:pPr>
        <w:ind w:right="20" w:firstLine="8"/>
        <w:spacing w:after="0" w:line="237" w:lineRule="auto"/>
        <w:tabs>
          <w:tab w:leader="none" w:pos="3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complaint or other document filed under seal in a lawsuit or other proceeding. Notwithstanding this immunity from liability, Executive may be held liable if Executive unlawfully accesses trade secrets by unauthorized means.</w:t>
      </w:r>
    </w:p>
    <w:p>
      <w:pPr>
        <w:spacing w:after="0" w:line="215" w:lineRule="exact"/>
        <w:rPr>
          <w:sz w:val="20"/>
          <w:szCs w:val="20"/>
          <w:color w:val="auto"/>
        </w:rPr>
      </w:pPr>
    </w:p>
    <w:p>
      <w:pPr>
        <w:ind w:firstLine="757"/>
        <w:spacing w:after="0" w:line="251" w:lineRule="auto"/>
        <w:tabs>
          <w:tab w:leader="none" w:pos="9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Executive agrees that if he breaches, or threatens to commit a breach of, any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paragraphs 3, 4 or 5 (the "Restrictive Covenants"), the</w:t>
      </w: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both"/>
        <w:spacing w:after="0" w:line="239" w:lineRule="auto"/>
        <w:rPr>
          <w:sz w:val="20"/>
          <w:szCs w:val="20"/>
          <w:color w:val="auto"/>
        </w:rPr>
      </w:pPr>
      <w:r>
        <w:rPr>
          <w:rFonts w:ascii="Times New Roman" w:cs="Times New Roman" w:eastAsia="Times New Roman" w:hAnsi="Times New Roman"/>
          <w:sz w:val="22"/>
          <w:szCs w:val="22"/>
          <w:color w:val="auto"/>
        </w:rPr>
        <w:t>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222" w:lineRule="exact"/>
        <w:rPr>
          <w:sz w:val="20"/>
          <w:szCs w:val="20"/>
          <w:color w:val="auto"/>
        </w:rPr>
      </w:pPr>
    </w:p>
    <w:p>
      <w:pPr>
        <w:jc w:val="both"/>
        <w:ind w:firstLine="757"/>
        <w:spacing w:after="0" w:line="238" w:lineRule="auto"/>
        <w:tabs>
          <w:tab w:leader="none" w:pos="97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83" w:lineRule="exact"/>
        <w:rPr>
          <w:rFonts w:ascii="Times New Roman" w:cs="Times New Roman" w:eastAsia="Times New Roman" w:hAnsi="Times New Roman"/>
          <w:sz w:val="22"/>
          <w:szCs w:val="22"/>
          <w:color w:val="auto"/>
        </w:rPr>
      </w:pPr>
    </w:p>
    <w:p>
      <w:pPr>
        <w:jc w:val="both"/>
        <w:ind w:firstLine="757"/>
        <w:spacing w:after="0" w:line="250" w:lineRule="auto"/>
        <w:tabs>
          <w:tab w:leader="none" w:pos="99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9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86" w:lineRule="exact"/>
        <w:rPr>
          <w:rFonts w:ascii="Times New Roman" w:cs="Times New Roman" w:eastAsia="Times New Roman" w:hAnsi="Times New Roman"/>
          <w:sz w:val="22"/>
          <w:szCs w:val="22"/>
          <w:color w:val="auto"/>
        </w:rPr>
      </w:pPr>
    </w:p>
    <w:p>
      <w:pPr>
        <w:jc w:val="both"/>
        <w:ind w:firstLine="757"/>
        <w:spacing w:after="0" w:line="250" w:lineRule="auto"/>
        <w:tabs>
          <w:tab w:leader="none" w:pos="108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Anthony Gaeta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10.5</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EMPLOYMENT AGREEMENT</w:t>
      </w:r>
    </w:p>
    <w:p>
      <w:pPr>
        <w:spacing w:after="0" w:line="200" w:lineRule="exact"/>
        <w:rPr>
          <w:sz w:val="20"/>
          <w:szCs w:val="20"/>
          <w:color w:val="auto"/>
        </w:rPr>
      </w:pPr>
    </w:p>
    <w:p>
      <w:pPr>
        <w:spacing w:after="0" w:line="2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This Amended and Restated Employment Agreement ("Agreement") is made effective as of March 6, 2022 (the “Effective Date”) between DESTINATION XL GROUP, INC. (the “Company”), a Delaware corporation with an office at 555 Turnpike Street, Canton, Massachusetts 02021 (“DXLG” which term includes any affiliates and subsidiaries), and ALLISON SURETTE (the “Executive”) having an address at 4 Freeport Drive, Burlington, MA 01803.</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33" w:lineRule="exact"/>
        <w:rPr>
          <w:sz w:val="20"/>
          <w:szCs w:val="20"/>
          <w:color w:val="auto"/>
        </w:rPr>
      </w:pPr>
    </w:p>
    <w:p>
      <w:pPr>
        <w:ind w:right="360" w:firstLine="449"/>
        <w:spacing w:after="0" w:line="271" w:lineRule="auto"/>
        <w:rPr>
          <w:sz w:val="20"/>
          <w:szCs w:val="20"/>
          <w:color w:val="auto"/>
        </w:rPr>
      </w:pPr>
      <w:r>
        <w:rPr>
          <w:rFonts w:ascii="Times New Roman" w:cs="Times New Roman" w:eastAsia="Times New Roman" w:hAnsi="Times New Roman"/>
          <w:sz w:val="22"/>
          <w:szCs w:val="22"/>
          <w:color w:val="auto"/>
        </w:rPr>
        <w:t>WHEREAS, the Company desires that Executive work for the Company and Executive desires to be so employed by the Company as its Chief Merchandising Officer.</w:t>
      </w:r>
    </w:p>
    <w:p>
      <w:pPr>
        <w:spacing w:after="0" w:line="171" w:lineRule="exact"/>
        <w:rPr>
          <w:sz w:val="20"/>
          <w:szCs w:val="20"/>
          <w:color w:val="auto"/>
        </w:rPr>
      </w:pPr>
    </w:p>
    <w:p>
      <w:pPr>
        <w:ind w:right="960" w:firstLine="449"/>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desire to set forth in writing the terms and conditions of the Executive's employment with the Company from the date hereof.</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promises, representations and covenants herein contained, the parties hereto agree as follows:</w:t>
      </w:r>
    </w:p>
    <w:p>
      <w:pPr>
        <w:spacing w:after="0" w:line="199" w:lineRule="exact"/>
        <w:rPr>
          <w:sz w:val="20"/>
          <w:szCs w:val="20"/>
          <w:color w:val="auto"/>
        </w:rPr>
      </w:pPr>
    </w:p>
    <w:p>
      <w:pPr>
        <w:ind w:left="700" w:hanging="224"/>
        <w:spacing w:after="0"/>
        <w:tabs>
          <w:tab w:leader="none" w:pos="7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p>
    <w:p>
      <w:pPr>
        <w:spacing w:after="0" w:line="247" w:lineRule="exact"/>
        <w:rPr>
          <w:sz w:val="20"/>
          <w:szCs w:val="20"/>
          <w:color w:val="auto"/>
        </w:rPr>
      </w:pPr>
    </w:p>
    <w:p>
      <w:pPr>
        <w:ind w:right="460" w:firstLine="843"/>
        <w:spacing w:after="0" w:line="258" w:lineRule="auto"/>
        <w:rPr>
          <w:sz w:val="20"/>
          <w:szCs w:val="20"/>
          <w:color w:val="auto"/>
        </w:rPr>
      </w:pPr>
      <w:r>
        <w:rPr>
          <w:rFonts w:ascii="Times New Roman" w:cs="Times New Roman" w:eastAsia="Times New Roman" w:hAnsi="Times New Roman"/>
          <w:sz w:val="22"/>
          <w:szCs w:val="22"/>
          <w:color w:val="auto"/>
        </w:rPr>
        <w:t>The Company hereby employs Executive and Executive hereby accepts such employment, subject to the terms and conditions herein set forth.</w:t>
      </w:r>
    </w:p>
    <w:p>
      <w:pPr>
        <w:spacing w:after="0" w:line="199" w:lineRule="exact"/>
        <w:rPr>
          <w:sz w:val="20"/>
          <w:szCs w:val="20"/>
          <w:color w:val="auto"/>
        </w:rPr>
      </w:pPr>
    </w:p>
    <w:p>
      <w:pPr>
        <w:ind w:left="220" w:hanging="212"/>
        <w:spacing w:after="0"/>
        <w:tabs>
          <w:tab w:leader="none" w:pos="2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47" w:lineRule="exact"/>
        <w:rPr>
          <w:sz w:val="20"/>
          <w:szCs w:val="20"/>
          <w:color w:val="auto"/>
        </w:rPr>
      </w:pPr>
    </w:p>
    <w:p>
      <w:pPr>
        <w:ind w:right="40" w:firstLine="843"/>
        <w:spacing w:after="0" w:line="258" w:lineRule="auto"/>
        <w:rPr>
          <w:sz w:val="20"/>
          <w:szCs w:val="20"/>
          <w:color w:val="auto"/>
        </w:rPr>
      </w:pPr>
      <w:r>
        <w:rPr>
          <w:rFonts w:ascii="Times New Roman" w:cs="Times New Roman" w:eastAsia="Times New Roman" w:hAnsi="Times New Roman"/>
          <w:sz w:val="22"/>
          <w:szCs w:val="22"/>
          <w:color w:val="auto"/>
        </w:rPr>
        <w:t>The term of employment under this Agreement (the “Term of Employment”) shall begin on the Effective Date and shall continue until terminated by either party as hereinafter set forth.</w:t>
      </w:r>
    </w:p>
    <w:p>
      <w:pPr>
        <w:spacing w:after="0" w:line="199" w:lineRule="exact"/>
        <w:rPr>
          <w:sz w:val="20"/>
          <w:szCs w:val="20"/>
          <w:color w:val="auto"/>
        </w:rPr>
      </w:pPr>
    </w:p>
    <w:p>
      <w:pPr>
        <w:ind w:left="220" w:hanging="212"/>
        <w:spacing w:after="0"/>
        <w:tabs>
          <w:tab w:leader="none" w:pos="2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46" w:lineRule="exact"/>
        <w:rPr>
          <w:rFonts w:ascii="Times New Roman" w:cs="Times New Roman" w:eastAsia="Times New Roman" w:hAnsi="Times New Roman"/>
          <w:sz w:val="22"/>
          <w:szCs w:val="22"/>
          <w:color w:val="auto"/>
        </w:rPr>
      </w:pPr>
    </w:p>
    <w:p>
      <w:pPr>
        <w:ind w:right="180" w:firstLine="757"/>
        <w:spacing w:after="0" w:line="238" w:lineRule="auto"/>
        <w:tabs>
          <w:tab w:leader="none" w:pos="104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Fourteen Thousand Dollars and 00/100 Cents ($314,000.00)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223" w:lineRule="exact"/>
        <w:rPr>
          <w:sz w:val="20"/>
          <w:szCs w:val="20"/>
          <w:color w:val="auto"/>
        </w:rPr>
      </w:pPr>
    </w:p>
    <w:p>
      <w:pPr>
        <w:jc w:val="both"/>
        <w:ind w:firstLine="8"/>
        <w:spacing w:after="0" w:line="241" w:lineRule="auto"/>
        <w:tabs>
          <w:tab w:leader="none" w:pos="3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50% of Executive’s actual annual base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jc w:val="both"/>
        <w:spacing w:after="0" w:line="244" w:lineRule="auto"/>
        <w:rPr>
          <w:sz w:val="20"/>
          <w:szCs w:val="20"/>
          <w:color w:val="auto"/>
        </w:rPr>
      </w:pPr>
      <w:r>
        <w:rPr>
          <w:rFonts w:ascii="Times New Roman" w:cs="Times New Roman" w:eastAsia="Times New Roman" w:hAnsi="Times New Roman"/>
          <w:sz w:val="22"/>
          <w:szCs w:val="22"/>
          <w:color w:val="auto"/>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14" w:lineRule="exact"/>
        <w:rPr>
          <w:sz w:val="20"/>
          <w:szCs w:val="20"/>
          <w:color w:val="auto"/>
        </w:rPr>
      </w:pPr>
    </w:p>
    <w:p>
      <w:pPr>
        <w:jc w:val="both"/>
        <w:ind w:firstLine="8"/>
        <w:spacing w:after="0" w:line="241" w:lineRule="auto"/>
        <w:tabs>
          <w:tab w:leader="none" w:pos="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217" w:lineRule="exact"/>
        <w:rPr>
          <w:sz w:val="20"/>
          <w:szCs w:val="20"/>
          <w:color w:val="auto"/>
        </w:rPr>
      </w:pPr>
    </w:p>
    <w:p>
      <w:pPr>
        <w:ind w:left="220" w:hanging="212"/>
        <w:spacing w:after="0"/>
        <w:tabs>
          <w:tab w:leader="none" w:pos="2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18" w:lineRule="exact"/>
        <w:rPr>
          <w:sz w:val="20"/>
          <w:szCs w:val="20"/>
          <w:color w:val="auto"/>
        </w:rPr>
      </w:pPr>
    </w:p>
    <w:p>
      <w:pPr>
        <w:ind w:left="220" w:hanging="212"/>
        <w:spacing w:after="0"/>
        <w:tabs>
          <w:tab w:leader="none" w:pos="2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p>
    <w:p>
      <w:pPr>
        <w:spacing w:after="0" w:line="246" w:lineRule="exact"/>
        <w:rPr>
          <w:rFonts w:ascii="Times New Roman" w:cs="Times New Roman" w:eastAsia="Times New Roman" w:hAnsi="Times New Roman"/>
          <w:sz w:val="22"/>
          <w:szCs w:val="22"/>
          <w:color w:val="auto"/>
        </w:rPr>
      </w:pPr>
    </w:p>
    <w:p>
      <w:pPr>
        <w:jc w:val="both"/>
        <w:ind w:firstLine="906"/>
        <w:spacing w:after="0"/>
        <w:tabs>
          <w:tab w:leader="none" w:pos="119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20" w:lineRule="exact"/>
        <w:rPr>
          <w:rFonts w:ascii="Times New Roman" w:cs="Times New Roman" w:eastAsia="Times New Roman" w:hAnsi="Times New Roman"/>
          <w:sz w:val="22"/>
          <w:szCs w:val="22"/>
          <w:color w:val="auto"/>
        </w:rPr>
      </w:pPr>
    </w:p>
    <w:p>
      <w:pPr>
        <w:jc w:val="both"/>
        <w:ind w:firstLine="906"/>
        <w:spacing w:after="0" w:line="243" w:lineRule="auto"/>
        <w:tabs>
          <w:tab w:leader="none" w:pos="179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204" w:lineRule="exact"/>
        <w:rPr>
          <w:sz w:val="20"/>
          <w:szCs w:val="20"/>
          <w:color w:val="auto"/>
        </w:rPr>
      </w:pPr>
    </w:p>
    <w:p>
      <w:pPr>
        <w:ind w:left="1220" w:hanging="314"/>
        <w:spacing w:after="0"/>
        <w:tabs>
          <w:tab w:leader="none" w:pos="12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eligible to participate in the Company’s annual performance appraisal process.</w:t>
      </w:r>
    </w:p>
    <w:p>
      <w:pPr>
        <w:spacing w:after="0" w:line="246" w:lineRule="exact"/>
        <w:rPr>
          <w:rFonts w:ascii="Times New Roman" w:cs="Times New Roman" w:eastAsia="Times New Roman" w:hAnsi="Times New Roman"/>
          <w:sz w:val="22"/>
          <w:szCs w:val="22"/>
          <w:color w:val="auto"/>
        </w:rPr>
      </w:pPr>
    </w:p>
    <w:p>
      <w:pPr>
        <w:ind w:left="1020" w:hanging="210"/>
        <w:spacing w:after="0"/>
        <w:tabs>
          <w:tab w:leader="none" w:pos="10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both"/>
        <w:ind w:firstLine="757"/>
        <w:spacing w:after="0" w:line="251" w:lineRule="auto"/>
        <w:tabs>
          <w:tab w:leader="none" w:pos="104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such duties and functions consistent with the position of Chief Merchandising Officer and/or as the Company shall from time to time determine and Executive shall comply in the performance of her duties with the policies of, and be subject to the direction of the Company.</w:t>
      </w:r>
    </w:p>
    <w:p>
      <w:pPr>
        <w:spacing w:after="0" w:line="205" w:lineRule="exact"/>
        <w:rPr>
          <w:rFonts w:ascii="Times New Roman" w:cs="Times New Roman" w:eastAsia="Times New Roman" w:hAnsi="Times New Roman"/>
          <w:sz w:val="22"/>
          <w:szCs w:val="22"/>
          <w:color w:val="auto"/>
        </w:rPr>
      </w:pPr>
    </w:p>
    <w:p>
      <w:pPr>
        <w:jc w:val="both"/>
        <w:ind w:firstLine="757"/>
        <w:spacing w:after="0" w:line="241" w:lineRule="auto"/>
        <w:tabs>
          <w:tab w:leader="none" w:pos="105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her duties hereunder and do not violate paragraph 10 hereof.</w:t>
      </w:r>
    </w:p>
    <w:p>
      <w:pPr>
        <w:spacing w:after="0" w:line="203" w:lineRule="exact"/>
        <w:rPr>
          <w:rFonts w:ascii="Times New Roman" w:cs="Times New Roman" w:eastAsia="Times New Roman" w:hAnsi="Times New Roman"/>
          <w:sz w:val="22"/>
          <w:szCs w:val="22"/>
          <w:color w:val="auto"/>
        </w:rPr>
      </w:pPr>
    </w:p>
    <w:p>
      <w:pPr>
        <w:ind w:right="100" w:firstLine="757"/>
        <w:spacing w:after="0" w:line="244" w:lineRule="auto"/>
        <w:tabs>
          <w:tab w:leader="none" w:pos="104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213" w:lineRule="exact"/>
        <w:rPr>
          <w:sz w:val="20"/>
          <w:szCs w:val="20"/>
          <w:color w:val="auto"/>
        </w:rPr>
      </w:pPr>
    </w:p>
    <w:p>
      <w:pPr>
        <w:ind w:left="980" w:hanging="223"/>
        <w:spacing w:after="0"/>
        <w:tabs>
          <w:tab w:leader="none" w:pos="9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EFFECT OF TERMINATION</w:t>
      </w:r>
    </w:p>
    <w:p>
      <w:pPr>
        <w:spacing w:after="0" w:line="246" w:lineRule="exact"/>
        <w:rPr>
          <w:rFonts w:ascii="Times New Roman" w:cs="Times New Roman" w:eastAsia="Times New Roman" w:hAnsi="Times New Roman"/>
          <w:sz w:val="22"/>
          <w:szCs w:val="22"/>
          <w:color w:val="auto"/>
        </w:rPr>
      </w:pPr>
    </w:p>
    <w:p>
      <w:pPr>
        <w:ind w:left="1200" w:hanging="294"/>
        <w:spacing w:after="0"/>
        <w:tabs>
          <w:tab w:leader="none" w:pos="120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may be terminated by the Company at any time:</w:t>
      </w:r>
    </w:p>
    <w:p>
      <w:pPr>
        <w:spacing w:after="0" w:line="246" w:lineRule="exact"/>
        <w:rPr>
          <w:rFonts w:ascii="Times New Roman" w:cs="Times New Roman" w:eastAsia="Times New Roman" w:hAnsi="Times New Roman"/>
          <w:sz w:val="22"/>
          <w:szCs w:val="22"/>
          <w:color w:val="auto"/>
        </w:rPr>
      </w:pPr>
    </w:p>
    <w:p>
      <w:pPr>
        <w:jc w:val="both"/>
        <w:ind w:firstLine="1356"/>
        <w:spacing w:after="0" w:line="244" w:lineRule="auto"/>
        <w:tabs>
          <w:tab w:leader="none" w:pos="1658"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3" w:lineRule="exact"/>
        <w:rPr>
          <w:rFonts w:ascii="Times New Roman" w:cs="Times New Roman" w:eastAsia="Times New Roman" w:hAnsi="Times New Roman"/>
          <w:sz w:val="22"/>
          <w:szCs w:val="22"/>
          <w:color w:val="auto"/>
        </w:rPr>
      </w:pPr>
    </w:p>
    <w:p>
      <w:pPr>
        <w:ind w:left="1680" w:hanging="324"/>
        <w:spacing w:after="0"/>
        <w:tabs>
          <w:tab w:leader="none" w:pos="168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of the Company that there is justifiable cause (as hereinafter defined) for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222" w:lineRule="exact"/>
        <w:rPr>
          <w:rFonts w:ascii="Times New Roman" w:cs="Times New Roman" w:eastAsia="Times New Roman" w:hAnsi="Times New Roman"/>
          <w:sz w:val="22"/>
          <w:szCs w:val="22"/>
          <w:color w:val="auto"/>
        </w:rPr>
      </w:pPr>
    </w:p>
    <w:p>
      <w:pPr>
        <w:ind w:left="1220" w:hanging="314"/>
        <w:spacing w:after="0"/>
        <w:tabs>
          <w:tab w:leader="none" w:pos="122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shall terminate upon:</w:t>
      </w:r>
    </w:p>
    <w:p>
      <w:pPr>
        <w:spacing w:after="0" w:line="246" w:lineRule="exact"/>
        <w:rPr>
          <w:rFonts w:ascii="Times New Roman" w:cs="Times New Roman" w:eastAsia="Times New Roman" w:hAnsi="Times New Roman"/>
          <w:sz w:val="22"/>
          <w:szCs w:val="22"/>
          <w:color w:val="auto"/>
        </w:rPr>
      </w:pPr>
    </w:p>
    <w:p>
      <w:pPr>
        <w:ind w:left="1620" w:hanging="265"/>
        <w:spacing w:after="0"/>
        <w:tabs>
          <w:tab w:leader="none" w:pos="162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Executive;</w:t>
      </w:r>
    </w:p>
    <w:p>
      <w:pPr>
        <w:spacing w:after="0" w:line="247" w:lineRule="exact"/>
        <w:rPr>
          <w:sz w:val="20"/>
          <w:szCs w:val="20"/>
          <w:color w:val="auto"/>
        </w:rPr>
      </w:pPr>
    </w:p>
    <w:p>
      <w:pPr>
        <w:ind w:right="860" w:firstLine="757"/>
        <w:spacing w:after="0" w:line="258" w:lineRule="auto"/>
        <w:tabs>
          <w:tab w:leader="none" w:pos="106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elects to terminate the Term of Employment by reason of the "disability" of Executive (as hereinafter defined in subsection (c) herein) pursuant to subsection (g) hereof; or</w:t>
      </w:r>
    </w:p>
    <w:p>
      <w:pPr>
        <w:spacing w:after="0" w:line="198" w:lineRule="exact"/>
        <w:rPr>
          <w:rFonts w:ascii="Times New Roman" w:cs="Times New Roman" w:eastAsia="Times New Roman" w:hAnsi="Times New Roman"/>
          <w:sz w:val="22"/>
          <w:szCs w:val="22"/>
          <w:color w:val="auto"/>
        </w:rPr>
      </w:pPr>
    </w:p>
    <w:p>
      <w:pPr>
        <w:ind w:left="1740" w:hanging="385"/>
        <w:spacing w:after="0"/>
        <w:tabs>
          <w:tab w:leader="none" w:pos="174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resignation of employment.</w:t>
      </w:r>
    </w:p>
    <w:p>
      <w:pPr>
        <w:spacing w:after="0" w:line="233" w:lineRule="exact"/>
        <w:rPr>
          <w:rFonts w:ascii="Times New Roman" w:cs="Times New Roman" w:eastAsia="Times New Roman" w:hAnsi="Times New Roman"/>
          <w:sz w:val="22"/>
          <w:szCs w:val="22"/>
          <w:color w:val="auto"/>
        </w:rPr>
      </w:pPr>
    </w:p>
    <w:p>
      <w:pPr>
        <w:jc w:val="both"/>
        <w:ind w:firstLine="944"/>
        <w:spacing w:after="0" w:line="247" w:lineRule="auto"/>
        <w:tabs>
          <w:tab w:leader="none" w:pos="129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firstLine="906"/>
        <w:spacing w:after="0" w:line="238" w:lineRule="auto"/>
        <w:tabs>
          <w:tab w:leader="none" w:pos="1212"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her termination of employment.</w:t>
      </w:r>
    </w:p>
    <w:p>
      <w:pPr>
        <w:spacing w:after="0" w:line="221" w:lineRule="exact"/>
        <w:rPr>
          <w:rFonts w:ascii="Times New Roman" w:cs="Times New Roman" w:eastAsia="Times New Roman" w:hAnsi="Times New Roman"/>
          <w:sz w:val="22"/>
          <w:szCs w:val="22"/>
          <w:color w:val="auto"/>
        </w:rPr>
      </w:pPr>
    </w:p>
    <w:p>
      <w:pPr>
        <w:jc w:val="both"/>
        <w:ind w:firstLine="757"/>
        <w:spacing w:after="0" w:line="260" w:lineRule="auto"/>
        <w:tabs>
          <w:tab w:leader="none" w:pos="1045"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terminates this Agreement without "justifiable cause" as provided in subsection 7(a)(i), the Company shall pay Executive her then current base salary for six months (that is, the one month notice period referenced in Paragraph 7(a)</w:t>
      </w:r>
    </w:p>
    <w:p>
      <w:pPr>
        <w:jc w:val="both"/>
        <w:ind w:firstLine="8"/>
        <w:spacing w:after="0" w:line="235" w:lineRule="auto"/>
        <w:tabs>
          <w:tab w:leader="none" w:pos="27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225" w:lineRule="exact"/>
        <w:rPr>
          <w:rFonts w:ascii="Times New Roman" w:cs="Times New Roman" w:eastAsia="Times New Roman" w:hAnsi="Times New Roman"/>
          <w:sz w:val="22"/>
          <w:szCs w:val="22"/>
          <w:color w:val="auto"/>
        </w:rPr>
      </w:pPr>
    </w:p>
    <w:p>
      <w:pPr>
        <w:jc w:val="both"/>
        <w:ind w:firstLine="906"/>
        <w:spacing w:after="0" w:line="250" w:lineRule="auto"/>
        <w:tabs>
          <w:tab w:leader="none" w:pos="1171"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208" w:lineRule="exact"/>
        <w:rPr>
          <w:rFonts w:ascii="Times New Roman" w:cs="Times New Roman" w:eastAsia="Times New Roman" w:hAnsi="Times New Roman"/>
          <w:sz w:val="22"/>
          <w:szCs w:val="22"/>
          <w:color w:val="auto"/>
        </w:rPr>
      </w:pPr>
    </w:p>
    <w:p>
      <w:pPr>
        <w:jc w:val="both"/>
        <w:ind w:firstLine="906"/>
        <w:spacing w:after="0" w:line="244" w:lineRule="auto"/>
        <w:tabs>
          <w:tab w:leader="none" w:pos="1258"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199" w:lineRule="exact"/>
        <w:rPr>
          <w:rFonts w:ascii="Times New Roman" w:cs="Times New Roman" w:eastAsia="Times New Roman" w:hAnsi="Times New Roman"/>
          <w:sz w:val="22"/>
          <w:szCs w:val="22"/>
          <w:color w:val="auto"/>
        </w:rPr>
      </w:pPr>
    </w:p>
    <w:p>
      <w:pPr>
        <w:ind w:left="1220" w:hanging="314"/>
        <w:spacing w:after="0"/>
        <w:tabs>
          <w:tab w:leader="none" w:pos="122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resignation of Executive in any capacity, that resignation will be deemed to be a resignation from all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offices and positions that Executive holds with respect to the</w:t>
      </w: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ind w:right="80"/>
        <w:spacing w:after="0" w:line="251" w:lineRule="auto"/>
        <w:rPr>
          <w:sz w:val="20"/>
          <w:szCs w:val="20"/>
          <w:color w:val="auto"/>
        </w:rPr>
      </w:pPr>
      <w:r>
        <w:rPr>
          <w:rFonts w:ascii="Times New Roman" w:cs="Times New Roman" w:eastAsia="Times New Roman" w:hAnsi="Times New Roman"/>
          <w:sz w:val="22"/>
          <w:szCs w:val="22"/>
          <w:color w:val="auto"/>
        </w:rPr>
        <w:t>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206" w:lineRule="exact"/>
        <w:rPr>
          <w:sz w:val="20"/>
          <w:szCs w:val="20"/>
          <w:color w:val="auto"/>
        </w:rPr>
      </w:pPr>
    </w:p>
    <w:p>
      <w:pPr>
        <w:ind w:right="60" w:firstLine="906"/>
        <w:spacing w:after="0" w:line="248" w:lineRule="auto"/>
        <w:tabs>
          <w:tab w:leader="none" w:pos="115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213" w:lineRule="exact"/>
        <w:rPr>
          <w:rFonts w:ascii="Times New Roman" w:cs="Times New Roman" w:eastAsia="Times New Roman" w:hAnsi="Times New Roman"/>
          <w:sz w:val="21"/>
          <w:szCs w:val="21"/>
          <w:color w:val="auto"/>
        </w:rPr>
      </w:pPr>
    </w:p>
    <w:p>
      <w:pPr>
        <w:ind w:firstLine="8"/>
        <w:spacing w:after="0" w:line="271" w:lineRule="auto"/>
        <w:tabs>
          <w:tab w:leader="none" w:pos="27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of Certain Compensation and Benefits. If, after the termination of the Term of Employment for any reason other than by the Company for “justifiable cause”:</w:t>
      </w:r>
    </w:p>
    <w:p>
      <w:pPr>
        <w:spacing w:after="0" w:line="144" w:lineRule="exact"/>
        <w:rPr>
          <w:sz w:val="20"/>
          <w:szCs w:val="20"/>
          <w:color w:val="auto"/>
        </w:rPr>
      </w:pPr>
    </w:p>
    <w:p>
      <w:pPr>
        <w:jc w:val="both"/>
        <w:ind w:firstLine="1779"/>
        <w:spacing w:after="0" w:line="243" w:lineRule="auto"/>
        <w:rPr>
          <w:sz w:val="20"/>
          <w:szCs w:val="20"/>
          <w:color w:val="auto"/>
        </w:rPr>
      </w:pPr>
      <w:r>
        <w:rPr>
          <w:rFonts w:ascii="Times New Roman" w:cs="Times New Roman" w:eastAsia="Times New Roman" w:hAnsi="Times New Roman"/>
          <w:sz w:val="22"/>
          <w:szCs w:val="22"/>
          <w:color w:val="auto"/>
        </w:rPr>
        <w:t>A.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77" w:lineRule="exact"/>
        <w:rPr>
          <w:sz w:val="20"/>
          <w:szCs w:val="20"/>
          <w:color w:val="auto"/>
        </w:rPr>
      </w:pPr>
    </w:p>
    <w:p>
      <w:pPr>
        <w:jc w:val="both"/>
        <w:ind w:firstLine="1779"/>
        <w:spacing w:after="0" w:line="244" w:lineRule="auto"/>
        <w:rPr>
          <w:sz w:val="20"/>
          <w:szCs w:val="20"/>
          <w:color w:val="auto"/>
        </w:rPr>
      </w:pPr>
      <w:r>
        <w:rPr>
          <w:rFonts w:ascii="Times New Roman" w:cs="Times New Roman" w:eastAsia="Times New Roman" w:hAnsi="Times New Roman"/>
          <w:sz w:val="22"/>
          <w:szCs w:val="22"/>
          <w:color w:val="auto"/>
        </w:rPr>
        <w:t>B. 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86" w:lineRule="exact"/>
        <w:rPr>
          <w:sz w:val="20"/>
          <w:szCs w:val="20"/>
          <w:color w:val="auto"/>
        </w:rPr>
      </w:pPr>
    </w:p>
    <w:p>
      <w:pPr>
        <w:jc w:val="both"/>
        <w:ind w:firstLine="2995"/>
        <w:spacing w:after="0" w:line="258" w:lineRule="auto"/>
        <w:rPr>
          <w:sz w:val="20"/>
          <w:szCs w:val="20"/>
          <w:color w:val="auto"/>
        </w:rPr>
      </w:pPr>
      <w:r>
        <w:rPr>
          <w:rFonts w:ascii="Times New Roman" w:cs="Times New Roman" w:eastAsia="Times New Roman" w:hAnsi="Times New Roman"/>
          <w:sz w:val="22"/>
          <w:szCs w:val="22"/>
          <w:color w:val="auto"/>
        </w:rPr>
        <w:t>1) the Executive shall be required to pay to the Company, immediately upon written demand by the Company, all amounts paid to Executive by the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jc w:val="both"/>
        <w:spacing w:after="0" w:line="244" w:lineRule="auto"/>
        <w:rPr>
          <w:sz w:val="20"/>
          <w:szCs w:val="20"/>
          <w:color w:val="auto"/>
        </w:rPr>
      </w:pPr>
      <w:r>
        <w:rPr>
          <w:rFonts w:ascii="Times New Roman" w:cs="Times New Roman" w:eastAsia="Times New Roman" w:hAnsi="Times New Roman"/>
          <w:sz w:val="22"/>
          <w:szCs w:val="22"/>
          <w:color w:val="auto"/>
        </w:rPr>
        <w:t>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2)</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all vested and unvested Awards (as that term is defined in</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2016 Incentive Compensation Plan) then held by the Executive shall immediately expire; and</w:t>
            </w:r>
          </w:p>
        </w:tc>
      </w:tr>
      <w:tr>
        <w:trPr>
          <w:trHeight w:val="457"/>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3)</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the Executive shall be required to pay to the Company,</w:t>
            </w: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94" w:lineRule="exact"/>
        <w:rPr>
          <w:sz w:val="20"/>
          <w:szCs w:val="20"/>
          <w:color w:val="auto"/>
        </w:rPr>
      </w:pPr>
    </w:p>
    <w:p>
      <w:pPr>
        <w:ind w:right="100" w:firstLine="906"/>
        <w:spacing w:after="0" w:line="244" w:lineRule="auto"/>
        <w:tabs>
          <w:tab w:leader="none" w:pos="120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spacing w:after="0" w:line="173" w:lineRule="exact"/>
        <w:rPr>
          <w:rFonts w:ascii="Times New Roman" w:cs="Times New Roman" w:eastAsia="Times New Roman" w:hAnsi="Times New Roman"/>
          <w:sz w:val="22"/>
          <w:szCs w:val="22"/>
          <w:color w:val="auto"/>
        </w:rPr>
      </w:pPr>
    </w:p>
    <w:p>
      <w:pPr>
        <w:ind w:left="980" w:hanging="223"/>
        <w:spacing w:after="0"/>
        <w:tabs>
          <w:tab w:leader="none" w:pos="9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p>
    <w:p>
      <w:pPr>
        <w:spacing w:after="0" w:line="220" w:lineRule="exact"/>
        <w:rPr>
          <w:sz w:val="20"/>
          <w:szCs w:val="20"/>
          <w:color w:val="auto"/>
        </w:rPr>
      </w:pPr>
    </w:p>
    <w:p>
      <w:pPr>
        <w:jc w:val="both"/>
        <w:ind w:firstLine="757"/>
        <w:spacing w:after="0" w:line="239" w:lineRule="auto"/>
        <w:tabs>
          <w:tab w:leader="none" w:pos="104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80" w:lineRule="exact"/>
        <w:rPr>
          <w:rFonts w:ascii="Times New Roman" w:cs="Times New Roman" w:eastAsia="Times New Roman" w:hAnsi="Times New Roman"/>
          <w:sz w:val="22"/>
          <w:szCs w:val="22"/>
          <w:color w:val="auto"/>
        </w:rPr>
      </w:pPr>
    </w:p>
    <w:p>
      <w:pPr>
        <w:jc w:val="both"/>
        <w:ind w:firstLine="757"/>
        <w:spacing w:after="0" w:line="250" w:lineRule="auto"/>
        <w:tabs>
          <w:tab w:leader="none" w:pos="106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1060" w:hanging="303"/>
        <w:spacing w:after="0"/>
        <w:tabs>
          <w:tab w:leader="none" w:pos="1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 Delay for “Specified Employees”.</w:t>
      </w:r>
    </w:p>
    <w:p>
      <w:pPr>
        <w:spacing w:after="0" w:line="206" w:lineRule="exact"/>
        <w:rPr>
          <w:rFonts w:ascii="Times New Roman" w:cs="Times New Roman" w:eastAsia="Times New Roman" w:hAnsi="Times New Roman"/>
          <w:sz w:val="22"/>
          <w:szCs w:val="22"/>
          <w:color w:val="auto"/>
        </w:rPr>
      </w:pPr>
    </w:p>
    <w:p>
      <w:pPr>
        <w:ind w:firstLine="1505"/>
        <w:spacing w:after="0" w:line="253" w:lineRule="auto"/>
        <w:tabs>
          <w:tab w:leader="none" w:pos="175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92" w:lineRule="exact"/>
        <w:rPr>
          <w:rFonts w:ascii="Times New Roman" w:cs="Times New Roman" w:eastAsia="Times New Roman" w:hAnsi="Times New Roman"/>
          <w:sz w:val="21"/>
          <w:szCs w:val="21"/>
          <w:color w:val="auto"/>
        </w:rPr>
      </w:pPr>
    </w:p>
    <w:p>
      <w:pPr>
        <w:jc w:val="both"/>
        <w:ind w:firstLine="1505"/>
        <w:spacing w:after="0" w:line="244" w:lineRule="auto"/>
        <w:tabs>
          <w:tab w:leader="none" w:pos="1819"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0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2" w:lineRule="exact"/>
        <w:rPr>
          <w:rFonts w:ascii="Times New Roman" w:cs="Times New Roman" w:eastAsia="Times New Roman" w:hAnsi="Times New Roman"/>
          <w:sz w:val="22"/>
          <w:szCs w:val="22"/>
          <w:color w:val="auto"/>
        </w:rPr>
      </w:pPr>
    </w:p>
    <w:p>
      <w:pPr>
        <w:jc w:val="both"/>
        <w:ind w:firstLine="757"/>
        <w:spacing w:after="0" w:line="248" w:lineRule="auto"/>
        <w:tabs>
          <w:tab w:leader="none" w:pos="10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6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Taxable Reimbursements.</w:t>
      </w:r>
    </w:p>
    <w:p>
      <w:pPr>
        <w:spacing w:after="0" w:line="206" w:lineRule="exact"/>
        <w:rPr>
          <w:rFonts w:ascii="Times New Roman" w:cs="Times New Roman" w:eastAsia="Times New Roman" w:hAnsi="Times New Roman"/>
          <w:sz w:val="22"/>
          <w:szCs w:val="22"/>
          <w:color w:val="auto"/>
        </w:rPr>
      </w:pPr>
    </w:p>
    <w:p>
      <w:pPr>
        <w:jc w:val="both"/>
        <w:ind w:firstLine="1505"/>
        <w:spacing w:after="0" w:line="248" w:lineRule="auto"/>
        <w:tabs>
          <w:tab w:leader="none" w:pos="1769"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69" w:lineRule="exact"/>
        <w:rPr>
          <w:rFonts w:ascii="Times New Roman" w:cs="Times New Roman" w:eastAsia="Times New Roman" w:hAnsi="Times New Roman"/>
          <w:sz w:val="22"/>
          <w:szCs w:val="22"/>
          <w:color w:val="auto"/>
        </w:rPr>
      </w:pPr>
    </w:p>
    <w:p>
      <w:pPr>
        <w:ind w:firstLine="1505"/>
        <w:spacing w:after="0" w:line="282" w:lineRule="auto"/>
        <w:tabs>
          <w:tab w:leader="none" w:pos="1823"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48" w:lineRule="exact"/>
        <w:rPr>
          <w:rFonts w:ascii="Times New Roman" w:cs="Times New Roman" w:eastAsia="Times New Roman" w:hAnsi="Times New Roman"/>
          <w:sz w:val="21"/>
          <w:szCs w:val="21"/>
          <w:color w:val="auto"/>
        </w:rPr>
      </w:pPr>
    </w:p>
    <w:p>
      <w:pPr>
        <w:ind w:left="1880" w:hanging="375"/>
        <w:spacing w:after="0"/>
        <w:tabs>
          <w:tab w:leader="none" w:pos="188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Taxable Reimbursements shall not be subject to liquidation or exchange for another benefit.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left="980" w:hanging="223"/>
        <w:spacing w:after="0"/>
        <w:tabs>
          <w:tab w:leader="none" w:pos="98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AND AGREEMENTS OF EXECUTIVE</w:t>
      </w:r>
    </w:p>
    <w:p>
      <w:pPr>
        <w:spacing w:after="0" w:line="247" w:lineRule="exact"/>
        <w:rPr>
          <w:rFonts w:ascii="Times New Roman" w:cs="Times New Roman" w:eastAsia="Times New Roman" w:hAnsi="Times New Roman"/>
          <w:sz w:val="22"/>
          <w:szCs w:val="22"/>
          <w:color w:val="auto"/>
        </w:rPr>
      </w:pPr>
    </w:p>
    <w:p>
      <w:pPr>
        <w:jc w:val="both"/>
        <w:ind w:firstLine="8"/>
        <w:spacing w:after="0" w:line="250" w:lineRule="auto"/>
        <w:tabs>
          <w:tab w:leader="none" w:pos="30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194" w:lineRule="exact"/>
        <w:rPr>
          <w:rFonts w:ascii="Times New Roman" w:cs="Times New Roman" w:eastAsia="Times New Roman" w:hAnsi="Times New Roman"/>
          <w:sz w:val="22"/>
          <w:szCs w:val="22"/>
          <w:color w:val="auto"/>
        </w:rPr>
      </w:pPr>
    </w:p>
    <w:p>
      <w:pPr>
        <w:ind w:right="220" w:firstLine="944"/>
        <w:spacing w:after="0" w:line="268" w:lineRule="auto"/>
        <w:tabs>
          <w:tab w:leader="none" w:pos="1242" w:val="left"/>
        </w:tabs>
        <w:numPr>
          <w:ilvl w:val="2"/>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90" w:lineRule="exact"/>
        <w:rPr>
          <w:rFonts w:ascii="Times New Roman" w:cs="Times New Roman" w:eastAsia="Times New Roman" w:hAnsi="Times New Roman"/>
          <w:sz w:val="21"/>
          <w:szCs w:val="21"/>
          <w:color w:val="auto"/>
        </w:rPr>
      </w:pPr>
    </w:p>
    <w:p>
      <w:pPr>
        <w:jc w:val="both"/>
        <w:ind w:right="80" w:firstLine="944"/>
        <w:spacing w:after="0" w:line="250" w:lineRule="auto"/>
        <w:tabs>
          <w:tab w:leader="none" w:pos="1230"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94" w:lineRule="exact"/>
        <w:rPr>
          <w:rFonts w:ascii="Times New Roman" w:cs="Times New Roman" w:eastAsia="Times New Roman" w:hAnsi="Times New Roman"/>
          <w:sz w:val="22"/>
          <w:szCs w:val="22"/>
          <w:color w:val="auto"/>
        </w:rPr>
      </w:pPr>
    </w:p>
    <w:p>
      <w:pPr>
        <w:jc w:val="both"/>
        <w:ind w:firstLine="944"/>
        <w:spacing w:after="0" w:line="250" w:lineRule="auto"/>
        <w:tabs>
          <w:tab w:leader="none" w:pos="1249"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she has never been a party to any judicial or administrative proceeding that resulted in a judgment, decree, or final order (i) enjoining her from future violations of, or prohibiting any violations of any federal or state securities law, or (ii) finding any violations of any federal or state securities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Executive represents and warrants that she has never been accused of any impropriety in connection with any employment;</w:t>
      </w:r>
    </w:p>
    <w:p>
      <w:pPr>
        <w:spacing w:after="0" w:line="2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Any breach of any of the above representations and warranties is "justifiable cause" for termination under paragraph 7(d) of this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 NON-COMPETITION</w:t>
      </w:r>
    </w:p>
    <w:p>
      <w:pPr>
        <w:spacing w:after="0" w:line="206" w:lineRule="exact"/>
        <w:rPr>
          <w:sz w:val="20"/>
          <w:szCs w:val="20"/>
          <w:color w:val="auto"/>
        </w:rPr>
      </w:pPr>
    </w:p>
    <w:p>
      <w:pPr>
        <w:ind w:right="120" w:firstLine="757"/>
        <w:spacing w:after="0" w:line="237" w:lineRule="auto"/>
        <w:tabs>
          <w:tab w:leader="none" w:pos="104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promotion to Chief Merchandising Officer, the corresponding $29,000.00 gross salary increase and the increased bonus percentage participation,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 any corporation which is engaged in such</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right="20"/>
        <w:spacing w:after="0" w:line="251" w:lineRule="auto"/>
        <w:rPr>
          <w:sz w:val="20"/>
          <w:szCs w:val="20"/>
          <w:color w:val="auto"/>
        </w:rPr>
      </w:pPr>
      <w:r>
        <w:rPr>
          <w:rFonts w:ascii="Times New Roman" w:cs="Times New Roman" w:eastAsia="Times New Roman" w:hAnsi="Times New Roman"/>
          <w:sz w:val="22"/>
          <w:szCs w:val="22"/>
          <w:color w:val="auto"/>
        </w:rPr>
        <w:t>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6" w:lineRule="exact"/>
        <w:rPr>
          <w:sz w:val="20"/>
          <w:szCs w:val="20"/>
          <w:color w:val="auto"/>
        </w:rPr>
      </w:pPr>
    </w:p>
    <w:p>
      <w:pPr>
        <w:ind w:firstLine="757"/>
        <w:spacing w:after="0" w:line="255" w:lineRule="auto"/>
        <w:tabs>
          <w:tab w:leader="none" w:pos="105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202" w:lineRule="exact"/>
        <w:rPr>
          <w:rFonts w:ascii="Times New Roman" w:cs="Times New Roman" w:eastAsia="Times New Roman" w:hAnsi="Times New Roman"/>
          <w:sz w:val="21"/>
          <w:szCs w:val="21"/>
          <w:color w:val="auto"/>
        </w:rPr>
      </w:pPr>
    </w:p>
    <w:p>
      <w:pPr>
        <w:ind w:right="20" w:firstLine="757"/>
        <w:spacing w:after="0" w:line="241" w:lineRule="auto"/>
        <w:tabs>
          <w:tab w:leader="none" w:pos="104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7" w:lineRule="exact"/>
        <w:rPr>
          <w:rFonts w:ascii="Times New Roman" w:cs="Times New Roman" w:eastAsia="Times New Roman" w:hAnsi="Times New Roman"/>
          <w:sz w:val="22"/>
          <w:szCs w:val="22"/>
          <w:color w:val="auto"/>
        </w:rPr>
      </w:pPr>
    </w:p>
    <w:p>
      <w:pPr>
        <w:ind w:right="60" w:firstLine="757"/>
        <w:spacing w:after="0"/>
        <w:tabs>
          <w:tab w:leader="none" w:pos="105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20" w:lineRule="exact"/>
        <w:rPr>
          <w:sz w:val="20"/>
          <w:szCs w:val="20"/>
          <w:color w:val="auto"/>
        </w:rPr>
      </w:pPr>
    </w:p>
    <w:p>
      <w:pPr>
        <w:ind w:left="1080" w:hanging="323"/>
        <w:spacing w:after="0"/>
        <w:tabs>
          <w:tab w:leader="none" w:pos="10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DISCOVERIES</w:t>
      </w:r>
    </w:p>
    <w:p>
      <w:pPr>
        <w:spacing w:after="0" w:line="247" w:lineRule="exact"/>
        <w:rPr>
          <w:sz w:val="20"/>
          <w:szCs w:val="20"/>
          <w:color w:val="auto"/>
        </w:rPr>
      </w:pPr>
    </w:p>
    <w:p>
      <w:pPr>
        <w:ind w:right="100" w:firstLine="757"/>
        <w:spacing w:after="0"/>
        <w:tabs>
          <w:tab w:leader="none" w:pos="104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203" w:lineRule="exact"/>
        <w:rPr>
          <w:rFonts w:ascii="Times New Roman" w:cs="Times New Roman" w:eastAsia="Times New Roman" w:hAnsi="Times New Roman"/>
          <w:sz w:val="22"/>
          <w:szCs w:val="22"/>
          <w:color w:val="auto"/>
        </w:rPr>
      </w:pPr>
    </w:p>
    <w:p>
      <w:pPr>
        <w:ind w:right="60" w:firstLine="8"/>
        <w:spacing w:after="0" w:line="243" w:lineRule="auto"/>
        <w:tabs>
          <w:tab w:leader="none" w:pos="30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w:t>
      </w: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4" w:name="page55"/>
    <w:bookmarkEnd w:id="54"/>
    <w:p>
      <w:pPr>
        <w:ind w:right="20"/>
        <w:spacing w:after="0" w:line="241" w:lineRule="auto"/>
        <w:rPr>
          <w:sz w:val="20"/>
          <w:szCs w:val="20"/>
          <w:color w:val="auto"/>
        </w:rPr>
      </w:pPr>
      <w:r>
        <w:rPr>
          <w:rFonts w:ascii="Times New Roman" w:cs="Times New Roman" w:eastAsia="Times New Roman" w:hAnsi="Times New Roman"/>
          <w:sz w:val="22"/>
          <w:szCs w:val="22"/>
          <w:color w:val="auto"/>
        </w:rPr>
        <w:t>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18" w:lineRule="exact"/>
        <w:rPr>
          <w:sz w:val="20"/>
          <w:szCs w:val="20"/>
          <w:color w:val="auto"/>
        </w:rPr>
      </w:pPr>
    </w:p>
    <w:p>
      <w:pPr>
        <w:ind w:left="1080" w:hanging="323"/>
        <w:spacing w:after="0"/>
        <w:tabs>
          <w:tab w:leader="none" w:pos="10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p>
    <w:p>
      <w:pPr>
        <w:spacing w:after="0" w:line="247" w:lineRule="exact"/>
        <w:rPr>
          <w:sz w:val="20"/>
          <w:szCs w:val="20"/>
          <w:color w:val="auto"/>
        </w:rPr>
      </w:pPr>
    </w:p>
    <w:p>
      <w:pPr>
        <w:ind w:firstLine="757"/>
        <w:spacing w:after="0" w:line="248" w:lineRule="auto"/>
        <w:tabs>
          <w:tab w:leader="none" w:pos="1043"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19" w:lineRule="exact"/>
        <w:rPr>
          <w:rFonts w:ascii="Times New Roman" w:cs="Times New Roman" w:eastAsia="Times New Roman" w:hAnsi="Times New Roman"/>
          <w:sz w:val="21"/>
          <w:szCs w:val="21"/>
          <w:color w:val="auto"/>
        </w:rPr>
      </w:pPr>
    </w:p>
    <w:p>
      <w:pPr>
        <w:ind w:firstLine="757"/>
        <w:spacing w:after="0" w:line="243" w:lineRule="auto"/>
        <w:tabs>
          <w:tab w:leader="none" w:pos="1055"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4" w:lineRule="exact"/>
        <w:rPr>
          <w:rFonts w:ascii="Times New Roman" w:cs="Times New Roman" w:eastAsia="Times New Roman" w:hAnsi="Times New Roman"/>
          <w:sz w:val="22"/>
          <w:szCs w:val="22"/>
          <w:color w:val="auto"/>
        </w:rPr>
      </w:pPr>
    </w:p>
    <w:p>
      <w:pPr>
        <w:jc w:val="both"/>
        <w:ind w:right="480" w:firstLine="8"/>
        <w:spacing w:after="0" w:line="260" w:lineRule="auto"/>
        <w:tabs>
          <w:tab w:leader="none" w:pos="29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Federal Defend Trade Secrets Act, Executive cannot be held criminally or civilly liable under any federal or state trade secret law for disclosing a trade secret (i) in confidence to a federal, state, or local government official,</w:t>
      </w:r>
    </w:p>
    <w:p>
      <w:pPr>
        <w:spacing w:after="0" w:line="235" w:lineRule="auto"/>
        <w:rPr>
          <w:sz w:val="20"/>
          <w:szCs w:val="20"/>
          <w:color w:val="auto"/>
        </w:rPr>
      </w:pPr>
      <w:r>
        <w:rPr>
          <w:rFonts w:ascii="Times New Roman" w:cs="Times New Roman" w:eastAsia="Times New Roman" w:hAnsi="Times New Roman"/>
          <w:sz w:val="22"/>
          <w:szCs w:val="22"/>
          <w:color w:val="auto"/>
        </w:rPr>
        <w:t>either directly or indirectly, or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ind w:right="60"/>
        <w:spacing w:after="0" w:line="251" w:lineRule="auto"/>
        <w:rPr>
          <w:sz w:val="20"/>
          <w:szCs w:val="20"/>
          <w:color w:val="auto"/>
        </w:rPr>
      </w:pPr>
      <w:r>
        <w:rPr>
          <w:rFonts w:ascii="Times New Roman" w:cs="Times New Roman" w:eastAsia="Times New Roman" w:hAnsi="Times New Roman"/>
          <w:sz w:val="22"/>
          <w:szCs w:val="22"/>
          <w:color w:val="auto"/>
        </w:rPr>
        <w:t>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52" w:lineRule="exact"/>
        <w:rPr>
          <w:sz w:val="20"/>
          <w:szCs w:val="20"/>
          <w:color w:val="auto"/>
        </w:rPr>
      </w:pPr>
    </w:p>
    <w:p>
      <w:pPr>
        <w:ind w:left="1080" w:hanging="323"/>
        <w:spacing w:after="0"/>
        <w:tabs>
          <w:tab w:leader="none" w:pos="10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p>
    <w:p>
      <w:pPr>
        <w:spacing w:after="0" w:line="24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24" w:lineRule="exact"/>
        <w:rPr>
          <w:sz w:val="20"/>
          <w:szCs w:val="20"/>
          <w:color w:val="auto"/>
        </w:rPr>
      </w:pPr>
    </w:p>
    <w:p>
      <w:pPr>
        <w:ind w:left="1080" w:hanging="323"/>
        <w:spacing w:after="0"/>
        <w:tabs>
          <w:tab w:leader="none" w:pos="10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ALTERATION</w:t>
      </w:r>
    </w:p>
    <w:p>
      <w:pPr>
        <w:spacing w:after="0" w:line="24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No amendment or alteration of the terms of this Agreement shall be valid unless made in writing and signed by both of the parties hereto.</w:t>
      </w:r>
    </w:p>
    <w:p>
      <w:pPr>
        <w:spacing w:after="0" w:line="199" w:lineRule="exact"/>
        <w:rPr>
          <w:sz w:val="20"/>
          <w:szCs w:val="20"/>
          <w:color w:val="auto"/>
        </w:rPr>
      </w:pPr>
    </w:p>
    <w:p>
      <w:pPr>
        <w:ind w:left="1080" w:hanging="323"/>
        <w:spacing w:after="0"/>
        <w:tabs>
          <w:tab w:leader="none" w:pos="10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47" w:lineRule="exact"/>
        <w:rPr>
          <w:sz w:val="20"/>
          <w:szCs w:val="20"/>
          <w:color w:val="auto"/>
        </w:rPr>
      </w:pPr>
    </w:p>
    <w:p>
      <w:pPr>
        <w:ind w:right="68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99" w:lineRule="exact"/>
        <w:rPr>
          <w:sz w:val="20"/>
          <w:szCs w:val="20"/>
          <w:color w:val="auto"/>
        </w:rPr>
      </w:pPr>
    </w:p>
    <w:p>
      <w:pPr>
        <w:ind w:left="1080" w:hanging="323"/>
        <w:spacing w:after="0"/>
        <w:tabs>
          <w:tab w:leader="none" w:pos="10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p>
    <w:p>
      <w:pPr>
        <w:spacing w:after="0" w:line="24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99" w:lineRule="exact"/>
        <w:rPr>
          <w:sz w:val="20"/>
          <w:szCs w:val="20"/>
          <w:color w:val="auto"/>
        </w:rPr>
      </w:pPr>
    </w:p>
    <w:p>
      <w:pPr>
        <w:ind w:left="1080" w:hanging="323"/>
        <w:spacing w:after="0"/>
        <w:tabs>
          <w:tab w:leader="none" w:pos="10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notices required or permitted to be given hereunder shall be sufficient if in</w:t>
      </w:r>
    </w:p>
    <w:p>
      <w:pPr>
        <w:spacing w:after="0" w:line="1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19" w:lineRule="exact"/>
        <w:rPr>
          <w:sz w:val="20"/>
          <w:szCs w:val="20"/>
          <w:color w:val="auto"/>
        </w:rPr>
      </w:pPr>
    </w:p>
    <w:p>
      <w:pPr>
        <w:ind w:left="1080" w:hanging="323"/>
        <w:spacing w:after="0"/>
        <w:tabs>
          <w:tab w:leader="none" w:pos="10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6" w:name="page57"/>
    <w:bookmarkEnd w:id="56"/>
    <w:p>
      <w:pPr>
        <w:ind w:right="20" w:firstLine="749"/>
        <w:spacing w:after="0" w:line="271" w:lineRule="auto"/>
        <w:rPr>
          <w:sz w:val="20"/>
          <w:szCs w:val="20"/>
          <w:color w:val="auto"/>
        </w:rPr>
      </w:pPr>
      <w:r>
        <w:rPr>
          <w:rFonts w:ascii="Times New Roman" w:cs="Times New Roman" w:eastAsia="Times New Roman" w:hAnsi="Times New Roman"/>
          <w:sz w:val="22"/>
          <w:szCs w:val="22"/>
          <w:color w:val="auto"/>
        </w:rPr>
        <w:t>It is agreed that a waiver by either party of a breach of any provision of this Agreement shall not operate, or be construed as a waiver of any subsequent breach by that same party.</w:t>
      </w:r>
    </w:p>
    <w:p>
      <w:pPr>
        <w:spacing w:after="0" w:line="185" w:lineRule="exact"/>
        <w:rPr>
          <w:sz w:val="20"/>
          <w:szCs w:val="20"/>
          <w:color w:val="auto"/>
        </w:rPr>
      </w:pPr>
    </w:p>
    <w:p>
      <w:pPr>
        <w:ind w:left="1080" w:hanging="323"/>
        <w:spacing w:after="0"/>
        <w:tabs>
          <w:tab w:leader="none" w:pos="10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AND BINDING EFFECT</w:t>
      </w:r>
    </w:p>
    <w:p>
      <w:pPr>
        <w:spacing w:after="0" w:line="233"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21" w:lineRule="exact"/>
        <w:rPr>
          <w:sz w:val="20"/>
          <w:szCs w:val="20"/>
          <w:color w:val="auto"/>
        </w:rPr>
      </w:pPr>
    </w:p>
    <w:p>
      <w:pPr>
        <w:ind w:left="1080" w:hanging="323"/>
        <w:spacing w:after="0"/>
        <w:tabs>
          <w:tab w:leader="none" w:pos="10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p>
    <w:p>
      <w:pPr>
        <w:spacing w:after="0" w:line="233"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08" w:lineRule="exact"/>
        <w:rPr>
          <w:sz w:val="20"/>
          <w:szCs w:val="20"/>
          <w:color w:val="auto"/>
        </w:rPr>
      </w:pPr>
    </w:p>
    <w:p>
      <w:pPr>
        <w:ind w:left="1080" w:hanging="323"/>
        <w:spacing w:after="0"/>
        <w:tabs>
          <w:tab w:leader="none" w:pos="10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p>
    <w:p>
      <w:pPr>
        <w:spacing w:after="0" w:line="247"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Any and all disputes arising under or in connection with this Agreement shall be resolved in accordance with this paragraph 21 and paragraph 15.</w:t>
      </w:r>
    </w:p>
    <w:p>
      <w:pPr>
        <w:spacing w:after="0" w:line="199" w:lineRule="exact"/>
        <w:rPr>
          <w:sz w:val="20"/>
          <w:szCs w:val="20"/>
          <w:color w:val="auto"/>
        </w:rPr>
      </w:pPr>
    </w:p>
    <w:p>
      <w:pPr>
        <w:ind w:right="320" w:firstLine="749"/>
        <w:spacing w:after="0" w:line="243" w:lineRule="auto"/>
        <w:rPr>
          <w:sz w:val="20"/>
          <w:szCs w:val="20"/>
          <w:color w:val="auto"/>
        </w:rPr>
      </w:pPr>
      <w:r>
        <w:rPr>
          <w:rFonts w:ascii="Times New Roman" w:cs="Times New Roman" w:eastAsia="Times New Roman" w:hAnsi="Times New Roman"/>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4" w:lineRule="exact"/>
        <w:rPr>
          <w:sz w:val="20"/>
          <w:szCs w:val="20"/>
          <w:color w:val="auto"/>
        </w:rPr>
      </w:pPr>
    </w:p>
    <w:p>
      <w:pPr>
        <w:ind w:left="1080" w:hanging="323"/>
        <w:spacing w:after="0"/>
        <w:tabs>
          <w:tab w:leader="none" w:pos="10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p>
    <w:p>
      <w:pPr>
        <w:spacing w:after="0" w:line="24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73" w:lineRule="exact"/>
        <w:rPr>
          <w:sz w:val="20"/>
          <w:szCs w:val="20"/>
          <w:color w:val="auto"/>
        </w:rPr>
      </w:pPr>
    </w:p>
    <w:p>
      <w:pPr>
        <w:ind w:left="1080" w:hanging="323"/>
        <w:spacing w:after="0"/>
        <w:tabs>
          <w:tab w:leader="none" w:pos="10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ind w:firstLine="749"/>
        <w:spacing w:after="0" w:line="271" w:lineRule="auto"/>
        <w:rPr>
          <w:sz w:val="20"/>
          <w:szCs w:val="20"/>
          <w:color w:val="auto"/>
        </w:rPr>
      </w:pPr>
      <w:r>
        <w:rPr>
          <w:rFonts w:ascii="Times New Roman" w:cs="Times New Roman" w:eastAsia="Times New Roman" w:hAnsi="Times New Roman"/>
          <w:sz w:val="22"/>
          <w:szCs w:val="22"/>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58" w:name="page59"/>
    <w:bookmarkEnd w:id="58"/>
    <w:p>
      <w:pPr>
        <w:ind w:left="1080" w:hanging="323"/>
        <w:spacing w:after="0"/>
        <w:tabs>
          <w:tab w:leader="none" w:pos="10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AND AFFILIATES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47" w:lineRule="exact"/>
        <w:rPr>
          <w:sz w:val="20"/>
          <w:szCs w:val="20"/>
          <w:color w:val="auto"/>
        </w:rPr>
      </w:pPr>
    </w:p>
    <w:p>
      <w:pPr>
        <w:ind w:right="40" w:firstLine="8"/>
        <w:spacing w:after="0" w:line="244" w:lineRule="auto"/>
        <w:tabs>
          <w:tab w:leader="none" w:pos="29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13" w:lineRule="exact"/>
        <w:rPr>
          <w:rFonts w:ascii="Times New Roman" w:cs="Times New Roman" w:eastAsia="Times New Roman" w:hAnsi="Times New Roman"/>
          <w:sz w:val="22"/>
          <w:szCs w:val="22"/>
          <w:color w:val="auto"/>
        </w:rPr>
      </w:pPr>
    </w:p>
    <w:p>
      <w:pPr>
        <w:ind w:right="100" w:firstLine="757"/>
        <w:spacing w:after="0" w:line="243" w:lineRule="auto"/>
        <w:tabs>
          <w:tab w:leader="none" w:pos="105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4" w:lineRule="exact"/>
        <w:rPr>
          <w:sz w:val="20"/>
          <w:szCs w:val="20"/>
          <w:color w:val="auto"/>
        </w:rPr>
      </w:pPr>
    </w:p>
    <w:p>
      <w:pPr>
        <w:ind w:left="1080" w:hanging="323"/>
        <w:spacing w:after="0"/>
        <w:tabs>
          <w:tab w:leader="none" w:pos="10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p>
    <w:p>
      <w:pPr>
        <w:spacing w:after="0" w:line="247"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71" w:lineRule="exact"/>
        <w:rPr>
          <w:sz w:val="20"/>
          <w:szCs w:val="20"/>
          <w:color w:val="auto"/>
        </w:rPr>
      </w:pPr>
    </w:p>
    <w:p>
      <w:pPr>
        <w:ind w:left="1080" w:hanging="323"/>
        <w:spacing w:after="0"/>
        <w:tabs>
          <w:tab w:leader="none" w:pos="10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47" w:lineRule="exact"/>
        <w:rPr>
          <w:sz w:val="20"/>
          <w:szCs w:val="20"/>
          <w:color w:val="auto"/>
        </w:rPr>
      </w:pPr>
    </w:p>
    <w:p>
      <w:pPr>
        <w:ind w:right="460" w:firstLine="749"/>
        <w:spacing w:after="0" w:line="271"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28"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42"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DESTINATION XL GROUP, INC.</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Harvey S. Kanter</w:t>
            </w:r>
          </w:p>
        </w:tc>
        <w:tc>
          <w:tcPr>
            <w:tcW w:w="306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7"/>
              </w:rPr>
              <w:t>Date: March 29, 2022</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3"/>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Harvey S. Kanter</w:t>
            </w: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2"/>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Its: President, Chief Executive Officer</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1"/>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Allison Surette</w:t>
            </w:r>
          </w:p>
        </w:tc>
        <w:tc>
          <w:tcPr>
            <w:tcW w:w="306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7"/>
              </w:rPr>
              <w:t>Date: March 29, 2022</w:t>
            </w:r>
          </w:p>
        </w:tc>
      </w:tr>
      <w:tr>
        <w:trPr>
          <w:trHeight w:val="20"/>
        </w:trPr>
        <w:tc>
          <w:tcPr>
            <w:tcW w:w="2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89"/>
        </w:trPr>
        <w:tc>
          <w:tcPr>
            <w:tcW w:w="26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Allison Surette</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RELEASE OF CLAIMS</w:t>
      </w:r>
    </w:p>
    <w:p>
      <w:pPr>
        <w:spacing w:after="0" w:line="2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i w:val="1"/>
          <w:iCs w:val="1"/>
          <w:color w:val="auto"/>
        </w:rPr>
        <w:t>GENERAL RELEASE OF CLAIMS</w:t>
      </w:r>
    </w:p>
    <w:p>
      <w:pPr>
        <w:spacing w:after="0" w:line="200" w:lineRule="exact"/>
        <w:rPr>
          <w:sz w:val="20"/>
          <w:szCs w:val="20"/>
          <w:color w:val="auto"/>
        </w:rPr>
      </w:pPr>
    </w:p>
    <w:p>
      <w:pPr>
        <w:spacing w:after="0" w:line="215" w:lineRule="exact"/>
        <w:rPr>
          <w:sz w:val="20"/>
          <w:szCs w:val="20"/>
          <w:color w:val="auto"/>
        </w:rPr>
      </w:pPr>
    </w:p>
    <w:p>
      <w:pPr>
        <w:ind w:firstLine="757"/>
        <w:spacing w:after="0" w:line="248" w:lineRule="auto"/>
        <w:tabs>
          <w:tab w:leader="none" w:pos="149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Allison Surette,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for herself and her family, heirs, executors, administrators, legal representatives and their respective successors and assigns, in exchange for good and valuable consideration to be paid after the date of Executive’s termination as set forth in the Employment Agreement, as amended, to which a form of this release is attached as Exhibit A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does hereby release and forever discharge, to the maximum extent permitted by law, CMRG Apparel,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8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Executive acknowledges that Executive is specifically advised to consult with an attorney of Executive’s choosing before signing this General Release of Claims, and through this General Release of Claims advises Executive to consult with her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0" w:name="page61"/>
    <w:bookmarkEnd w:id="60"/>
    <w:p>
      <w:pPr>
        <w:ind w:right="160"/>
        <w:spacing w:after="0" w:line="238" w:lineRule="auto"/>
        <w:rPr>
          <w:sz w:val="20"/>
          <w:szCs w:val="20"/>
          <w:color w:val="auto"/>
        </w:rPr>
      </w:pPr>
      <w:r>
        <w:rPr>
          <w:rFonts w:ascii="Times New Roman" w:cs="Times New Roman" w:eastAsia="Times New Roman" w:hAnsi="Times New Roman"/>
          <w:sz w:val="22"/>
          <w:szCs w:val="22"/>
          <w:color w:val="auto"/>
        </w:rPr>
        <w:t>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she will not be able to recover any monetary benefits in connection with any such claim, charge or proceeding.</w:t>
      </w:r>
    </w:p>
    <w:p>
      <w:pPr>
        <w:spacing w:after="0" w:line="184" w:lineRule="exact"/>
        <w:rPr>
          <w:sz w:val="20"/>
          <w:szCs w:val="20"/>
          <w:color w:val="auto"/>
        </w:rPr>
      </w:pPr>
    </w:p>
    <w:p>
      <w:pPr>
        <w:jc w:val="both"/>
        <w:ind w:firstLine="757"/>
        <w:spacing w:after="0" w:line="255" w:lineRule="auto"/>
        <w:tabs>
          <w:tab w:leader="none" w:pos="149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Executive shall not have relinquished her right to commence a Proceeding to challenge whether Executive knowingly and voluntarily waived her rights under ADEA.</w:t>
      </w:r>
    </w:p>
    <w:p>
      <w:pPr>
        <w:spacing w:after="0" w:line="171" w:lineRule="exact"/>
        <w:rPr>
          <w:sz w:val="20"/>
          <w:szCs w:val="20"/>
          <w:color w:val="auto"/>
        </w:rPr>
      </w:pPr>
    </w:p>
    <w:p>
      <w:pPr>
        <w:ind w:left="980" w:hanging="223"/>
        <w:spacing w:after="0"/>
        <w:tabs>
          <w:tab w:leader="none" w:pos="9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757"/>
        <w:spacing w:after="0" w:line="237" w:lineRule="auto"/>
        <w:tabs>
          <w:tab w:leader="none" w:pos="104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 any corporation which is engaged in such</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ind w:firstLine="851"/>
        <w:spacing w:after="0" w:line="258" w:lineRule="auto"/>
        <w:tabs>
          <w:tab w:leader="none" w:pos="115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200" w:lineRule="exact"/>
        <w:rPr>
          <w:rFonts w:ascii="Times New Roman" w:cs="Times New Roman" w:eastAsia="Times New Roman" w:hAnsi="Times New Roman"/>
          <w:sz w:val="21"/>
          <w:szCs w:val="21"/>
          <w:color w:val="auto"/>
        </w:rPr>
      </w:pPr>
    </w:p>
    <w:p>
      <w:pPr>
        <w:jc w:val="both"/>
        <w:ind w:firstLine="757"/>
        <w:spacing w:after="0" w:line="241" w:lineRule="auto"/>
        <w:tabs>
          <w:tab w:leader="none" w:pos="108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03" w:lineRule="exact"/>
        <w:rPr>
          <w:rFonts w:ascii="Times New Roman" w:cs="Times New Roman" w:eastAsia="Times New Roman" w:hAnsi="Times New Roman"/>
          <w:sz w:val="22"/>
          <w:szCs w:val="22"/>
          <w:color w:val="auto"/>
        </w:rPr>
      </w:pPr>
    </w:p>
    <w:p>
      <w:pPr>
        <w:jc w:val="both"/>
        <w:ind w:firstLine="757"/>
        <w:spacing w:after="0" w:line="243" w:lineRule="auto"/>
        <w:tabs>
          <w:tab w:leader="none" w:pos="107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4" w:lineRule="exact"/>
        <w:rPr>
          <w:sz w:val="20"/>
          <w:szCs w:val="20"/>
          <w:color w:val="auto"/>
        </w:rPr>
      </w:pPr>
    </w:p>
    <w:p>
      <w:pPr>
        <w:ind w:left="980" w:hanging="223"/>
        <w:spacing w:after="0"/>
        <w:tabs>
          <w:tab w:leader="none" w:pos="9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Discoveries.</w:t>
      </w:r>
    </w:p>
    <w:p>
      <w:pPr>
        <w:spacing w:after="0" w:line="251" w:lineRule="exact"/>
        <w:rPr>
          <w:sz w:val="20"/>
          <w:szCs w:val="20"/>
          <w:color w:val="auto"/>
        </w:rPr>
      </w:pPr>
    </w:p>
    <w:p>
      <w:pPr>
        <w:jc w:val="both"/>
        <w:ind w:firstLine="757"/>
        <w:spacing w:after="0" w:line="238" w:lineRule="auto"/>
        <w:tabs>
          <w:tab w:leader="none" w:pos="1055"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220" w:lineRule="exact"/>
        <w:rPr>
          <w:rFonts w:ascii="Times New Roman" w:cs="Times New Roman" w:eastAsia="Times New Roman" w:hAnsi="Times New Roman"/>
          <w:sz w:val="22"/>
          <w:szCs w:val="22"/>
          <w:color w:val="auto"/>
        </w:rPr>
      </w:pPr>
    </w:p>
    <w:p>
      <w:pPr>
        <w:jc w:val="both"/>
        <w:ind w:firstLine="8"/>
        <w:spacing w:after="0" w:line="239" w:lineRule="auto"/>
        <w:tabs>
          <w:tab w:leader="none" w:pos="31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spacing w:after="0" w:line="259" w:lineRule="auto"/>
        <w:rPr>
          <w:sz w:val="20"/>
          <w:szCs w:val="20"/>
          <w:color w:val="auto"/>
        </w:rPr>
      </w:pPr>
      <w:r>
        <w:rPr>
          <w:rFonts w:ascii="Times New Roman" w:cs="Times New Roman" w:eastAsia="Times New Roman" w:hAnsi="Times New Roman"/>
          <w:sz w:val="22"/>
          <w:szCs w:val="22"/>
          <w:color w:val="auto"/>
        </w:rPr>
        <w:t>provided, however, that Executive shall be compensated in a timely manner at the rate of $250 per day (or portion thereof), plus out-of-pocket expenses incurred in rendering such assistance or giving or preparing to give such testimony.</w:t>
      </w:r>
    </w:p>
    <w:p>
      <w:pPr>
        <w:spacing w:after="0" w:line="193" w:lineRule="exact"/>
        <w:rPr>
          <w:sz w:val="20"/>
          <w:szCs w:val="20"/>
          <w:color w:val="auto"/>
        </w:rPr>
      </w:pPr>
    </w:p>
    <w:p>
      <w:pPr>
        <w:ind w:left="980" w:hanging="223"/>
        <w:spacing w:after="0"/>
        <w:tabs>
          <w:tab w:leader="none" w:pos="9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Confidential Information.</w:t>
      </w:r>
    </w:p>
    <w:p>
      <w:pPr>
        <w:spacing w:after="0" w:line="251" w:lineRule="exact"/>
        <w:rPr>
          <w:sz w:val="20"/>
          <w:szCs w:val="20"/>
          <w:color w:val="auto"/>
        </w:rPr>
      </w:pPr>
    </w:p>
    <w:p>
      <w:pPr>
        <w:jc w:val="both"/>
        <w:ind w:firstLine="757"/>
        <w:spacing w:after="0" w:line="237" w:lineRule="auto"/>
        <w:tabs>
          <w:tab w:leader="none" w:pos="107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214" w:lineRule="exact"/>
        <w:rPr>
          <w:rFonts w:ascii="Times New Roman" w:cs="Times New Roman" w:eastAsia="Times New Roman" w:hAnsi="Times New Roman"/>
          <w:sz w:val="22"/>
          <w:szCs w:val="22"/>
          <w:color w:val="auto"/>
        </w:rPr>
      </w:pPr>
    </w:p>
    <w:p>
      <w:pPr>
        <w:jc w:val="both"/>
        <w:ind w:firstLine="757"/>
        <w:spacing w:after="0" w:line="243" w:lineRule="auto"/>
        <w:tabs>
          <w:tab w:leader="none" w:pos="1055"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17" w:lineRule="exact"/>
        <w:rPr>
          <w:rFonts w:ascii="Times New Roman" w:cs="Times New Roman" w:eastAsia="Times New Roman" w:hAnsi="Times New Roman"/>
          <w:sz w:val="22"/>
          <w:szCs w:val="22"/>
          <w:color w:val="auto"/>
        </w:rPr>
      </w:pPr>
    </w:p>
    <w:p>
      <w:pPr>
        <w:jc w:val="both"/>
        <w:ind w:firstLine="757"/>
        <w:spacing w:after="0" w:line="253" w:lineRule="auto"/>
        <w:tabs>
          <w:tab w:leader="none" w:pos="1048"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w:t>
      </w:r>
    </w:p>
    <w:p>
      <w:pPr>
        <w:spacing w:after="0" w:line="2" w:lineRule="exact"/>
        <w:rPr>
          <w:rFonts w:ascii="Times New Roman" w:cs="Times New Roman" w:eastAsia="Times New Roman" w:hAnsi="Times New Roman"/>
          <w:sz w:val="21"/>
          <w:szCs w:val="21"/>
          <w:color w:val="auto"/>
        </w:rPr>
      </w:pPr>
    </w:p>
    <w:p>
      <w:pPr>
        <w:ind w:right="20" w:firstLine="8"/>
        <w:spacing w:after="0" w:line="237" w:lineRule="auto"/>
        <w:tabs>
          <w:tab w:leader="none" w:pos="34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complaint or other document filed under seal in a lawsuit or other proceeding. Notwithstanding this immunity from liability, Executive may be held liable if Executive unlawfully accesses trade secrets by unauthorized means.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ind w:firstLine="757"/>
        <w:spacing w:after="0"/>
        <w:tabs>
          <w:tab w:leader="none" w:pos="9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Executive agrees that if she breaches, or threatens to commit a breach of, any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paragraphs 3, 4 or 5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221" w:lineRule="exact"/>
        <w:rPr>
          <w:rFonts w:ascii="Times New Roman" w:cs="Times New Roman" w:eastAsia="Times New Roman" w:hAnsi="Times New Roman"/>
          <w:sz w:val="22"/>
          <w:szCs w:val="22"/>
          <w:color w:val="auto"/>
        </w:rPr>
      </w:pPr>
    </w:p>
    <w:p>
      <w:pPr>
        <w:jc w:val="both"/>
        <w:ind w:firstLine="757"/>
        <w:spacing w:after="0" w:line="237" w:lineRule="auto"/>
        <w:tabs>
          <w:tab w:leader="none" w:pos="9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her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95" w:lineRule="exact"/>
        <w:rPr>
          <w:rFonts w:ascii="Times New Roman" w:cs="Times New Roman" w:eastAsia="Times New Roman" w:hAnsi="Times New Roman"/>
          <w:sz w:val="22"/>
          <w:szCs w:val="22"/>
          <w:color w:val="auto"/>
        </w:rPr>
      </w:pPr>
    </w:p>
    <w:p>
      <w:pPr>
        <w:jc w:val="both"/>
        <w:ind w:firstLine="757"/>
        <w:spacing w:after="0" w:line="250" w:lineRule="auto"/>
        <w:tabs>
          <w:tab w:leader="none" w:pos="99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67" w:lineRule="exact"/>
        <w:rPr>
          <w:rFonts w:ascii="Times New Roman" w:cs="Times New Roman" w:eastAsia="Times New Roman" w:hAnsi="Times New Roman"/>
          <w:sz w:val="22"/>
          <w:szCs w:val="22"/>
          <w:color w:val="auto"/>
        </w:rPr>
      </w:pPr>
    </w:p>
    <w:p>
      <w:pPr>
        <w:jc w:val="both"/>
        <w:ind w:firstLine="757"/>
        <w:spacing w:after="0" w:line="250" w:lineRule="auto"/>
        <w:tabs>
          <w:tab w:leader="none" w:pos="98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she has read this General Release of Claims, has been advised that she should consult with an attorney before executing this general release of claims, and that she understands all of its terms and executes it voluntarily and with full knowledge of its significance and the consequences thereof.</w:t>
      </w:r>
    </w:p>
    <w:p>
      <w:pPr>
        <w:spacing w:after="0" w:line="167" w:lineRule="exact"/>
        <w:rPr>
          <w:rFonts w:ascii="Times New Roman" w:cs="Times New Roman" w:eastAsia="Times New Roman" w:hAnsi="Times New Roman"/>
          <w:sz w:val="22"/>
          <w:szCs w:val="22"/>
          <w:color w:val="auto"/>
        </w:rPr>
      </w:pPr>
    </w:p>
    <w:p>
      <w:pPr>
        <w:jc w:val="both"/>
        <w:ind w:firstLine="757"/>
        <w:spacing w:after="0" w:line="250" w:lineRule="auto"/>
        <w:tabs>
          <w:tab w:leader="none" w:pos="108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Allison Surette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EMPLOYMENT AGREEMENT</w:t>
      </w:r>
    </w:p>
    <w:p>
      <w:pPr>
        <w:spacing w:after="0" w:line="200" w:lineRule="exact"/>
        <w:rPr>
          <w:sz w:val="20"/>
          <w:szCs w:val="20"/>
          <w:color w:val="auto"/>
        </w:rPr>
      </w:pPr>
    </w:p>
    <w:p>
      <w:pPr>
        <w:spacing w:after="0" w:line="2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This Amended and Restated Employment Agreement ("Agreement") is made effective as of March 6, 2022 (the “Effective Date”) between DESTINATION XL GROUP, INC. (the “Company”), a Delaware corporation with an office at 555 Turnpike Street, Canton, Massachusetts 02021 (“DXLG” which term includes any affiliates and subsidiaries), and JOHN F. COONEY (the “Executive”) having an address at 10 Canterberry Lane, Norfolk, MA 02056.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33" w:lineRule="exact"/>
        <w:rPr>
          <w:sz w:val="20"/>
          <w:szCs w:val="20"/>
          <w:color w:val="auto"/>
        </w:rPr>
      </w:pPr>
    </w:p>
    <w:p>
      <w:pPr>
        <w:ind w:right="360" w:firstLine="449"/>
        <w:spacing w:after="0" w:line="271" w:lineRule="auto"/>
        <w:rPr>
          <w:sz w:val="20"/>
          <w:szCs w:val="20"/>
          <w:color w:val="auto"/>
        </w:rPr>
      </w:pPr>
      <w:r>
        <w:rPr>
          <w:rFonts w:ascii="Times New Roman" w:cs="Times New Roman" w:eastAsia="Times New Roman" w:hAnsi="Times New Roman"/>
          <w:sz w:val="22"/>
          <w:szCs w:val="22"/>
          <w:color w:val="auto"/>
        </w:rPr>
        <w:t>WHEREAS, the Company desires that Executive work for the Company and Executive desires to be so employed by the Company as its Senior Vice President, Finance, Chief Accounting Officer &amp; Corporate Controller.</w:t>
      </w:r>
    </w:p>
    <w:p>
      <w:pPr>
        <w:spacing w:after="0" w:line="171" w:lineRule="exact"/>
        <w:rPr>
          <w:sz w:val="20"/>
          <w:szCs w:val="20"/>
          <w:color w:val="auto"/>
        </w:rPr>
      </w:pPr>
    </w:p>
    <w:p>
      <w:pPr>
        <w:ind w:right="960" w:firstLine="449"/>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desire to set forth in writing the terms and conditions of the Executive's employment with the Company from the date hereof.</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promises, representations and covenants herein contained, the parties hereto agree as follows:</w:t>
      </w:r>
    </w:p>
    <w:p>
      <w:pPr>
        <w:spacing w:after="0" w:line="199" w:lineRule="exact"/>
        <w:rPr>
          <w:sz w:val="20"/>
          <w:szCs w:val="20"/>
          <w:color w:val="auto"/>
        </w:rPr>
      </w:pPr>
    </w:p>
    <w:p>
      <w:pPr>
        <w:ind w:left="700" w:hanging="224"/>
        <w:spacing w:after="0"/>
        <w:tabs>
          <w:tab w:leader="none" w:pos="7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p>
    <w:p>
      <w:pPr>
        <w:spacing w:after="0" w:line="247" w:lineRule="exact"/>
        <w:rPr>
          <w:sz w:val="20"/>
          <w:szCs w:val="20"/>
          <w:color w:val="auto"/>
        </w:rPr>
      </w:pPr>
    </w:p>
    <w:p>
      <w:pPr>
        <w:ind w:right="460" w:firstLine="843"/>
        <w:spacing w:after="0" w:line="258" w:lineRule="auto"/>
        <w:rPr>
          <w:sz w:val="20"/>
          <w:szCs w:val="20"/>
          <w:color w:val="auto"/>
        </w:rPr>
      </w:pPr>
      <w:r>
        <w:rPr>
          <w:rFonts w:ascii="Times New Roman" w:cs="Times New Roman" w:eastAsia="Times New Roman" w:hAnsi="Times New Roman"/>
          <w:sz w:val="22"/>
          <w:szCs w:val="22"/>
          <w:color w:val="auto"/>
        </w:rPr>
        <w:t>The Company hereby employs Executive and Executive hereby accepts such employment, subject to the terms and conditions herein set forth.</w:t>
      </w:r>
    </w:p>
    <w:p>
      <w:pPr>
        <w:spacing w:after="0" w:line="199" w:lineRule="exact"/>
        <w:rPr>
          <w:sz w:val="20"/>
          <w:szCs w:val="20"/>
          <w:color w:val="auto"/>
        </w:rPr>
      </w:pPr>
    </w:p>
    <w:p>
      <w:pPr>
        <w:ind w:left="220" w:hanging="212"/>
        <w:spacing w:after="0"/>
        <w:tabs>
          <w:tab w:leader="none" w:pos="2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247" w:lineRule="exact"/>
        <w:rPr>
          <w:sz w:val="20"/>
          <w:szCs w:val="20"/>
          <w:color w:val="auto"/>
        </w:rPr>
      </w:pPr>
    </w:p>
    <w:p>
      <w:pPr>
        <w:ind w:right="40" w:firstLine="843"/>
        <w:spacing w:after="0" w:line="258" w:lineRule="auto"/>
        <w:rPr>
          <w:sz w:val="20"/>
          <w:szCs w:val="20"/>
          <w:color w:val="auto"/>
        </w:rPr>
      </w:pPr>
      <w:r>
        <w:rPr>
          <w:rFonts w:ascii="Times New Roman" w:cs="Times New Roman" w:eastAsia="Times New Roman" w:hAnsi="Times New Roman"/>
          <w:sz w:val="22"/>
          <w:szCs w:val="22"/>
          <w:color w:val="auto"/>
        </w:rPr>
        <w:t>The term of employment under this Agreement (the “Term of Employment”) shall begin on the Effective Date and shall continue until terminated by either party as hereinafter set forth.</w:t>
      </w:r>
    </w:p>
    <w:p>
      <w:pPr>
        <w:spacing w:after="0" w:line="199" w:lineRule="exact"/>
        <w:rPr>
          <w:sz w:val="20"/>
          <w:szCs w:val="20"/>
          <w:color w:val="auto"/>
        </w:rPr>
      </w:pPr>
    </w:p>
    <w:p>
      <w:pPr>
        <w:ind w:left="220" w:hanging="212"/>
        <w:spacing w:after="0"/>
        <w:tabs>
          <w:tab w:leader="none" w:pos="22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46" w:lineRule="exact"/>
        <w:rPr>
          <w:rFonts w:ascii="Times New Roman" w:cs="Times New Roman" w:eastAsia="Times New Roman" w:hAnsi="Times New Roman"/>
          <w:sz w:val="22"/>
          <w:szCs w:val="22"/>
          <w:color w:val="auto"/>
        </w:rPr>
      </w:pPr>
    </w:p>
    <w:p>
      <w:pPr>
        <w:ind w:right="180" w:firstLine="757"/>
        <w:spacing w:after="0" w:line="238" w:lineRule="auto"/>
        <w:tabs>
          <w:tab w:leader="none" w:pos="104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Seventy-Eight Thousand Dollars and 00/100 Cents ($278,000.00)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223" w:lineRule="exact"/>
        <w:rPr>
          <w:sz w:val="20"/>
          <w:szCs w:val="20"/>
          <w:color w:val="auto"/>
        </w:rPr>
      </w:pPr>
    </w:p>
    <w:p>
      <w:pPr>
        <w:jc w:val="both"/>
        <w:ind w:firstLine="8"/>
        <w:spacing w:after="0" w:line="241" w:lineRule="auto"/>
        <w:tabs>
          <w:tab w:leader="none" w:pos="30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jc w:val="both"/>
        <w:spacing w:after="0" w:line="244" w:lineRule="auto"/>
        <w:rPr>
          <w:sz w:val="20"/>
          <w:szCs w:val="20"/>
          <w:color w:val="auto"/>
        </w:rPr>
      </w:pPr>
      <w:r>
        <w:rPr>
          <w:rFonts w:ascii="Times New Roman" w:cs="Times New Roman" w:eastAsia="Times New Roman" w:hAnsi="Times New Roman"/>
          <w:sz w:val="22"/>
          <w:szCs w:val="22"/>
          <w:color w:val="auto"/>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14" w:lineRule="exact"/>
        <w:rPr>
          <w:sz w:val="20"/>
          <w:szCs w:val="20"/>
          <w:color w:val="auto"/>
        </w:rPr>
      </w:pPr>
    </w:p>
    <w:p>
      <w:pPr>
        <w:jc w:val="both"/>
        <w:ind w:firstLine="8"/>
        <w:spacing w:after="0" w:line="241" w:lineRule="auto"/>
        <w:tabs>
          <w:tab w:leader="none" w:pos="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50% of Executive’s Base Salary in effect on the Executive’s Effective Date of Participation, for the incentive period, based upon the Company’s targeted performance as defined in the LTIP documents in effect at the time of the award.</w:t>
      </w:r>
    </w:p>
    <w:p>
      <w:pPr>
        <w:spacing w:after="0" w:line="217" w:lineRule="exact"/>
        <w:rPr>
          <w:sz w:val="20"/>
          <w:szCs w:val="20"/>
          <w:color w:val="auto"/>
        </w:rPr>
      </w:pPr>
    </w:p>
    <w:p>
      <w:pPr>
        <w:ind w:left="220" w:hanging="212"/>
        <w:spacing w:after="0"/>
        <w:tabs>
          <w:tab w:leader="none" w:pos="2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18" w:lineRule="exact"/>
        <w:rPr>
          <w:sz w:val="20"/>
          <w:szCs w:val="20"/>
          <w:color w:val="auto"/>
        </w:rPr>
      </w:pPr>
    </w:p>
    <w:p>
      <w:pPr>
        <w:ind w:left="220" w:hanging="212"/>
        <w:spacing w:after="0"/>
        <w:tabs>
          <w:tab w:leader="none" w:pos="2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p>
    <w:p>
      <w:pPr>
        <w:spacing w:after="0" w:line="246" w:lineRule="exact"/>
        <w:rPr>
          <w:rFonts w:ascii="Times New Roman" w:cs="Times New Roman" w:eastAsia="Times New Roman" w:hAnsi="Times New Roman"/>
          <w:sz w:val="22"/>
          <w:szCs w:val="22"/>
          <w:color w:val="auto"/>
        </w:rPr>
      </w:pPr>
    </w:p>
    <w:p>
      <w:pPr>
        <w:jc w:val="both"/>
        <w:ind w:firstLine="906"/>
        <w:spacing w:after="0"/>
        <w:tabs>
          <w:tab w:leader="none" w:pos="119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20" w:lineRule="exact"/>
        <w:rPr>
          <w:rFonts w:ascii="Times New Roman" w:cs="Times New Roman" w:eastAsia="Times New Roman" w:hAnsi="Times New Roman"/>
          <w:sz w:val="22"/>
          <w:szCs w:val="22"/>
          <w:color w:val="auto"/>
        </w:rPr>
      </w:pPr>
    </w:p>
    <w:p>
      <w:pPr>
        <w:jc w:val="both"/>
        <w:ind w:firstLine="906"/>
        <w:spacing w:after="0" w:line="243" w:lineRule="auto"/>
        <w:tabs>
          <w:tab w:leader="none" w:pos="1797"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204" w:lineRule="exact"/>
        <w:rPr>
          <w:sz w:val="20"/>
          <w:szCs w:val="20"/>
          <w:color w:val="auto"/>
        </w:rPr>
      </w:pPr>
    </w:p>
    <w:p>
      <w:pPr>
        <w:ind w:left="1220" w:hanging="314"/>
        <w:spacing w:after="0"/>
        <w:tabs>
          <w:tab w:leader="none" w:pos="12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eligible to participate in the Company’s annual performance appraisal process.</w:t>
      </w:r>
    </w:p>
    <w:p>
      <w:pPr>
        <w:spacing w:after="0" w:line="246" w:lineRule="exact"/>
        <w:rPr>
          <w:rFonts w:ascii="Times New Roman" w:cs="Times New Roman" w:eastAsia="Times New Roman" w:hAnsi="Times New Roman"/>
          <w:sz w:val="22"/>
          <w:szCs w:val="22"/>
          <w:color w:val="auto"/>
        </w:rPr>
      </w:pPr>
    </w:p>
    <w:p>
      <w:pPr>
        <w:ind w:left="1020" w:hanging="210"/>
        <w:spacing w:after="0"/>
        <w:tabs>
          <w:tab w:leader="none" w:pos="10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both"/>
        <w:ind w:right="20" w:firstLine="757"/>
        <w:spacing w:after="0" w:line="251" w:lineRule="auto"/>
        <w:tabs>
          <w:tab w:leader="none" w:pos="107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such duties and functions consistent with the position of Senior Vice President, Finance, Chief Accounting Officer &amp; Corporate Controller and/or as the Company shall from time to time determine and Executive shall comply in the performance of his duties with the policies of, and be subject to the direction of the Company.</w:t>
      </w:r>
    </w:p>
    <w:p>
      <w:pPr>
        <w:spacing w:after="0" w:line="205" w:lineRule="exact"/>
        <w:rPr>
          <w:rFonts w:ascii="Times New Roman" w:cs="Times New Roman" w:eastAsia="Times New Roman" w:hAnsi="Times New Roman"/>
          <w:sz w:val="22"/>
          <w:szCs w:val="22"/>
          <w:color w:val="auto"/>
        </w:rPr>
      </w:pPr>
    </w:p>
    <w:p>
      <w:pPr>
        <w:jc w:val="both"/>
        <w:ind w:firstLine="757"/>
        <w:spacing w:after="0" w:line="241" w:lineRule="auto"/>
        <w:tabs>
          <w:tab w:leader="none" w:pos="105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his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spacing w:after="0" w:line="203" w:lineRule="exact"/>
        <w:rPr>
          <w:rFonts w:ascii="Times New Roman" w:cs="Times New Roman" w:eastAsia="Times New Roman" w:hAnsi="Times New Roman"/>
          <w:sz w:val="22"/>
          <w:szCs w:val="22"/>
          <w:color w:val="auto"/>
        </w:rPr>
      </w:pPr>
    </w:p>
    <w:p>
      <w:pPr>
        <w:ind w:right="120" w:firstLine="757"/>
        <w:spacing w:after="0" w:line="244" w:lineRule="auto"/>
        <w:tabs>
          <w:tab w:leader="none" w:pos="104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13" w:lineRule="exact"/>
        <w:rPr>
          <w:sz w:val="20"/>
          <w:szCs w:val="20"/>
          <w:color w:val="auto"/>
        </w:rPr>
      </w:pPr>
    </w:p>
    <w:p>
      <w:pPr>
        <w:ind w:left="980" w:hanging="223"/>
        <w:spacing w:after="0"/>
        <w:tabs>
          <w:tab w:leader="none" w:pos="9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EFFECT OF TERMINATION</w:t>
      </w:r>
    </w:p>
    <w:p>
      <w:pPr>
        <w:spacing w:after="0" w:line="246" w:lineRule="exact"/>
        <w:rPr>
          <w:rFonts w:ascii="Times New Roman" w:cs="Times New Roman" w:eastAsia="Times New Roman" w:hAnsi="Times New Roman"/>
          <w:sz w:val="22"/>
          <w:szCs w:val="22"/>
          <w:color w:val="auto"/>
        </w:rPr>
      </w:pPr>
    </w:p>
    <w:p>
      <w:pPr>
        <w:ind w:left="1200" w:hanging="294"/>
        <w:spacing w:after="0"/>
        <w:tabs>
          <w:tab w:leader="none" w:pos="120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may be terminated by the Company at any time:</w:t>
      </w:r>
    </w:p>
    <w:p>
      <w:pPr>
        <w:spacing w:after="0" w:line="246" w:lineRule="exact"/>
        <w:rPr>
          <w:rFonts w:ascii="Times New Roman" w:cs="Times New Roman" w:eastAsia="Times New Roman" w:hAnsi="Times New Roman"/>
          <w:sz w:val="22"/>
          <w:szCs w:val="22"/>
          <w:color w:val="auto"/>
        </w:rPr>
      </w:pPr>
    </w:p>
    <w:p>
      <w:pPr>
        <w:jc w:val="both"/>
        <w:ind w:firstLine="1356"/>
        <w:spacing w:after="0" w:line="244" w:lineRule="auto"/>
        <w:tabs>
          <w:tab w:leader="none" w:pos="1660"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3" w:lineRule="exact"/>
        <w:rPr>
          <w:rFonts w:ascii="Times New Roman" w:cs="Times New Roman" w:eastAsia="Times New Roman" w:hAnsi="Times New Roman"/>
          <w:sz w:val="22"/>
          <w:szCs w:val="22"/>
          <w:color w:val="auto"/>
        </w:rPr>
      </w:pPr>
    </w:p>
    <w:p>
      <w:pPr>
        <w:ind w:left="1680" w:hanging="324"/>
        <w:spacing w:after="0"/>
        <w:tabs>
          <w:tab w:leader="none" w:pos="1680"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determination of the Company that there is justifiable cause (as hereinafter defined) for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222" w:lineRule="exact"/>
        <w:rPr>
          <w:rFonts w:ascii="Times New Roman" w:cs="Times New Roman" w:eastAsia="Times New Roman" w:hAnsi="Times New Roman"/>
          <w:sz w:val="22"/>
          <w:szCs w:val="22"/>
          <w:color w:val="auto"/>
        </w:rPr>
      </w:pPr>
    </w:p>
    <w:p>
      <w:pPr>
        <w:ind w:left="1220" w:hanging="314"/>
        <w:spacing w:after="0"/>
        <w:tabs>
          <w:tab w:leader="none" w:pos="122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Employment shall terminate upon:</w:t>
      </w:r>
    </w:p>
    <w:p>
      <w:pPr>
        <w:spacing w:after="0" w:line="246" w:lineRule="exact"/>
        <w:rPr>
          <w:rFonts w:ascii="Times New Roman" w:cs="Times New Roman" w:eastAsia="Times New Roman" w:hAnsi="Times New Roman"/>
          <w:sz w:val="22"/>
          <w:szCs w:val="22"/>
          <w:color w:val="auto"/>
        </w:rPr>
      </w:pPr>
    </w:p>
    <w:p>
      <w:pPr>
        <w:ind w:left="1620" w:hanging="265"/>
        <w:spacing w:after="0"/>
        <w:tabs>
          <w:tab w:leader="none" w:pos="1620" w:val="left"/>
        </w:tabs>
        <w:numPr>
          <w:ilvl w:val="2"/>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Executive;</w:t>
      </w:r>
    </w:p>
    <w:p>
      <w:pPr>
        <w:spacing w:after="0" w:line="247" w:lineRule="exact"/>
        <w:rPr>
          <w:sz w:val="20"/>
          <w:szCs w:val="20"/>
          <w:color w:val="auto"/>
        </w:rPr>
      </w:pPr>
    </w:p>
    <w:p>
      <w:pPr>
        <w:ind w:right="860" w:firstLine="757"/>
        <w:spacing w:after="0" w:line="258" w:lineRule="auto"/>
        <w:tabs>
          <w:tab w:leader="none" w:pos="106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Company elects to terminate the Term of Employment by reason of the "disability" of Executive (as hereinafter defined in subsection (c) herein) pursuant to subsection (g) hereof; or</w:t>
      </w:r>
    </w:p>
    <w:p>
      <w:pPr>
        <w:spacing w:after="0" w:line="198" w:lineRule="exact"/>
        <w:rPr>
          <w:rFonts w:ascii="Times New Roman" w:cs="Times New Roman" w:eastAsia="Times New Roman" w:hAnsi="Times New Roman"/>
          <w:sz w:val="22"/>
          <w:szCs w:val="22"/>
          <w:color w:val="auto"/>
        </w:rPr>
      </w:pPr>
    </w:p>
    <w:p>
      <w:pPr>
        <w:ind w:left="1740" w:hanging="385"/>
        <w:spacing w:after="0"/>
        <w:tabs>
          <w:tab w:leader="none" w:pos="1740"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resignation of employment.</w:t>
      </w:r>
    </w:p>
    <w:p>
      <w:pPr>
        <w:spacing w:after="0" w:line="233" w:lineRule="exact"/>
        <w:rPr>
          <w:rFonts w:ascii="Times New Roman" w:cs="Times New Roman" w:eastAsia="Times New Roman" w:hAnsi="Times New Roman"/>
          <w:sz w:val="22"/>
          <w:szCs w:val="22"/>
          <w:color w:val="auto"/>
        </w:rPr>
      </w:pPr>
    </w:p>
    <w:p>
      <w:pPr>
        <w:jc w:val="both"/>
        <w:ind w:firstLine="944"/>
        <w:spacing w:after="0" w:line="250" w:lineRule="auto"/>
        <w:tabs>
          <w:tab w:leader="none" w:pos="129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both"/>
        <w:ind w:firstLine="906"/>
        <w:spacing w:after="0" w:line="238" w:lineRule="auto"/>
        <w:tabs>
          <w:tab w:leader="none" w:pos="1212"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p>
    <w:p>
      <w:pPr>
        <w:spacing w:after="0" w:line="208" w:lineRule="exact"/>
        <w:rPr>
          <w:rFonts w:ascii="Times New Roman" w:cs="Times New Roman" w:eastAsia="Times New Roman" w:hAnsi="Times New Roman"/>
          <w:sz w:val="22"/>
          <w:szCs w:val="22"/>
          <w:color w:val="auto"/>
        </w:rPr>
      </w:pPr>
    </w:p>
    <w:p>
      <w:pPr>
        <w:jc w:val="both"/>
        <w:ind w:firstLine="757"/>
        <w:spacing w:after="0" w:line="260" w:lineRule="auto"/>
        <w:tabs>
          <w:tab w:leader="none" w:pos="104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terminates this Agreement without "justifiable cause" as provided in subsection 7(a)(i), the Company shall pay Executive his then current base salary for six months (that is, the one month notice period referenced in Paragraph 7(a)</w:t>
      </w:r>
    </w:p>
    <w:p>
      <w:pPr>
        <w:ind w:left="280" w:hanging="272"/>
        <w:spacing w:after="0"/>
        <w:tabs>
          <w:tab w:leader="none" w:pos="2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five months after the effectiveness of such termination), payable in equal payments in accordance with the Company’s</w:t>
      </w:r>
    </w:p>
    <w:p>
      <w:pPr>
        <w:spacing w:after="0" w:line="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221" w:lineRule="exact"/>
        <w:rPr>
          <w:sz w:val="20"/>
          <w:szCs w:val="20"/>
          <w:color w:val="auto"/>
        </w:rPr>
      </w:pPr>
    </w:p>
    <w:p>
      <w:pPr>
        <w:jc w:val="both"/>
        <w:ind w:firstLine="906"/>
        <w:spacing w:after="0" w:line="244" w:lineRule="auto"/>
        <w:tabs>
          <w:tab w:leader="none" w:pos="117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213" w:lineRule="exact"/>
        <w:rPr>
          <w:rFonts w:ascii="Times New Roman" w:cs="Times New Roman" w:eastAsia="Times New Roman" w:hAnsi="Times New Roman"/>
          <w:sz w:val="22"/>
          <w:szCs w:val="22"/>
          <w:color w:val="auto"/>
        </w:rPr>
      </w:pPr>
    </w:p>
    <w:p>
      <w:pPr>
        <w:jc w:val="both"/>
        <w:ind w:firstLine="906"/>
        <w:spacing w:after="0" w:line="244" w:lineRule="auto"/>
        <w:tabs>
          <w:tab w:leader="none" w:pos="125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213" w:lineRule="exact"/>
        <w:rPr>
          <w:rFonts w:ascii="Times New Roman" w:cs="Times New Roman" w:eastAsia="Times New Roman" w:hAnsi="Times New Roman"/>
          <w:sz w:val="22"/>
          <w:szCs w:val="22"/>
          <w:color w:val="auto"/>
        </w:rPr>
      </w:pPr>
    </w:p>
    <w:p>
      <w:pPr>
        <w:ind w:right="260" w:firstLine="906"/>
        <w:spacing w:after="0" w:line="260" w:lineRule="auto"/>
        <w:tabs>
          <w:tab w:leader="none" w:pos="12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resignation of Executive in any capacity, that resignation will be deemed to be a resignation from all offices and positions that Executive holds with respect to the Company and any of its subsidiaries and affiliates. In the event of</w:t>
      </w:r>
    </w:p>
    <w:p>
      <w:pPr>
        <w:spacing w:after="0" w:line="235" w:lineRule="auto"/>
        <w:rPr>
          <w:sz w:val="20"/>
          <w:szCs w:val="20"/>
          <w:color w:val="auto"/>
        </w:rPr>
      </w:pPr>
      <w:r>
        <w:rPr>
          <w:rFonts w:ascii="Times New Roman" w:cs="Times New Roman" w:eastAsia="Times New Roman" w:hAnsi="Times New Roman"/>
          <w:sz w:val="22"/>
          <w:szCs w:val="22"/>
          <w:color w:val="auto"/>
        </w:rPr>
        <w:t>Executive’s resignation, 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ind w:right="40"/>
        <w:spacing w:after="0" w:line="259" w:lineRule="auto"/>
        <w:rPr>
          <w:sz w:val="20"/>
          <w:szCs w:val="20"/>
          <w:color w:val="auto"/>
        </w:rPr>
      </w:pPr>
      <w:r>
        <w:rPr>
          <w:rFonts w:ascii="Times New Roman" w:cs="Times New Roman" w:eastAsia="Times New Roman" w:hAnsi="Times New Roman"/>
          <w:sz w:val="22"/>
          <w:szCs w:val="22"/>
          <w:color w:val="auto"/>
        </w:rPr>
        <w:t>shall be entitled only to receive such portion of his annual Base Salary and reimbursement of expenses pursuant to paragraph 4 as have been accrued through the date of his resignation.</w:t>
      </w:r>
    </w:p>
    <w:p>
      <w:pPr>
        <w:spacing w:after="0" w:line="197" w:lineRule="exact"/>
        <w:rPr>
          <w:sz w:val="20"/>
          <w:szCs w:val="20"/>
          <w:color w:val="auto"/>
        </w:rPr>
      </w:pPr>
    </w:p>
    <w:p>
      <w:pPr>
        <w:ind w:right="60" w:firstLine="906"/>
        <w:spacing w:after="0" w:line="248" w:lineRule="auto"/>
        <w:tabs>
          <w:tab w:leader="none" w:pos="11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226" w:lineRule="exact"/>
        <w:rPr>
          <w:rFonts w:ascii="Times New Roman" w:cs="Times New Roman" w:eastAsia="Times New Roman" w:hAnsi="Times New Roman"/>
          <w:sz w:val="21"/>
          <w:szCs w:val="21"/>
          <w:color w:val="auto"/>
        </w:rPr>
      </w:pPr>
    </w:p>
    <w:p>
      <w:pPr>
        <w:ind w:firstLine="8"/>
        <w:spacing w:after="0" w:line="258" w:lineRule="auto"/>
        <w:tabs>
          <w:tab w:leader="none" w:pos="27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of Certain Compensation and Benefits. If, after the termination of the Term of Employment for any reason other than by the Company for “justifiable cause”:</w:t>
      </w:r>
    </w:p>
    <w:p>
      <w:pPr>
        <w:spacing w:after="0" w:line="172" w:lineRule="exact"/>
        <w:rPr>
          <w:sz w:val="20"/>
          <w:szCs w:val="20"/>
          <w:color w:val="auto"/>
        </w:rPr>
      </w:pPr>
    </w:p>
    <w:p>
      <w:pPr>
        <w:jc w:val="both"/>
        <w:ind w:firstLine="1779"/>
        <w:spacing w:after="0"/>
        <w:rPr>
          <w:sz w:val="20"/>
          <w:szCs w:val="20"/>
          <w:color w:val="auto"/>
        </w:rPr>
      </w:pPr>
      <w:r>
        <w:rPr>
          <w:rFonts w:ascii="Times New Roman" w:cs="Times New Roman" w:eastAsia="Times New Roman" w:hAnsi="Times New Roman"/>
          <w:sz w:val="22"/>
          <w:szCs w:val="22"/>
          <w:color w:val="auto"/>
        </w:rPr>
        <w:t>A.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93" w:lineRule="exact"/>
        <w:rPr>
          <w:sz w:val="20"/>
          <w:szCs w:val="20"/>
          <w:color w:val="auto"/>
        </w:rPr>
      </w:pPr>
    </w:p>
    <w:p>
      <w:pPr>
        <w:jc w:val="both"/>
        <w:ind w:firstLine="1779"/>
        <w:spacing w:after="0" w:line="244" w:lineRule="auto"/>
        <w:rPr>
          <w:sz w:val="20"/>
          <w:szCs w:val="20"/>
          <w:color w:val="auto"/>
        </w:rPr>
      </w:pPr>
      <w:r>
        <w:rPr>
          <w:rFonts w:ascii="Times New Roman" w:cs="Times New Roman" w:eastAsia="Times New Roman" w:hAnsi="Times New Roman"/>
          <w:sz w:val="22"/>
          <w:szCs w:val="22"/>
          <w:color w:val="auto"/>
        </w:rPr>
        <w:t>B. 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73" w:lineRule="exact"/>
        <w:rPr>
          <w:sz w:val="20"/>
          <w:szCs w:val="20"/>
          <w:color w:val="auto"/>
        </w:rPr>
      </w:pPr>
    </w:p>
    <w:p>
      <w:pPr>
        <w:jc w:val="both"/>
        <w:ind w:firstLine="2995"/>
        <w:spacing w:after="0" w:line="250" w:lineRule="auto"/>
        <w:rPr>
          <w:sz w:val="20"/>
          <w:szCs w:val="20"/>
          <w:color w:val="auto"/>
        </w:rPr>
      </w:pPr>
      <w:r>
        <w:rPr>
          <w:rFonts w:ascii="Times New Roman" w:cs="Times New Roman" w:eastAsia="Times New Roman" w:hAnsi="Times New Roman"/>
          <w:sz w:val="22"/>
          <w:szCs w:val="22"/>
          <w:color w:val="auto"/>
        </w:rPr>
        <w:t>1) the Executive shall be required to pay to the Company, immediately upon written demand by the Company, all amounts paid to Executive by the Company, whether or not pursuant to this Agreement (other than such portion of Executive’s Base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21"/>
          <w:szCs w:val="21"/>
          <w:color w:val="auto"/>
        </w:rPr>
        <w:t>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2)</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all vested and unvested Awards (as that term is defined in</w:t>
            </w:r>
          </w:p>
        </w:tc>
      </w:tr>
      <w:tr>
        <w:trPr>
          <w:trHeight w:val="282"/>
        </w:trPr>
        <w:tc>
          <w:tcPr>
            <w:tcW w:w="1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2016 Incentive Compensation Plan) then held by the Executive shall immediately expire; and</w:t>
            </w:r>
          </w:p>
        </w:tc>
      </w:tr>
      <w:tr>
        <w:trPr>
          <w:trHeight w:val="457"/>
        </w:trPr>
        <w:tc>
          <w:tcPr>
            <w:tcW w:w="46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3)</w:t>
            </w:r>
          </w:p>
        </w:tc>
        <w:tc>
          <w:tcPr>
            <w:tcW w:w="66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the Executive shall be required to pay to the Company,</w:t>
            </w: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81" w:lineRule="exact"/>
        <w:rPr>
          <w:sz w:val="20"/>
          <w:szCs w:val="20"/>
          <w:color w:val="auto"/>
        </w:rPr>
      </w:pPr>
    </w:p>
    <w:p>
      <w:pPr>
        <w:ind w:right="100" w:firstLine="906"/>
        <w:spacing w:after="0" w:line="250" w:lineRule="auto"/>
        <w:tabs>
          <w:tab w:leader="none" w:pos="120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spacing w:after="0" w:line="167" w:lineRule="exact"/>
        <w:rPr>
          <w:rFonts w:ascii="Times New Roman" w:cs="Times New Roman" w:eastAsia="Times New Roman" w:hAnsi="Times New Roman"/>
          <w:sz w:val="22"/>
          <w:szCs w:val="22"/>
          <w:color w:val="auto"/>
        </w:rPr>
      </w:pPr>
    </w:p>
    <w:p>
      <w:pPr>
        <w:ind w:left="980" w:hanging="223"/>
        <w:spacing w:after="0"/>
        <w:tabs>
          <w:tab w:leader="none" w:pos="9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p>
    <w:p>
      <w:pPr>
        <w:spacing w:after="0" w:line="206" w:lineRule="exact"/>
        <w:rPr>
          <w:sz w:val="20"/>
          <w:szCs w:val="20"/>
          <w:color w:val="auto"/>
        </w:rPr>
      </w:pPr>
    </w:p>
    <w:p>
      <w:pPr>
        <w:jc w:val="both"/>
        <w:ind w:firstLine="757"/>
        <w:spacing w:after="0" w:line="239" w:lineRule="auto"/>
        <w:tabs>
          <w:tab w:leader="none" w:pos="104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94" w:lineRule="exact"/>
        <w:rPr>
          <w:rFonts w:ascii="Times New Roman" w:cs="Times New Roman" w:eastAsia="Times New Roman" w:hAnsi="Times New Roman"/>
          <w:sz w:val="22"/>
          <w:szCs w:val="22"/>
          <w:color w:val="auto"/>
        </w:rPr>
      </w:pPr>
    </w:p>
    <w:p>
      <w:pPr>
        <w:jc w:val="both"/>
        <w:ind w:firstLine="757"/>
        <w:spacing w:after="0" w:line="250" w:lineRule="auto"/>
        <w:tabs>
          <w:tab w:leader="none" w:pos="106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ind w:left="1060" w:hanging="303"/>
        <w:spacing w:after="0"/>
        <w:tabs>
          <w:tab w:leader="none" w:pos="10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 Delay for “Specified Employees”.</w:t>
      </w:r>
    </w:p>
    <w:p>
      <w:pPr>
        <w:spacing w:after="0" w:line="206" w:lineRule="exact"/>
        <w:rPr>
          <w:rFonts w:ascii="Times New Roman" w:cs="Times New Roman" w:eastAsia="Times New Roman" w:hAnsi="Times New Roman"/>
          <w:sz w:val="22"/>
          <w:szCs w:val="22"/>
          <w:color w:val="auto"/>
        </w:rPr>
      </w:pPr>
    </w:p>
    <w:p>
      <w:pPr>
        <w:ind w:firstLine="1505"/>
        <w:spacing w:after="0" w:line="253" w:lineRule="auto"/>
        <w:tabs>
          <w:tab w:leader="none" w:pos="1755"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92" w:lineRule="exact"/>
        <w:rPr>
          <w:rFonts w:ascii="Times New Roman" w:cs="Times New Roman" w:eastAsia="Times New Roman" w:hAnsi="Times New Roman"/>
          <w:sz w:val="21"/>
          <w:szCs w:val="21"/>
          <w:color w:val="auto"/>
        </w:rPr>
      </w:pPr>
    </w:p>
    <w:p>
      <w:pPr>
        <w:jc w:val="both"/>
        <w:ind w:firstLine="1505"/>
        <w:spacing w:after="0" w:line="244" w:lineRule="auto"/>
        <w:tabs>
          <w:tab w:leader="none" w:pos="1819"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0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2" w:lineRule="exact"/>
        <w:rPr>
          <w:rFonts w:ascii="Times New Roman" w:cs="Times New Roman" w:eastAsia="Times New Roman" w:hAnsi="Times New Roman"/>
          <w:sz w:val="22"/>
          <w:szCs w:val="22"/>
          <w:color w:val="auto"/>
        </w:rPr>
      </w:pPr>
    </w:p>
    <w:p>
      <w:pPr>
        <w:jc w:val="both"/>
        <w:ind w:firstLine="757"/>
        <w:spacing w:after="0" w:line="248" w:lineRule="auto"/>
        <w:tabs>
          <w:tab w:leader="none" w:pos="105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6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Taxable Reimbursements.</w:t>
      </w:r>
    </w:p>
    <w:p>
      <w:pPr>
        <w:spacing w:after="0" w:line="206" w:lineRule="exact"/>
        <w:rPr>
          <w:rFonts w:ascii="Times New Roman" w:cs="Times New Roman" w:eastAsia="Times New Roman" w:hAnsi="Times New Roman"/>
          <w:sz w:val="22"/>
          <w:szCs w:val="22"/>
          <w:color w:val="auto"/>
        </w:rPr>
      </w:pPr>
    </w:p>
    <w:p>
      <w:pPr>
        <w:jc w:val="both"/>
        <w:ind w:firstLine="1505"/>
        <w:spacing w:after="0" w:line="248" w:lineRule="auto"/>
        <w:tabs>
          <w:tab w:leader="none" w:pos="1769"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69" w:lineRule="exact"/>
        <w:rPr>
          <w:rFonts w:ascii="Times New Roman" w:cs="Times New Roman" w:eastAsia="Times New Roman" w:hAnsi="Times New Roman"/>
          <w:sz w:val="22"/>
          <w:szCs w:val="22"/>
          <w:color w:val="auto"/>
        </w:rPr>
      </w:pPr>
    </w:p>
    <w:p>
      <w:pPr>
        <w:ind w:firstLine="1505"/>
        <w:spacing w:after="0" w:line="282" w:lineRule="auto"/>
        <w:tabs>
          <w:tab w:leader="none" w:pos="1823"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48" w:lineRule="exact"/>
        <w:rPr>
          <w:rFonts w:ascii="Times New Roman" w:cs="Times New Roman" w:eastAsia="Times New Roman" w:hAnsi="Times New Roman"/>
          <w:sz w:val="21"/>
          <w:szCs w:val="21"/>
          <w:color w:val="auto"/>
        </w:rPr>
      </w:pPr>
    </w:p>
    <w:p>
      <w:pPr>
        <w:ind w:left="1880" w:hanging="375"/>
        <w:spacing w:after="0"/>
        <w:tabs>
          <w:tab w:leader="none" w:pos="188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Taxable Reimbursements shall not be subject to liquidation or exchange for another benefit.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ind w:left="980" w:hanging="223"/>
        <w:spacing w:after="0"/>
        <w:tabs>
          <w:tab w:leader="none" w:pos="98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AND AGREEMENTS OF EXECUTIVE</w:t>
      </w:r>
    </w:p>
    <w:p>
      <w:pPr>
        <w:spacing w:after="0" w:line="247" w:lineRule="exact"/>
        <w:rPr>
          <w:rFonts w:ascii="Times New Roman" w:cs="Times New Roman" w:eastAsia="Times New Roman" w:hAnsi="Times New Roman"/>
          <w:sz w:val="22"/>
          <w:szCs w:val="22"/>
          <w:color w:val="auto"/>
        </w:rPr>
      </w:pPr>
    </w:p>
    <w:p>
      <w:pPr>
        <w:jc w:val="both"/>
        <w:ind w:firstLine="8"/>
        <w:spacing w:after="0" w:line="250" w:lineRule="auto"/>
        <w:tabs>
          <w:tab w:leader="none" w:pos="30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94" w:lineRule="exact"/>
        <w:rPr>
          <w:rFonts w:ascii="Times New Roman" w:cs="Times New Roman" w:eastAsia="Times New Roman" w:hAnsi="Times New Roman"/>
          <w:sz w:val="22"/>
          <w:szCs w:val="22"/>
          <w:color w:val="auto"/>
        </w:rPr>
      </w:pPr>
    </w:p>
    <w:p>
      <w:pPr>
        <w:ind w:right="220" w:firstLine="944"/>
        <w:spacing w:after="0" w:line="268" w:lineRule="auto"/>
        <w:tabs>
          <w:tab w:leader="none" w:pos="1242" w:val="left"/>
        </w:tabs>
        <w:numPr>
          <w:ilvl w:val="2"/>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90" w:lineRule="exact"/>
        <w:rPr>
          <w:rFonts w:ascii="Times New Roman" w:cs="Times New Roman" w:eastAsia="Times New Roman" w:hAnsi="Times New Roman"/>
          <w:sz w:val="21"/>
          <w:szCs w:val="21"/>
          <w:color w:val="auto"/>
        </w:rPr>
      </w:pPr>
    </w:p>
    <w:p>
      <w:pPr>
        <w:ind w:right="80" w:firstLine="944"/>
        <w:spacing w:after="0" w:line="250" w:lineRule="auto"/>
        <w:tabs>
          <w:tab w:leader="none" w:pos="1230"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94" w:lineRule="exact"/>
        <w:rPr>
          <w:rFonts w:ascii="Times New Roman" w:cs="Times New Roman" w:eastAsia="Times New Roman" w:hAnsi="Times New Roman"/>
          <w:sz w:val="22"/>
          <w:szCs w:val="22"/>
          <w:color w:val="auto"/>
        </w:rPr>
      </w:pPr>
    </w:p>
    <w:p>
      <w:pPr>
        <w:jc w:val="both"/>
        <w:ind w:firstLine="944"/>
        <w:spacing w:after="0" w:line="250" w:lineRule="auto"/>
        <w:tabs>
          <w:tab w:leader="none" w:pos="1253"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that he has never been a party to any judicial or administrative proceeding that resulted in a judgment, decree, or final order (i) enjoining his from future violations of, or prohibiting any violations of any federal or state securities law, or (ii) finding any violations of any federal or state securities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 Executive represents and warrants that he has never been accused of any impropriety in connection with any employment;</w:t>
      </w:r>
    </w:p>
    <w:p>
      <w:pPr>
        <w:spacing w:after="0" w:line="2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Any breach of any of the above representations and warranties is "justifiable cause" for termination under paragraph 7(d) of this Agreement.</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 NON-COMPETITION</w:t>
      </w:r>
    </w:p>
    <w:p>
      <w:pPr>
        <w:spacing w:after="0" w:line="206" w:lineRule="exact"/>
        <w:rPr>
          <w:sz w:val="20"/>
          <w:szCs w:val="20"/>
          <w:color w:val="auto"/>
        </w:rPr>
      </w:pPr>
    </w:p>
    <w:p>
      <w:pPr>
        <w:ind w:right="20" w:firstLine="757"/>
        <w:spacing w:after="0" w:line="237" w:lineRule="auto"/>
        <w:tabs>
          <w:tab w:leader="none" w:pos="104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promotion to Senior Vice President, Finance, Chief Accounting Officer &amp; Corporate Controller, the corresponding $8,000.00 gross salary increase, the increased bonus percentage participation and automobile allowance,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provided services or had a material presence or influence on behalf of 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ind w:right="120"/>
        <w:spacing w:after="0" w:line="244" w:lineRule="auto"/>
        <w:rPr>
          <w:sz w:val="20"/>
          <w:szCs w:val="20"/>
          <w:color w:val="auto"/>
        </w:rPr>
      </w:pPr>
      <w:r>
        <w:rPr>
          <w:rFonts w:ascii="Times New Roman" w:cs="Times New Roman" w:eastAsia="Times New Roman" w:hAnsi="Times New Roman"/>
          <w:sz w:val="22"/>
          <w:szCs w:val="22"/>
          <w:color w:val="auto"/>
        </w:rPr>
        <w:t>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14" w:lineRule="exact"/>
        <w:rPr>
          <w:sz w:val="20"/>
          <w:szCs w:val="20"/>
          <w:color w:val="auto"/>
        </w:rPr>
      </w:pPr>
    </w:p>
    <w:p>
      <w:pPr>
        <w:ind w:firstLine="757"/>
        <w:spacing w:after="0" w:line="258" w:lineRule="auto"/>
        <w:tabs>
          <w:tab w:leader="none" w:pos="105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7" w:lineRule="exact"/>
        <w:rPr>
          <w:rFonts w:ascii="Times New Roman" w:cs="Times New Roman" w:eastAsia="Times New Roman" w:hAnsi="Times New Roman"/>
          <w:sz w:val="21"/>
          <w:szCs w:val="21"/>
          <w:color w:val="auto"/>
        </w:rPr>
      </w:pPr>
    </w:p>
    <w:p>
      <w:pPr>
        <w:ind w:right="20" w:firstLine="757"/>
        <w:spacing w:after="0" w:line="241" w:lineRule="auto"/>
        <w:tabs>
          <w:tab w:leader="none" w:pos="104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7" w:lineRule="exact"/>
        <w:rPr>
          <w:rFonts w:ascii="Times New Roman" w:cs="Times New Roman" w:eastAsia="Times New Roman" w:hAnsi="Times New Roman"/>
          <w:sz w:val="22"/>
          <w:szCs w:val="22"/>
          <w:color w:val="auto"/>
        </w:rPr>
      </w:pPr>
    </w:p>
    <w:p>
      <w:pPr>
        <w:ind w:right="60" w:firstLine="757"/>
        <w:spacing w:after="0" w:line="243" w:lineRule="auto"/>
        <w:tabs>
          <w:tab w:leader="none" w:pos="105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4" w:lineRule="exact"/>
        <w:rPr>
          <w:sz w:val="20"/>
          <w:szCs w:val="20"/>
          <w:color w:val="auto"/>
        </w:rPr>
      </w:pPr>
    </w:p>
    <w:p>
      <w:pPr>
        <w:ind w:left="1080" w:hanging="323"/>
        <w:spacing w:after="0"/>
        <w:tabs>
          <w:tab w:leader="none" w:pos="10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DISCOVERIES</w:t>
      </w:r>
    </w:p>
    <w:p>
      <w:pPr>
        <w:spacing w:after="0" w:line="247" w:lineRule="exact"/>
        <w:rPr>
          <w:sz w:val="20"/>
          <w:szCs w:val="20"/>
          <w:color w:val="auto"/>
        </w:rPr>
      </w:pPr>
    </w:p>
    <w:p>
      <w:pPr>
        <w:ind w:right="100" w:firstLine="757"/>
        <w:spacing w:after="0"/>
        <w:tabs>
          <w:tab w:leader="none" w:pos="1043"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his as a consequence of his employment or the rendering of advisory and consulting services hereunder (collectively the "Subject Matter").</w:t>
      </w:r>
    </w:p>
    <w:p>
      <w:pPr>
        <w:spacing w:after="0" w:line="217" w:lineRule="exact"/>
        <w:rPr>
          <w:rFonts w:ascii="Times New Roman" w:cs="Times New Roman" w:eastAsia="Times New Roman" w:hAnsi="Times New Roman"/>
          <w:sz w:val="22"/>
          <w:szCs w:val="22"/>
          <w:color w:val="auto"/>
        </w:rPr>
      </w:pPr>
    </w:p>
    <w:p>
      <w:pPr>
        <w:ind w:right="60" w:firstLine="8"/>
        <w:spacing w:after="0" w:line="243" w:lineRule="auto"/>
        <w:tabs>
          <w:tab w:leader="none" w:pos="30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w:t>
      </w: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3" w:name="page74"/>
    <w:bookmarkEnd w:id="73"/>
    <w:p>
      <w:pPr>
        <w:ind w:right="40"/>
        <w:spacing w:after="0" w:line="239" w:lineRule="auto"/>
        <w:rPr>
          <w:sz w:val="20"/>
          <w:szCs w:val="20"/>
          <w:color w:val="auto"/>
        </w:rPr>
      </w:pPr>
      <w:r>
        <w:rPr>
          <w:rFonts w:ascii="Times New Roman" w:cs="Times New Roman" w:eastAsia="Times New Roman" w:hAnsi="Times New Roman"/>
          <w:sz w:val="22"/>
          <w:szCs w:val="22"/>
          <w:color w:val="auto"/>
        </w:rPr>
        <w:t>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22" w:lineRule="exact"/>
        <w:rPr>
          <w:sz w:val="20"/>
          <w:szCs w:val="20"/>
          <w:color w:val="auto"/>
        </w:rPr>
      </w:pPr>
    </w:p>
    <w:p>
      <w:pPr>
        <w:ind w:left="1080" w:hanging="323"/>
        <w:spacing w:after="0"/>
        <w:tabs>
          <w:tab w:leader="none" w:pos="10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p>
    <w:p>
      <w:pPr>
        <w:spacing w:after="0" w:line="247" w:lineRule="exact"/>
        <w:rPr>
          <w:sz w:val="20"/>
          <w:szCs w:val="20"/>
          <w:color w:val="auto"/>
        </w:rPr>
      </w:pPr>
    </w:p>
    <w:p>
      <w:pPr>
        <w:ind w:firstLine="757"/>
        <w:spacing w:after="0" w:line="249" w:lineRule="auto"/>
        <w:tabs>
          <w:tab w:leader="none" w:pos="1043"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01" w:lineRule="exact"/>
        <w:rPr>
          <w:rFonts w:ascii="Times New Roman" w:cs="Times New Roman" w:eastAsia="Times New Roman" w:hAnsi="Times New Roman"/>
          <w:sz w:val="21"/>
          <w:szCs w:val="21"/>
          <w:color w:val="auto"/>
        </w:rPr>
      </w:pPr>
    </w:p>
    <w:p>
      <w:pPr>
        <w:ind w:firstLine="757"/>
        <w:spacing w:after="0" w:line="243" w:lineRule="auto"/>
        <w:tabs>
          <w:tab w:leader="none" w:pos="1055"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17"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Federal Defend Trade Secrets Act, Executive cannot be held criminally or civilly liable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or state trade secret law for disclosing a trade secret</w:t>
      </w: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ind w:left="260" w:hanging="252"/>
        <w:spacing w:after="0"/>
        <w:tabs>
          <w:tab w:leader="none" w:pos="2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 solely for the</w:t>
      </w:r>
    </w:p>
    <w:p>
      <w:pPr>
        <w:spacing w:after="0" w:line="14" w:lineRule="exact"/>
        <w:rPr>
          <w:rFonts w:ascii="Times New Roman" w:cs="Times New Roman" w:eastAsia="Times New Roman" w:hAnsi="Times New Roman"/>
          <w:sz w:val="22"/>
          <w:szCs w:val="22"/>
          <w:color w:val="auto"/>
        </w:rPr>
      </w:pPr>
    </w:p>
    <w:p>
      <w:pPr>
        <w:ind w:right="1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spacing w:after="0" w:line="178" w:lineRule="exact"/>
        <w:rPr>
          <w:rFonts w:ascii="Times New Roman" w:cs="Times New Roman" w:eastAsia="Times New Roman" w:hAnsi="Times New Roman"/>
          <w:sz w:val="22"/>
          <w:szCs w:val="22"/>
          <w:color w:val="auto"/>
        </w:rPr>
      </w:pPr>
    </w:p>
    <w:p>
      <w:pPr>
        <w:ind w:left="1080" w:hanging="323"/>
        <w:spacing w:after="0"/>
        <w:tabs>
          <w:tab w:leader="none" w:pos="108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p>
    <w:p>
      <w:pPr>
        <w:spacing w:after="0" w:line="24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10" w:lineRule="exact"/>
        <w:rPr>
          <w:sz w:val="20"/>
          <w:szCs w:val="20"/>
          <w:color w:val="auto"/>
        </w:rPr>
      </w:pPr>
    </w:p>
    <w:p>
      <w:pPr>
        <w:ind w:left="1080" w:hanging="323"/>
        <w:spacing w:after="0"/>
        <w:tabs>
          <w:tab w:leader="none" w:pos="10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ALTERATION</w:t>
      </w:r>
    </w:p>
    <w:p>
      <w:pPr>
        <w:spacing w:after="0" w:line="247" w:lineRule="exact"/>
        <w:rPr>
          <w:sz w:val="20"/>
          <w:szCs w:val="20"/>
          <w:color w:val="auto"/>
        </w:rPr>
      </w:pPr>
    </w:p>
    <w:p>
      <w:pPr>
        <w:ind w:right="200" w:firstLine="749"/>
        <w:spacing w:after="0" w:line="271" w:lineRule="auto"/>
        <w:rPr>
          <w:sz w:val="20"/>
          <w:szCs w:val="20"/>
          <w:color w:val="auto"/>
        </w:rPr>
      </w:pPr>
      <w:r>
        <w:rPr>
          <w:rFonts w:ascii="Times New Roman" w:cs="Times New Roman" w:eastAsia="Times New Roman" w:hAnsi="Times New Roman"/>
          <w:sz w:val="22"/>
          <w:szCs w:val="22"/>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1080" w:hanging="323"/>
        <w:spacing w:after="0"/>
        <w:tabs>
          <w:tab w:leader="none" w:pos="10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47"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99" w:lineRule="exact"/>
        <w:rPr>
          <w:sz w:val="20"/>
          <w:szCs w:val="20"/>
          <w:color w:val="auto"/>
        </w:rPr>
      </w:pPr>
    </w:p>
    <w:p>
      <w:pPr>
        <w:ind w:left="1080" w:hanging="323"/>
        <w:spacing w:after="0"/>
        <w:tabs>
          <w:tab w:leader="none" w:pos="10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p>
    <w:p>
      <w:pPr>
        <w:spacing w:after="0" w:line="24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99" w:lineRule="exact"/>
        <w:rPr>
          <w:sz w:val="20"/>
          <w:szCs w:val="20"/>
          <w:color w:val="auto"/>
        </w:rPr>
      </w:pPr>
    </w:p>
    <w:p>
      <w:pPr>
        <w:ind w:left="1080" w:hanging="323"/>
        <w:spacing w:after="0"/>
        <w:tabs>
          <w:tab w:leader="none" w:pos="10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notices required or permitted to be given hereunder shall be sufficient if in</w:t>
      </w:r>
    </w:p>
    <w:p>
      <w:pPr>
        <w:spacing w:after="0" w:line="1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ind w:left="1080" w:hanging="323"/>
        <w:spacing w:after="0"/>
        <w:tabs>
          <w:tab w:leader="none" w:pos="10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BREACH</w:t>
      </w:r>
    </w:p>
    <w:p>
      <w:pPr>
        <w:spacing w:after="0" w:line="24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It is agreed that a waiver by either party of a breach of any provision of this Agreement shall not operate, or be construed as a waiver of any subsequent breach by that same party.</w:t>
      </w:r>
    </w:p>
    <w:p>
      <w:pPr>
        <w:spacing w:after="0" w:line="199" w:lineRule="exact"/>
        <w:rPr>
          <w:sz w:val="20"/>
          <w:szCs w:val="20"/>
          <w:color w:val="auto"/>
        </w:rPr>
      </w:pPr>
    </w:p>
    <w:p>
      <w:pPr>
        <w:ind w:left="1080" w:hanging="323"/>
        <w:spacing w:after="0"/>
        <w:tabs>
          <w:tab w:leader="none" w:pos="10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AND BINDING EFFECT</w:t>
      </w:r>
    </w:p>
    <w:p>
      <w:pPr>
        <w:spacing w:after="0" w:line="247"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18" w:lineRule="exact"/>
        <w:rPr>
          <w:sz w:val="20"/>
          <w:szCs w:val="20"/>
          <w:color w:val="auto"/>
        </w:rPr>
      </w:pPr>
    </w:p>
    <w:p>
      <w:pPr>
        <w:ind w:left="1080" w:hanging="323"/>
        <w:spacing w:after="0"/>
        <w:tabs>
          <w:tab w:leader="none" w:pos="108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p>
    <w:p>
      <w:pPr>
        <w:spacing w:after="0" w:line="24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95" w:lineRule="exact"/>
        <w:rPr>
          <w:sz w:val="20"/>
          <w:szCs w:val="20"/>
          <w:color w:val="auto"/>
        </w:rPr>
      </w:pPr>
    </w:p>
    <w:p>
      <w:pPr>
        <w:ind w:left="1080" w:hanging="323"/>
        <w:spacing w:after="0"/>
        <w:tabs>
          <w:tab w:leader="none" w:pos="10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DISPUTES</w:t>
      </w:r>
    </w:p>
    <w:p>
      <w:pPr>
        <w:spacing w:after="0" w:line="247" w:lineRule="exact"/>
        <w:rPr>
          <w:sz w:val="20"/>
          <w:szCs w:val="20"/>
          <w:color w:val="auto"/>
        </w:rPr>
      </w:pPr>
    </w:p>
    <w:p>
      <w:pPr>
        <w:ind w:right="700" w:firstLine="749"/>
        <w:spacing w:after="0" w:line="271" w:lineRule="auto"/>
        <w:rPr>
          <w:sz w:val="20"/>
          <w:szCs w:val="20"/>
          <w:color w:val="auto"/>
        </w:rPr>
      </w:pPr>
      <w:r>
        <w:rPr>
          <w:rFonts w:ascii="Times New Roman" w:cs="Times New Roman" w:eastAsia="Times New Roman" w:hAnsi="Times New Roman"/>
          <w:sz w:val="22"/>
          <w:szCs w:val="22"/>
          <w:color w:val="auto"/>
        </w:rPr>
        <w:t>Any and all disputes arising under or in connection with this Agreement shall be resolved in accordance with this paragraph 21 and paragraph 15.</w:t>
      </w:r>
    </w:p>
    <w:p>
      <w:pPr>
        <w:spacing w:after="0" w:line="171" w:lineRule="exact"/>
        <w:rPr>
          <w:sz w:val="20"/>
          <w:szCs w:val="20"/>
          <w:color w:val="auto"/>
        </w:rPr>
      </w:pPr>
    </w:p>
    <w:p>
      <w:pPr>
        <w:ind w:right="320" w:firstLine="749"/>
        <w:spacing w:after="0" w:line="243" w:lineRule="auto"/>
        <w:rPr>
          <w:sz w:val="20"/>
          <w:szCs w:val="20"/>
          <w:color w:val="auto"/>
        </w:rPr>
      </w:pPr>
      <w:r>
        <w:rPr>
          <w:rFonts w:ascii="Times New Roman" w:cs="Times New Roman" w:eastAsia="Times New Roman" w:hAnsi="Times New Roman"/>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18" w:lineRule="exact"/>
        <w:rPr>
          <w:sz w:val="20"/>
          <w:szCs w:val="20"/>
          <w:color w:val="auto"/>
        </w:rPr>
      </w:pPr>
    </w:p>
    <w:p>
      <w:pPr>
        <w:ind w:left="1080" w:hanging="323"/>
        <w:spacing w:after="0"/>
        <w:tabs>
          <w:tab w:leader="none" w:pos="10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p>
    <w:p>
      <w:pPr>
        <w:spacing w:after="0" w:line="233" w:lineRule="exact"/>
        <w:rPr>
          <w:sz w:val="20"/>
          <w:szCs w:val="20"/>
          <w:color w:val="auto"/>
        </w:rPr>
      </w:pPr>
    </w:p>
    <w:p>
      <w:pPr>
        <w:ind w:right="60" w:firstLine="749"/>
        <w:spacing w:after="0" w:line="248" w:lineRule="auto"/>
        <w:rPr>
          <w:sz w:val="20"/>
          <w:szCs w:val="20"/>
          <w:color w:val="auto"/>
        </w:rPr>
      </w:pPr>
      <w:r>
        <w:rPr>
          <w:rFonts w:ascii="Times New Roman" w:cs="Times New Roman" w:eastAsia="Times New Roman" w:hAnsi="Times New Roman"/>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ind w:left="1080" w:hanging="323"/>
        <w:spacing w:after="0"/>
        <w:tabs>
          <w:tab w:leader="none" w:pos="108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p>
    <w:p>
      <w:pPr>
        <w:spacing w:after="0" w:line="24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0" w:lineRule="exact"/>
        <w:rPr>
          <w:sz w:val="20"/>
          <w:szCs w:val="20"/>
          <w:color w:val="auto"/>
        </w:rPr>
      </w:pPr>
    </w:p>
    <w:p>
      <w:pPr>
        <w:spacing w:after="0" w:line="242" w:lineRule="exact"/>
        <w:rPr>
          <w:sz w:val="20"/>
          <w:szCs w:val="20"/>
          <w:color w:val="auto"/>
        </w:rPr>
      </w:pPr>
    </w:p>
    <w:p>
      <w:pPr>
        <w:ind w:right="6880" w:firstLine="757"/>
        <w:spacing w:after="0" w:line="473" w:lineRule="auto"/>
        <w:tabs>
          <w:tab w:leader="none" w:pos="107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SUBSIDIARIES AND AFFILIATES </w:t>
      </w:r>
      <w:r>
        <w:rPr>
          <w:rFonts w:ascii="Times New Roman" w:cs="Times New Roman" w:eastAsia="Times New Roman" w:hAnsi="Times New Roman"/>
          <w:sz w:val="22"/>
          <w:szCs w:val="22"/>
          <w:color w:val="auto"/>
        </w:rPr>
        <w:t>For purposes of this Agreement:</w:t>
      </w:r>
    </w:p>
    <w:p>
      <w:pPr>
        <w:spacing w:after="0" w:line="1" w:lineRule="exact"/>
        <w:rPr>
          <w:rFonts w:ascii="Times New Roman" w:cs="Times New Roman" w:eastAsia="Times New Roman" w:hAnsi="Times New Roman"/>
          <w:sz w:val="22"/>
          <w:szCs w:val="22"/>
          <w:color w:val="auto"/>
        </w:rPr>
      </w:pPr>
    </w:p>
    <w:p>
      <w:pPr>
        <w:ind w:right="40" w:firstLine="8"/>
        <w:spacing w:after="0" w:line="250" w:lineRule="auto"/>
        <w:tabs>
          <w:tab w:leader="none" w:pos="2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95" w:lineRule="exact"/>
        <w:rPr>
          <w:sz w:val="20"/>
          <w:szCs w:val="20"/>
          <w:color w:val="auto"/>
        </w:rPr>
      </w:pPr>
    </w:p>
    <w:p>
      <w:pPr>
        <w:ind w:right="100" w:firstLine="757"/>
        <w:spacing w:after="0" w:line="243" w:lineRule="auto"/>
        <w:tabs>
          <w:tab w:leader="none" w:pos="105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18" w:lineRule="exact"/>
        <w:rPr>
          <w:sz w:val="20"/>
          <w:szCs w:val="20"/>
          <w:color w:val="auto"/>
        </w:rPr>
      </w:pPr>
    </w:p>
    <w:p>
      <w:pPr>
        <w:ind w:left="1080" w:hanging="323"/>
        <w:spacing w:after="0"/>
        <w:tabs>
          <w:tab w:leader="none" w:pos="108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p>
    <w:p>
      <w:pPr>
        <w:spacing w:after="0" w:line="24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99" w:lineRule="exact"/>
        <w:rPr>
          <w:sz w:val="20"/>
          <w:szCs w:val="20"/>
          <w:color w:val="auto"/>
        </w:rPr>
      </w:pPr>
    </w:p>
    <w:p>
      <w:pPr>
        <w:ind w:left="1080" w:hanging="323"/>
        <w:spacing w:after="0"/>
        <w:tabs>
          <w:tab w:leader="none" w:pos="10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p>
    <w:p>
      <w:pPr>
        <w:spacing w:after="0" w:line="247"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42"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DESTINATION XL GROUP, INC.</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Harvey S. Kanter</w:t>
            </w:r>
          </w:p>
        </w:tc>
        <w:tc>
          <w:tcPr>
            <w:tcW w:w="306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7"/>
              </w:rPr>
              <w:t>Date: March 29, 2022</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63"/>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Harvey S. Kanter</w:t>
            </w: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2"/>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Its: President, Chief Executive Officer</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44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John F. Cooney</w:t>
            </w:r>
          </w:p>
        </w:tc>
        <w:tc>
          <w:tcPr>
            <w:tcW w:w="306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w w:val="97"/>
              </w:rPr>
              <w:t>Date: March 29, 2022</w:t>
            </w:r>
          </w:p>
        </w:tc>
      </w:tr>
      <w:tr>
        <w:trPr>
          <w:trHeight w:val="20"/>
        </w:trPr>
        <w:tc>
          <w:tcPr>
            <w:tcW w:w="26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89"/>
        </w:trPr>
        <w:tc>
          <w:tcPr>
            <w:tcW w:w="26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John F. Cooney</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RELEASE OF CLAIMS</w:t>
      </w:r>
    </w:p>
    <w:p>
      <w:pPr>
        <w:spacing w:after="0" w:line="2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i w:val="1"/>
          <w:iCs w:val="1"/>
          <w:color w:val="auto"/>
        </w:rPr>
        <w:t>GENERAL RELEASE OF CLAIMS</w:t>
      </w:r>
    </w:p>
    <w:p>
      <w:pPr>
        <w:spacing w:after="0" w:line="200" w:lineRule="exact"/>
        <w:rPr>
          <w:sz w:val="20"/>
          <w:szCs w:val="20"/>
          <w:color w:val="auto"/>
        </w:rPr>
      </w:pPr>
    </w:p>
    <w:p>
      <w:pPr>
        <w:spacing w:after="0" w:line="215" w:lineRule="exact"/>
        <w:rPr>
          <w:sz w:val="20"/>
          <w:szCs w:val="20"/>
          <w:color w:val="auto"/>
        </w:rPr>
      </w:pPr>
    </w:p>
    <w:p>
      <w:pPr>
        <w:ind w:firstLine="757"/>
        <w:spacing w:after="0" w:line="248" w:lineRule="auto"/>
        <w:tabs>
          <w:tab w:leader="none" w:pos="1552"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John F. Cooney,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as amended, to which a form of this release is attached as Exhibit A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does hereby release and forever discharge, to the maximum extent permitted by law, CMRG Apparel,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8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9" w:name="page80"/>
    <w:bookmarkEnd w:id="79"/>
    <w:p>
      <w:pPr>
        <w:spacing w:after="0" w:line="238" w:lineRule="auto"/>
        <w:rPr>
          <w:sz w:val="20"/>
          <w:szCs w:val="20"/>
          <w:color w:val="auto"/>
        </w:rPr>
      </w:pPr>
      <w:r>
        <w:rPr>
          <w:rFonts w:ascii="Times New Roman" w:cs="Times New Roman" w:eastAsia="Times New Roman" w:hAnsi="Times New Roman"/>
          <w:sz w:val="22"/>
          <w:szCs w:val="22"/>
          <w:color w:val="auto"/>
        </w:rPr>
        <w:t>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84" w:lineRule="exact"/>
        <w:rPr>
          <w:sz w:val="20"/>
          <w:szCs w:val="20"/>
          <w:color w:val="auto"/>
        </w:rPr>
      </w:pPr>
    </w:p>
    <w:p>
      <w:pPr>
        <w:jc w:val="both"/>
        <w:ind w:firstLine="757"/>
        <w:spacing w:after="0" w:line="255" w:lineRule="auto"/>
        <w:tabs>
          <w:tab w:leader="none" w:pos="149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Executive shall not have relinquished his right to commence a Proceeding to challenge whether Executive knowingly and voluntarily waived his rights under ADEA.</w:t>
      </w:r>
    </w:p>
    <w:p>
      <w:pPr>
        <w:spacing w:after="0" w:line="171" w:lineRule="exact"/>
        <w:rPr>
          <w:sz w:val="20"/>
          <w:szCs w:val="20"/>
          <w:color w:val="auto"/>
        </w:rPr>
      </w:pPr>
    </w:p>
    <w:p>
      <w:pPr>
        <w:ind w:left="980" w:hanging="223"/>
        <w:spacing w:after="0"/>
        <w:tabs>
          <w:tab w:leader="none" w:pos="9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757"/>
        <w:spacing w:after="0" w:line="238" w:lineRule="auto"/>
        <w:tabs>
          <w:tab w:leader="none" w:pos="104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w:t>
      </w:r>
      <w:r>
        <w:rPr>
          <w:rFonts w:ascii="Times New Roman" w:cs="Times New Roman" w:eastAsia="Times New Roman" w:hAnsi="Times New Roman"/>
          <w:sz w:val="22"/>
          <w:szCs w:val="22"/>
          <w:color w:val="333333"/>
        </w:rPr>
        <w:t>in which the Executive provided services or had a material presence or influence on behalf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33333"/>
        </w:rPr>
        <w:t>the Company, whether in the United States, Canada, Europe or elsewhere during the two years prior to Executive’s separation from the Company</w:t>
      </w:r>
      <w:r>
        <w:rPr>
          <w:rFonts w:ascii="Times New Roman" w:cs="Times New Roman" w:eastAsia="Times New Roman" w:hAnsi="Times New Roman"/>
          <w:sz w:val="22"/>
          <w:szCs w:val="22"/>
          <w:color w:val="000000"/>
        </w:rPr>
        <w:t>; provided, however, that Executive may own any securities of any corporation which is engaged in such</w:t>
      </w:r>
      <w:r>
        <w:rPr>
          <w:rFonts w:ascii="Times New Roman" w:cs="Times New Roman" w:eastAsia="Times New Roman" w:hAnsi="Times New Roman"/>
          <w:sz w:val="22"/>
          <w:szCs w:val="22"/>
          <w:color w:val="333333"/>
        </w:rPr>
        <w:t xml:space="preserve"> </w:t>
      </w:r>
      <w:r>
        <w:rPr>
          <w:rFonts w:ascii="Times New Roman" w:cs="Times New Roman" w:eastAsia="Times New Roman" w:hAnsi="Times New Roman"/>
          <w:sz w:val="22"/>
          <w:szCs w:val="22"/>
          <w:color w:val="000000"/>
        </w:rPr>
        <w:t>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ind w:firstLine="851"/>
        <w:spacing w:after="0" w:line="258" w:lineRule="auto"/>
        <w:tabs>
          <w:tab w:leader="none" w:pos="1156"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87" w:lineRule="exact"/>
        <w:rPr>
          <w:rFonts w:ascii="Times New Roman" w:cs="Times New Roman" w:eastAsia="Times New Roman" w:hAnsi="Times New Roman"/>
          <w:sz w:val="21"/>
          <w:szCs w:val="21"/>
          <w:color w:val="auto"/>
        </w:rPr>
      </w:pPr>
    </w:p>
    <w:p>
      <w:pPr>
        <w:jc w:val="both"/>
        <w:ind w:firstLine="757"/>
        <w:spacing w:after="0" w:line="241" w:lineRule="auto"/>
        <w:tabs>
          <w:tab w:leader="none" w:pos="108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7" w:lineRule="exact"/>
        <w:rPr>
          <w:rFonts w:ascii="Times New Roman" w:cs="Times New Roman" w:eastAsia="Times New Roman" w:hAnsi="Times New Roman"/>
          <w:sz w:val="22"/>
          <w:szCs w:val="22"/>
          <w:color w:val="auto"/>
        </w:rPr>
      </w:pPr>
    </w:p>
    <w:p>
      <w:pPr>
        <w:jc w:val="both"/>
        <w:ind w:firstLine="757"/>
        <w:spacing w:after="0" w:line="243" w:lineRule="auto"/>
        <w:tabs>
          <w:tab w:leader="none" w:pos="107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0" w:lineRule="exact"/>
        <w:rPr>
          <w:sz w:val="20"/>
          <w:szCs w:val="20"/>
          <w:color w:val="auto"/>
        </w:rPr>
      </w:pPr>
    </w:p>
    <w:p>
      <w:pPr>
        <w:ind w:left="980" w:hanging="223"/>
        <w:spacing w:after="0"/>
        <w:tabs>
          <w:tab w:leader="none" w:pos="98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 and Discoveries.</w:t>
      </w:r>
    </w:p>
    <w:p>
      <w:pPr>
        <w:spacing w:after="0" w:line="251" w:lineRule="exact"/>
        <w:rPr>
          <w:sz w:val="20"/>
          <w:szCs w:val="20"/>
          <w:color w:val="auto"/>
        </w:rPr>
      </w:pPr>
    </w:p>
    <w:p>
      <w:pPr>
        <w:jc w:val="both"/>
        <w:ind w:firstLine="757"/>
        <w:spacing w:after="0"/>
        <w:tabs>
          <w:tab w:leader="none" w:pos="1055"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17" w:lineRule="exact"/>
        <w:rPr>
          <w:rFonts w:ascii="Times New Roman" w:cs="Times New Roman" w:eastAsia="Times New Roman" w:hAnsi="Times New Roman"/>
          <w:sz w:val="22"/>
          <w:szCs w:val="22"/>
          <w:color w:val="auto"/>
        </w:rPr>
      </w:pPr>
    </w:p>
    <w:p>
      <w:pPr>
        <w:jc w:val="both"/>
        <w:ind w:firstLine="8"/>
        <w:spacing w:after="0" w:line="238" w:lineRule="auto"/>
        <w:tabs>
          <w:tab w:leader="none" w:pos="31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line="259" w:lineRule="auto"/>
        <w:rPr>
          <w:sz w:val="20"/>
          <w:szCs w:val="20"/>
          <w:color w:val="auto"/>
        </w:rPr>
      </w:pPr>
      <w:r>
        <w:rPr>
          <w:rFonts w:ascii="Times New Roman" w:cs="Times New Roman" w:eastAsia="Times New Roman" w:hAnsi="Times New Roman"/>
          <w:sz w:val="22"/>
          <w:szCs w:val="22"/>
          <w:color w:val="auto"/>
        </w:rPr>
        <w:t>day (or portion thereof), plus out-of-pocket expenses incurred in rendering such assistance or giving or preparing to give such testimony.</w:t>
      </w:r>
    </w:p>
    <w:p>
      <w:pPr>
        <w:spacing w:after="0" w:line="193" w:lineRule="exact"/>
        <w:rPr>
          <w:sz w:val="20"/>
          <w:szCs w:val="20"/>
          <w:color w:val="auto"/>
        </w:rPr>
      </w:pPr>
    </w:p>
    <w:p>
      <w:pPr>
        <w:ind w:left="980" w:hanging="223"/>
        <w:spacing w:after="0"/>
        <w:tabs>
          <w:tab w:leader="none" w:pos="9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Confidential Information.</w:t>
      </w:r>
    </w:p>
    <w:p>
      <w:pPr>
        <w:spacing w:after="0" w:line="251" w:lineRule="exact"/>
        <w:rPr>
          <w:sz w:val="20"/>
          <w:szCs w:val="20"/>
          <w:color w:val="auto"/>
        </w:rPr>
      </w:pPr>
    </w:p>
    <w:p>
      <w:pPr>
        <w:jc w:val="both"/>
        <w:ind w:firstLine="757"/>
        <w:spacing w:after="0" w:line="237" w:lineRule="auto"/>
        <w:tabs>
          <w:tab w:leader="none" w:pos="107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214" w:lineRule="exact"/>
        <w:rPr>
          <w:rFonts w:ascii="Times New Roman" w:cs="Times New Roman" w:eastAsia="Times New Roman" w:hAnsi="Times New Roman"/>
          <w:sz w:val="22"/>
          <w:szCs w:val="22"/>
          <w:color w:val="auto"/>
        </w:rPr>
      </w:pPr>
    </w:p>
    <w:p>
      <w:pPr>
        <w:jc w:val="both"/>
        <w:ind w:firstLine="757"/>
        <w:spacing w:after="0" w:line="243" w:lineRule="auto"/>
        <w:tabs>
          <w:tab w:leader="none" w:pos="1055"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17" w:lineRule="exact"/>
        <w:rPr>
          <w:rFonts w:ascii="Times New Roman" w:cs="Times New Roman" w:eastAsia="Times New Roman" w:hAnsi="Times New Roman"/>
          <w:sz w:val="22"/>
          <w:szCs w:val="22"/>
          <w:color w:val="auto"/>
        </w:rPr>
      </w:pPr>
    </w:p>
    <w:p>
      <w:pPr>
        <w:jc w:val="both"/>
        <w:ind w:firstLine="757"/>
        <w:spacing w:after="0" w:line="253" w:lineRule="auto"/>
        <w:tabs>
          <w:tab w:leader="none" w:pos="1048"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w:t>
      </w:r>
    </w:p>
    <w:p>
      <w:pPr>
        <w:spacing w:after="0" w:line="2" w:lineRule="exact"/>
        <w:rPr>
          <w:rFonts w:ascii="Times New Roman" w:cs="Times New Roman" w:eastAsia="Times New Roman" w:hAnsi="Times New Roman"/>
          <w:sz w:val="21"/>
          <w:szCs w:val="21"/>
          <w:color w:val="auto"/>
        </w:rPr>
      </w:pPr>
    </w:p>
    <w:p>
      <w:pPr>
        <w:ind w:right="20" w:firstLine="8"/>
        <w:spacing w:after="0" w:line="237" w:lineRule="auto"/>
        <w:tabs>
          <w:tab w:leader="none" w:pos="3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complaint or other document filed under seal in a lawsuit or other proceeding. Notwithstanding this immunity from liability, Executive may be held liable if Executive unlawfully accesses trade secrets by unauthorized means.</w:t>
      </w:r>
    </w:p>
    <w:p>
      <w:pPr>
        <w:spacing w:after="0" w:line="215" w:lineRule="exact"/>
        <w:rPr>
          <w:sz w:val="20"/>
          <w:szCs w:val="20"/>
          <w:color w:val="auto"/>
        </w:rPr>
      </w:pPr>
    </w:p>
    <w:p>
      <w:pPr>
        <w:ind w:firstLine="757"/>
        <w:spacing w:after="0" w:line="251" w:lineRule="auto"/>
        <w:tabs>
          <w:tab w:leader="none" w:pos="99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Executive agrees that if he breaches, or threatens to commit a breach of, any 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paragraphs 3, 4 or 5 (the "Restrictive Covenants"), the</w:t>
      </w: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both"/>
        <w:spacing w:after="0" w:line="239" w:lineRule="auto"/>
        <w:rPr>
          <w:sz w:val="20"/>
          <w:szCs w:val="20"/>
          <w:color w:val="auto"/>
        </w:rPr>
      </w:pPr>
      <w:r>
        <w:rPr>
          <w:rFonts w:ascii="Times New Roman" w:cs="Times New Roman" w:eastAsia="Times New Roman" w:hAnsi="Times New Roman"/>
          <w:sz w:val="22"/>
          <w:szCs w:val="22"/>
          <w:color w:val="auto"/>
        </w:rPr>
        <w:t>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spacing w:after="0" w:line="222" w:lineRule="exact"/>
        <w:rPr>
          <w:sz w:val="20"/>
          <w:szCs w:val="20"/>
          <w:color w:val="auto"/>
        </w:rPr>
      </w:pPr>
    </w:p>
    <w:p>
      <w:pPr>
        <w:jc w:val="both"/>
        <w:ind w:firstLine="757"/>
        <w:spacing w:after="0" w:line="238" w:lineRule="auto"/>
        <w:tabs>
          <w:tab w:leader="none" w:pos="97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spacing w:after="0" w:line="183" w:lineRule="exact"/>
        <w:rPr>
          <w:rFonts w:ascii="Times New Roman" w:cs="Times New Roman" w:eastAsia="Times New Roman" w:hAnsi="Times New Roman"/>
          <w:sz w:val="22"/>
          <w:szCs w:val="22"/>
          <w:color w:val="auto"/>
        </w:rPr>
      </w:pPr>
    </w:p>
    <w:p>
      <w:pPr>
        <w:jc w:val="both"/>
        <w:ind w:firstLine="757"/>
        <w:spacing w:after="0" w:line="250" w:lineRule="auto"/>
        <w:tabs>
          <w:tab w:leader="none" w:pos="99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96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86" w:lineRule="exact"/>
        <w:rPr>
          <w:rFonts w:ascii="Times New Roman" w:cs="Times New Roman" w:eastAsia="Times New Roman" w:hAnsi="Times New Roman"/>
          <w:sz w:val="22"/>
          <w:szCs w:val="22"/>
          <w:color w:val="auto"/>
        </w:rPr>
      </w:pPr>
    </w:p>
    <w:p>
      <w:pPr>
        <w:jc w:val="both"/>
        <w:ind w:firstLine="757"/>
        <w:spacing w:after="0" w:line="250" w:lineRule="auto"/>
        <w:tabs>
          <w:tab w:leader="none" w:pos="108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F. Cooney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04" w:lineRule="exact"/>
        <w:rPr>
          <w:sz w:val="20"/>
          <w:szCs w:val="20"/>
          <w:color w:val="auto"/>
        </w:rPr>
      </w:pPr>
    </w:p>
    <w:p>
      <w:pPr>
        <w:ind w:left="520" w:hanging="512"/>
        <w:spacing w:after="0"/>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May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10"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2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04" w:lineRule="exact"/>
        <w:rPr>
          <w:sz w:val="20"/>
          <w:szCs w:val="20"/>
          <w:color w:val="auto"/>
        </w:rPr>
      </w:pPr>
    </w:p>
    <w:p>
      <w:pPr>
        <w:ind w:left="520" w:hanging="512"/>
        <w:spacing w:after="0"/>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May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April 30, 2022, as filed with the Securities and Exchange Commission on the date hereof (the “Report”), I, Harvey S. Kanter, Chief Executive Officer of the Company, certify pursuant to 18 U.S.C. § 1350, as adopted pursuant to § 906 of the Sarbanes-Oxley Act of 2002, that:</w:t>
      </w:r>
    </w:p>
    <w:p>
      <w:pPr>
        <w:spacing w:after="0" w:line="61" w:lineRule="exact"/>
        <w:rPr>
          <w:sz w:val="20"/>
          <w:szCs w:val="20"/>
          <w:color w:val="auto"/>
        </w:rPr>
      </w:pPr>
    </w:p>
    <w:p>
      <w:pPr>
        <w:ind w:left="1400" w:right="520" w:hanging="374"/>
        <w:spacing w:after="0" w:line="266" w:lineRule="auto"/>
        <w:tabs>
          <w:tab w:leader="none" w:pos="128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400" w:right="300" w:hanging="374"/>
        <w:spacing w:after="0" w:line="282" w:lineRule="auto"/>
        <w:tabs>
          <w:tab w:leader="none" w:pos="128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2" w:lineRule="exact"/>
        <w:rPr>
          <w:sz w:val="20"/>
          <w:szCs w:val="20"/>
          <w:color w:val="auto"/>
        </w:rPr>
      </w:pPr>
    </w:p>
    <w:p>
      <w:pPr>
        <w:ind w:left="20"/>
        <w:spacing w:after="0"/>
        <w:tabs>
          <w:tab w:leader="none" w:pos="620" w:val="left"/>
          <w:tab w:leader="none" w:pos="6780" w:val="left"/>
          <w:tab w:leader="none" w:pos="8400" w:val="left"/>
        </w:tabs>
        <w:rPr>
          <w:sz w:val="20"/>
          <w:szCs w:val="20"/>
          <w:color w:val="auto"/>
        </w:rPr>
      </w:pPr>
      <w:r>
        <w:rPr>
          <w:rFonts w:ascii="Times New Roman" w:cs="Times New Roman" w:eastAsia="Times New Roman" w:hAnsi="Times New Roman"/>
          <w:sz w:val="18"/>
          <w:szCs w:val="18"/>
          <w:color w:val="auto"/>
        </w:rPr>
        <w:t>Date:</w:t>
        <w:tab/>
        <w:t>May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27"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1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April 30, 2022,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1" w:lineRule="exact"/>
        <w:rPr>
          <w:sz w:val="20"/>
          <w:szCs w:val="20"/>
          <w:color w:val="auto"/>
        </w:rPr>
      </w:pPr>
    </w:p>
    <w:p>
      <w:pPr>
        <w:ind w:left="1400" w:right="520" w:hanging="374"/>
        <w:spacing w:after="0" w:line="266" w:lineRule="auto"/>
        <w:tabs>
          <w:tab w:leader="none" w:pos="128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4" w:lineRule="exact"/>
        <w:rPr>
          <w:rFonts w:ascii="Times New Roman" w:cs="Times New Roman" w:eastAsia="Times New Roman" w:hAnsi="Times New Roman"/>
          <w:sz w:val="18"/>
          <w:szCs w:val="18"/>
          <w:color w:val="auto"/>
        </w:rPr>
      </w:pPr>
    </w:p>
    <w:p>
      <w:pPr>
        <w:ind w:left="1400" w:right="300" w:hanging="374"/>
        <w:spacing w:after="0" w:line="282" w:lineRule="auto"/>
        <w:tabs>
          <w:tab w:leader="none" w:pos="128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2"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Times New Roman" w:cs="Times New Roman" w:eastAsia="Times New Roman" w:hAnsi="Times New Roman"/>
          <w:sz w:val="18"/>
          <w:szCs w:val="18"/>
          <w:color w:val="auto"/>
        </w:rPr>
        <w:t>Date:</w:t>
        <w:tab/>
        <w:t>May 26,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Peter H. Stratton, Jr.</w:t>
      </w:r>
    </w:p>
    <w:p>
      <w:pPr>
        <w:spacing w:after="0" w:line="27"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1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decimal"/>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1)"/>
      <w:numFmt w:val="decimal"/>
      <w:start w:val="1"/>
    </w:lvl>
  </w:abstractNum>
  <w:abstractNum w:abstractNumId="6">
    <w:nsid w:val="7D5E18F8"/>
    <w:multiLevelType w:val="hybridMultilevel"/>
    <w:lvl w:ilvl="0">
      <w:lvlJc w:val="left"/>
      <w:lvlText w:val="(%1)"/>
      <w:numFmt w:val="decimal"/>
      <w:start w:val="4"/>
    </w:lvl>
  </w:abstractNum>
  <w:abstractNum w:abstractNumId="7">
    <w:nsid w:val="5F3534A4"/>
    <w:multiLevelType w:val="hybridMultilevel"/>
    <w:lvl w:ilvl="0">
      <w:lvlJc w:val="left"/>
      <w:lvlText w:val="%1"/>
      <w:numFmt w:val="decimal"/>
      <w:start w:val="104"/>
    </w:lvl>
    <w:lvl w:ilvl="1">
      <w:lvlJc w:val="left"/>
      <w:lvlText w:val="*"/>
      <w:numFmt w:val="bullet"/>
      <w:start w:val="1"/>
    </w:lvl>
  </w:abstractNum>
  <w:abstractNum w:abstractNumId="8">
    <w:nsid w:val="73A1821B"/>
    <w:multiLevelType w:val="hybridMultilevel"/>
    <w:lvl w:ilvl="0">
      <w:lvlJc w:val="left"/>
      <w:lvlText w:val="%1."/>
      <w:numFmt w:val="decimal"/>
      <w:start w:val="1"/>
    </w:lvl>
  </w:abstractNum>
  <w:abstractNum w:abstractNumId="9">
    <w:nsid w:val="7DE67713"/>
    <w:multiLevelType w:val="hybridMultilevel"/>
    <w:lvl w:ilvl="0">
      <w:lvlJc w:val="left"/>
      <w:lvlText w:val="%1."/>
      <w:numFmt w:val="decimal"/>
      <w:start w:val="2"/>
    </w:lvl>
  </w:abstractNum>
  <w:abstractNum w:abstractNumId="10">
    <w:nsid w:val="555C55B5"/>
    <w:multiLevelType w:val="hybridMultilevel"/>
    <w:lvl w:ilvl="0">
      <w:lvlJc w:val="left"/>
      <w:lvlText w:val="%1."/>
      <w:numFmt w:val="decimal"/>
      <w:start w:val="3"/>
    </w:lvl>
    <w:lvl w:ilvl="1">
      <w:lvlJc w:val="left"/>
      <w:lvlText w:val="(%2)"/>
      <w:numFmt w:val="lowerLetter"/>
      <w:start w:val="1"/>
    </w:lvl>
  </w:abstractNum>
  <w:abstractNum w:abstractNumId="11">
    <w:nsid w:val="3FA62ACA"/>
    <w:multiLevelType w:val="hybridMultilevel"/>
    <w:lvl w:ilvl="0">
      <w:lvlJc w:val="left"/>
      <w:lvlText w:val="(%1)"/>
      <w:numFmt w:val="lowerLetter"/>
      <w:start w:val="2"/>
    </w:lvl>
  </w:abstractNum>
  <w:abstractNum w:abstractNumId="12">
    <w:nsid w:val="14FCE74E"/>
    <w:multiLevelType w:val="hybridMultilevel"/>
    <w:lvl w:ilvl="0">
      <w:lvlJc w:val="left"/>
      <w:lvlText w:val="(%1)"/>
      <w:numFmt w:val="lowerLetter"/>
      <w:start w:val="3"/>
    </w:lvl>
  </w:abstractNum>
  <w:abstractNum w:abstractNumId="13">
    <w:nsid w:val="6A3DD3E8"/>
    <w:multiLevelType w:val="hybridMultilevel"/>
    <w:lvl w:ilvl="0">
      <w:lvlJc w:val="left"/>
      <w:lvlText w:val="%1."/>
      <w:numFmt w:val="decimal"/>
      <w:start w:val="4"/>
    </w:lvl>
  </w:abstractNum>
  <w:abstractNum w:abstractNumId="14">
    <w:nsid w:val="71C91298"/>
    <w:multiLevelType w:val="hybridMultilevel"/>
    <w:lvl w:ilvl="0">
      <w:lvlJc w:val="left"/>
      <w:lvlText w:val="%1."/>
      <w:numFmt w:val="decimal"/>
      <w:start w:val="5"/>
    </w:lvl>
    <w:lvl w:ilvl="1">
      <w:lvlJc w:val="left"/>
      <w:lvlText w:val="(%2)"/>
      <w:numFmt w:val="lowerLetter"/>
      <w:start w:val="1"/>
    </w:lvl>
  </w:abstractNum>
  <w:abstractNum w:abstractNumId="15">
    <w:nsid w:val="9DAF632"/>
    <w:multiLevelType w:val="hybridMultilevel"/>
    <w:lvl w:ilvl="0">
      <w:lvlJc w:val="left"/>
      <w:lvlText w:val="%1"/>
      <w:numFmt w:val="decimal"/>
      <w:start w:val="1"/>
    </w:lvl>
    <w:lvl w:ilvl="1">
      <w:lvlJc w:val="left"/>
      <w:lvlText w:val="(%2)"/>
      <w:numFmt w:val="lowerLetter"/>
      <w:start w:val="2"/>
    </w:lvl>
  </w:abstractNum>
  <w:abstractNum w:abstractNumId="16">
    <w:nsid w:val="53299938"/>
    <w:multiLevelType w:val="hybridMultilevel"/>
    <w:lvl w:ilvl="0">
      <w:lvlJc w:val="left"/>
      <w:lvlText w:val="%1."/>
      <w:numFmt w:val="decimal"/>
      <w:start w:val="6"/>
    </w:lvl>
    <w:lvl w:ilvl="1">
      <w:lvlJc w:val="left"/>
      <w:lvlText w:val="%2"/>
      <w:numFmt w:val="lowerLetter"/>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
    <w:nsid w:val="1D545C4D"/>
    <w:multiLevelType w:val="hybridMultilevel"/>
    <w:lvl w:ilvl="0">
      <w:lvlJc w:val="left"/>
      <w:lvlText w:val="(%1)"/>
      <w:numFmt w:val="lowerRoman"/>
      <w:start w:val="2"/>
    </w:lvl>
    <w:lvl w:ilvl="1">
      <w:lvlJc w:val="left"/>
      <w:lvlText w:val="(%2)"/>
      <w:numFmt w:val="lowerLetter"/>
      <w:start w:val="2"/>
    </w:lvl>
    <w:lvl w:ilvl="2">
      <w:lvlJc w:val="left"/>
      <w:lvlText w:val="(%3)"/>
      <w:numFmt w:val="lowerLetter"/>
      <w:start w:val="61"/>
    </w:lvl>
  </w:abstractNum>
  <w:abstractNum w:abstractNumId="20">
    <w:nsid w:val="59ADEA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21">
    <w:nsid w:val="288F1A34"/>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22">
    <w:nsid w:val="2A155DB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3">
    <w:nsid w:val="1D9F6E5F"/>
    <w:multiLevelType w:val="hybridMultilevel"/>
    <w:lvl w:ilvl="0">
      <w:lvlJc w:val="left"/>
      <w:lvlText w:val="(%1)"/>
      <w:numFmt w:val="lowerLetter"/>
      <w:start w:val="6"/>
    </w:lvl>
  </w:abstractNum>
  <w:abstractNum w:abstractNumId="24">
    <w:nsid w:val="97E1B4E"/>
    <w:multiLevelType w:val="hybridMultilevel"/>
    <w:lvl w:ilvl="0">
      <w:lvlJc w:val="left"/>
      <w:lvlText w:val="%1"/>
      <w:numFmt w:val="lowerLetter"/>
      <w:start w:val="1"/>
    </w:lvl>
    <w:lvl w:ilvl="1">
      <w:lvlJc w:val="left"/>
      <w:lvlText w:val="(%2)"/>
      <w:numFmt w:val="lowerLetter"/>
      <w:start w:val="9"/>
    </w:lvl>
  </w:abstractNum>
  <w:abstractNum w:abstractNumId="25">
    <w:nsid w:val="51088277"/>
    <w:multiLevelType w:val="hybridMultilevel"/>
    <w:lvl w:ilvl="0">
      <w:lvlJc w:val="left"/>
      <w:lvlText w:val="(%1)"/>
      <w:numFmt w:val="lowerLetter"/>
      <w:start w:val="10"/>
    </w:lvl>
    <w:lvl w:ilvl="1">
      <w:lvlJc w:val="left"/>
      <w:lvlText w:val="%2"/>
      <w:numFmt w:val="lowerLetter"/>
      <w:start w:val="1"/>
    </w:lvl>
  </w:abstractNum>
  <w:abstractNum w:abstractNumId="26">
    <w:nsid w:val="1CA0C5FA"/>
    <w:multiLevelType w:val="hybridMultilevel"/>
    <w:lvl w:ilvl="0">
      <w:lvlJc w:val="left"/>
      <w:lvlText w:val="%1"/>
      <w:numFmt w:val="decimal"/>
      <w:start w:val="1"/>
    </w:lvl>
    <w:lvl w:ilvl="1">
      <w:lvlJc w:val="left"/>
      <w:lvlText w:val="(%2)"/>
      <w:numFmt w:val="lowerLetter"/>
      <w:start w:val="11"/>
    </w:lvl>
  </w:abstractNum>
  <w:abstractNum w:abstractNumId="27">
    <w:nsid w:val="53584BCB"/>
    <w:multiLevelType w:val="hybridMultilevel"/>
    <w:lvl w:ilvl="0">
      <w:lvlJc w:val="left"/>
      <w:lvlText w:val="%1."/>
      <w:numFmt w:val="decimal"/>
      <w:start w:val="8"/>
    </w:lvl>
    <w:lvl w:ilvl="1">
      <w:lvlJc w:val="left"/>
      <w:lvlText w:val="%2"/>
      <w:numFmt w:val="lowerLetter"/>
      <w:start w:val="1"/>
    </w:lvl>
  </w:abstractNum>
  <w:abstractNum w:abstractNumId="28">
    <w:nsid w:val="415E286C"/>
    <w:multiLevelType w:val="hybridMultilevel"/>
    <w:lvl w:ilvl="0">
      <w:lvlJc w:val="left"/>
      <w:lvlText w:val="(%1)"/>
      <w:numFmt w:val="lowerLetter"/>
      <w:start w:val="1"/>
    </w:lvl>
  </w:abstractNum>
  <w:abstractNum w:abstractNumId="29">
    <w:nsid w:val="7C58FD05"/>
    <w:multiLevelType w:val="hybridMultilevel"/>
    <w:lvl w:ilvl="0">
      <w:lvlJc w:val="left"/>
      <w:lvlText w:val="(%1)"/>
      <w:numFmt w:val="lowerLetter"/>
      <w:start w:val="3"/>
    </w:lvl>
    <w:lvl w:ilvl="1">
      <w:lvlJc w:val="left"/>
      <w:lvlText w:val="(%2)"/>
      <w:numFmt w:val="lowerRoman"/>
      <w:start w:val="1"/>
    </w:lvl>
  </w:abstractNum>
  <w:abstractNum w:abstractNumId="30">
    <w:nsid w:val="23D86AA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31">
    <w:nsid w:val="45E6D48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1)"/>
      <w:numFmt w:val="lowerLetter"/>
      <w:start w:val="2"/>
    </w:lvl>
  </w:abstractNum>
  <w:abstractNum w:abstractNumId="34">
    <w:nsid w:val="3C5991AA"/>
    <w:multiLevelType w:val="hybridMultilevel"/>
    <w:lvl w:ilvl="0">
      <w:lvlJc w:val="left"/>
      <w:lvlText w:val="%1."/>
      <w:numFmt w:val="decimal"/>
      <w:start w:val="11"/>
    </w:lvl>
  </w:abstractNum>
  <w:abstractNum w:abstractNumId="35">
    <w:nsid w:val="4BD8591A"/>
    <w:multiLevelType w:val="hybridMultilevel"/>
    <w:lvl w:ilvl="0">
      <w:lvlJc w:val="left"/>
      <w:lvlText w:val="%1"/>
      <w:numFmt w:val="lowerLetter"/>
      <w:start w:val="1"/>
    </w:lvl>
    <w:lvl w:ilvl="1">
      <w:lvlJc w:val="left"/>
      <w:lvlText w:val="(%2)"/>
      <w:numFmt w:val="lowerLetter"/>
      <w:start w:val="1"/>
    </w:lvl>
  </w:abstractNum>
  <w:abstractNum w:abstractNumId="36">
    <w:nsid w:val="78DF6A55"/>
    <w:multiLevelType w:val="hybridMultilevel"/>
    <w:lvl w:ilvl="0">
      <w:lvlJc w:val="left"/>
      <w:lvlText w:val="(%1)"/>
      <w:numFmt w:val="lowerLetter"/>
      <w:start w:val="2"/>
    </w:lvl>
    <w:lvl w:ilvl="1">
      <w:lvlJc w:val="left"/>
      <w:lvlText w:val="%2"/>
      <w:numFmt w:val="lowerLetter"/>
      <w:start w:val="1"/>
    </w:lvl>
  </w:abstractNum>
  <w:abstractNum w:abstractNumId="37">
    <w:nsid w:val="39B7AAA2"/>
    <w:multiLevelType w:val="hybridMultilevel"/>
    <w:lvl w:ilvl="0">
      <w:lvlJc w:val="left"/>
      <w:lvlText w:val="%1."/>
      <w:numFmt w:val="decimal"/>
      <w:start w:val="12"/>
    </w:lvl>
  </w:abstractNum>
  <w:abstractNum w:abstractNumId="38">
    <w:nsid w:val="2B0D8DBE"/>
    <w:multiLevelType w:val="hybridMultilevel"/>
    <w:lvl w:ilvl="0">
      <w:lvlJc w:val="left"/>
      <w:lvlText w:val="%1"/>
      <w:numFmt w:val="lowerLetter"/>
      <w:start w:val="1"/>
    </w:lvl>
    <w:lvl w:ilvl="1">
      <w:lvlJc w:val="left"/>
      <w:lvlText w:val="(%2)"/>
      <w:numFmt w:val="lowerLetter"/>
      <w:start w:val="1"/>
    </w:lvl>
  </w:abstractNum>
  <w:abstractNum w:abstractNumId="39">
    <w:nsid w:val="6C80EC70"/>
    <w:multiLevelType w:val="hybridMultilevel"/>
    <w:lvl w:ilvl="0">
      <w:lvlJc w:val="left"/>
      <w:lvlText w:val="(%1)"/>
      <w:numFmt w:val="lowerLetter"/>
      <w:start w:val="3"/>
    </w:lvl>
    <w:lvl w:ilvl="1">
      <w:lvlJc w:val="left"/>
      <w:lvlText w:val="%2"/>
      <w:numFmt w:val="lowerLetter"/>
      <w:start w:val="1"/>
    </w:lvl>
  </w:abstractNum>
  <w:abstractNum w:abstractNumId="40">
    <w:nsid w:val="379E21B5"/>
    <w:multiLevelType w:val="hybridMultilevel"/>
    <w:lvl w:ilvl="0">
      <w:lvlJc w:val="left"/>
      <w:lvlText w:val="%1."/>
      <w:numFmt w:val="decimal"/>
      <w:start w:val="13"/>
    </w:lvl>
  </w:abstractNum>
  <w:abstractNum w:abstractNumId="41">
    <w:nsid w:val="69E373"/>
    <w:multiLevelType w:val="hybridMultilevel"/>
    <w:lvl w:ilvl="0">
      <w:lvlJc w:val="left"/>
      <w:lvlText w:val="%1."/>
      <w:numFmt w:val="decimal"/>
      <w:start w:val="14"/>
    </w:lvl>
  </w:abstractNum>
  <w:abstractNum w:abstractNumId="42">
    <w:nsid w:val="2C27173B"/>
    <w:multiLevelType w:val="hybridMultilevel"/>
    <w:lvl w:ilvl="0">
      <w:lvlJc w:val="left"/>
      <w:lvlText w:val="%1."/>
      <w:numFmt w:val="decimal"/>
      <w:start w:val="15"/>
    </w:lvl>
  </w:abstractNum>
  <w:abstractNum w:abstractNumId="43">
    <w:nsid w:val="4C9B0904"/>
    <w:multiLevelType w:val="hybridMultilevel"/>
    <w:lvl w:ilvl="0">
      <w:lvlJc w:val="left"/>
      <w:lvlText w:val="%1."/>
      <w:numFmt w:val="decimal"/>
      <w:start w:val="16"/>
    </w:lvl>
  </w:abstractNum>
  <w:abstractNum w:abstractNumId="44">
    <w:nsid w:val="6AA7B75C"/>
    <w:multiLevelType w:val="hybridMultilevel"/>
    <w:lvl w:ilvl="0">
      <w:lvlJc w:val="left"/>
      <w:lvlText w:val="%1."/>
      <w:numFmt w:val="decimal"/>
      <w:start w:val="17"/>
    </w:lvl>
  </w:abstractNum>
  <w:abstractNum w:abstractNumId="45">
    <w:nsid w:val="1DF029D3"/>
    <w:multiLevelType w:val="hybridMultilevel"/>
    <w:lvl w:ilvl="0">
      <w:lvlJc w:val="left"/>
      <w:lvlText w:val="%1."/>
      <w:numFmt w:val="decimal"/>
      <w:start w:val="18"/>
    </w:lvl>
  </w:abstractNum>
  <w:abstractNum w:abstractNumId="46">
    <w:nsid w:val="5675FF36"/>
    <w:multiLevelType w:val="hybridMultilevel"/>
    <w:lvl w:ilvl="0">
      <w:lvlJc w:val="left"/>
      <w:lvlText w:val="%1."/>
      <w:numFmt w:val="decimal"/>
      <w:start w:val="19"/>
    </w:lvl>
  </w:abstractNum>
  <w:abstractNum w:abstractNumId="47">
    <w:nsid w:val="3DD15094"/>
    <w:multiLevelType w:val="hybridMultilevel"/>
    <w:lvl w:ilvl="0">
      <w:lvlJc w:val="left"/>
      <w:lvlText w:val="%1."/>
      <w:numFmt w:val="decimal"/>
      <w:start w:val="20"/>
    </w:lvl>
  </w:abstractNum>
  <w:abstractNum w:abstractNumId="48">
    <w:nsid w:val="3DB012B3"/>
    <w:multiLevelType w:val="hybridMultilevel"/>
    <w:lvl w:ilvl="0">
      <w:lvlJc w:val="left"/>
      <w:lvlText w:val="%1."/>
      <w:numFmt w:val="decimal"/>
      <w:start w:val="21"/>
    </w:lvl>
  </w:abstractNum>
  <w:abstractNum w:abstractNumId="49">
    <w:nsid w:val="2708C9AF"/>
    <w:multiLevelType w:val="hybridMultilevel"/>
    <w:lvl w:ilvl="0">
      <w:lvlJc w:val="left"/>
      <w:lvlText w:val="%1."/>
      <w:numFmt w:val="decimal"/>
      <w:start w:val="22"/>
    </w:lvl>
  </w:abstractNum>
  <w:abstractNum w:abstractNumId="50">
    <w:nsid w:val="5B25ACE2"/>
    <w:multiLevelType w:val="hybridMultilevel"/>
    <w:lvl w:ilvl="0">
      <w:lvlJc w:val="left"/>
      <w:lvlText w:val="%1."/>
      <w:numFmt w:val="decimal"/>
      <w:start w:val="23"/>
    </w:lvl>
  </w:abstractNum>
  <w:abstractNum w:abstractNumId="51">
    <w:nsid w:val="175DFCF0"/>
    <w:multiLevelType w:val="hybridMultilevel"/>
    <w:lvl w:ilvl="0">
      <w:lvlJc w:val="left"/>
      <w:lvlText w:val="%1."/>
      <w:numFmt w:val="decimal"/>
      <w:start w:val="24"/>
    </w:lvl>
  </w:abstractNum>
  <w:abstractNum w:abstractNumId="52">
    <w:nsid w:val="4F97E3E4"/>
    <w:multiLevelType w:val="hybridMultilevel"/>
    <w:lvl w:ilvl="0">
      <w:lvlJc w:val="left"/>
      <w:lvlText w:val="(%1)"/>
      <w:numFmt w:val="lowerLetter"/>
      <w:start w:val="1"/>
    </w:lvl>
    <w:lvl w:ilvl="1">
      <w:lvlJc w:val="left"/>
      <w:lvlText w:val="(%2)"/>
      <w:numFmt w:val="lowerLetter"/>
      <w:start w:val="2"/>
    </w:lvl>
  </w:abstractNum>
  <w:abstractNum w:abstractNumId="53">
    <w:nsid w:val="53B0A9E"/>
    <w:multiLevelType w:val="hybridMultilevel"/>
    <w:lvl w:ilvl="0">
      <w:lvlJc w:val="left"/>
      <w:lvlText w:val="%1."/>
      <w:numFmt w:val="decimal"/>
      <w:start w:val="25"/>
    </w:lvl>
  </w:abstractNum>
  <w:abstractNum w:abstractNumId="54">
    <w:nsid w:val="34FD6B4F"/>
    <w:multiLevelType w:val="hybridMultilevel"/>
    <w:lvl w:ilvl="0">
      <w:lvlJc w:val="left"/>
      <w:lvlText w:val="%1."/>
      <w:numFmt w:val="decimal"/>
      <w:start w:val="26"/>
    </w:lvl>
  </w:abstractNum>
  <w:abstractNum w:abstractNumId="55">
    <w:nsid w:val="5915FF32"/>
    <w:multiLevelType w:val="hybridMultilevel"/>
    <w:lvl w:ilvl="0">
      <w:lvlJc w:val="left"/>
      <w:lvlText w:val="%1."/>
      <w:numFmt w:val="decimal"/>
      <w:start w:val="1"/>
    </w:lvl>
  </w:abstractNum>
  <w:abstractNum w:abstractNumId="56">
    <w:nsid w:val="56438D15"/>
    <w:multiLevelType w:val="hybridMultilevel"/>
    <w:lvl w:ilvl="0">
      <w:lvlJc w:val="left"/>
      <w:lvlText w:val="%1."/>
      <w:numFmt w:val="decimal"/>
      <w:start w:val="1"/>
    </w:lvl>
  </w:abstractNum>
  <w:abstractNum w:abstractNumId="57">
    <w:nsid w:val="519E3149"/>
    <w:multiLevelType w:val="hybridMultilevel"/>
    <w:lvl w:ilvl="0">
      <w:lvlJc w:val="left"/>
      <w:lvlText w:val="%1."/>
      <w:numFmt w:val="decimal"/>
      <w:start w:val="3"/>
    </w:lvl>
  </w:abstractNum>
  <w:abstractNum w:abstractNumId="58">
    <w:nsid w:val="2C6E4AFD"/>
    <w:multiLevelType w:val="hybridMultilevel"/>
    <w:lvl w:ilvl="0">
      <w:lvlJc w:val="left"/>
      <w:lvlText w:val="(%1)"/>
      <w:numFmt w:val="lowerLetter"/>
      <w:start w:val="1"/>
    </w:lvl>
  </w:abstractNum>
  <w:abstractNum w:abstractNumId="59">
    <w:nsid w:val="17A1B582"/>
    <w:multiLevelType w:val="hybridMultilevel"/>
    <w:lvl w:ilvl="0">
      <w:lvlJc w:val="left"/>
      <w:lvlText w:val="%1"/>
      <w:numFmt w:val="lowerLetter"/>
      <w:start w:val="1"/>
    </w:lvl>
    <w:lvl w:ilvl="1">
      <w:lvlJc w:val="left"/>
      <w:lvlText w:val="(%2)"/>
      <w:numFmt w:val="lowerLetter"/>
      <w:start w:val="2"/>
    </w:lvl>
  </w:abstractNum>
  <w:abstractNum w:abstractNumId="60">
    <w:nsid w:val="4DF72E4E"/>
    <w:multiLevelType w:val="hybridMultilevel"/>
    <w:lvl w:ilvl="0">
      <w:lvlJc w:val="left"/>
      <w:lvlText w:val="(%1)"/>
      <w:numFmt w:val="lowerLetter"/>
      <w:start w:val="3"/>
    </w:lvl>
    <w:lvl w:ilvl="1">
      <w:lvlJc w:val="left"/>
      <w:lvlText w:val="%2"/>
      <w:numFmt w:val="lowerLetter"/>
      <w:start w:val="1"/>
    </w:lvl>
  </w:abstractNum>
  <w:abstractNum w:abstractNumId="61">
    <w:nsid w:val="5046B5A9"/>
    <w:multiLevelType w:val="hybridMultilevel"/>
    <w:lvl w:ilvl="0">
      <w:lvlJc w:val="left"/>
      <w:lvlText w:val="%1."/>
      <w:numFmt w:val="decimal"/>
      <w:start w:val="4"/>
    </w:lvl>
  </w:abstractNum>
  <w:abstractNum w:abstractNumId="62">
    <w:nsid w:val="5D888A08"/>
    <w:multiLevelType w:val="hybridMultilevel"/>
    <w:lvl w:ilvl="0">
      <w:lvlJc w:val="left"/>
      <w:lvlText w:val="%1"/>
      <w:numFmt w:val="lowerLetter"/>
      <w:start w:val="1"/>
    </w:lvl>
    <w:lvl w:ilvl="1">
      <w:lvlJc w:val="left"/>
      <w:lvlText w:val="(%2)"/>
      <w:numFmt w:val="lowerLetter"/>
      <w:start w:val="1"/>
    </w:lvl>
  </w:abstractNum>
  <w:abstractNum w:abstractNumId="63">
    <w:nsid w:val="2A082C70"/>
    <w:multiLevelType w:val="hybridMultilevel"/>
    <w:lvl w:ilvl="0">
      <w:lvlJc w:val="left"/>
      <w:lvlText w:val="(%1)"/>
      <w:numFmt w:val="lowerLetter"/>
      <w:start w:val="2"/>
    </w:lvl>
    <w:lvl w:ilvl="1">
      <w:lvlJc w:val="left"/>
      <w:lvlText w:val="%2"/>
      <w:numFmt w:val="lowerLetter"/>
      <w:start w:val="1"/>
    </w:lvl>
  </w:abstractNum>
  <w:abstractNum w:abstractNumId="64">
    <w:nsid w:val="5EC6AFD4"/>
    <w:multiLevelType w:val="hybridMultilevel"/>
    <w:lvl w:ilvl="0">
      <w:lvlJc w:val="left"/>
      <w:lvlText w:val="%1."/>
      <w:numFmt w:val="decimal"/>
      <w:start w:val="5"/>
    </w:lvl>
  </w:abstractNum>
  <w:abstractNum w:abstractNumId="65">
    <w:nsid w:val="19E21BB2"/>
    <w:multiLevelType w:val="hybridMultilevel"/>
    <w:lvl w:ilvl="0">
      <w:lvlJc w:val="left"/>
      <w:lvlText w:val="%1"/>
      <w:numFmt w:val="lowerLetter"/>
      <w:start w:val="1"/>
    </w:lvl>
    <w:lvl w:ilvl="1">
      <w:lvlJc w:val="left"/>
      <w:lvlText w:val="(%2)"/>
      <w:numFmt w:val="lowerLetter"/>
      <w:start w:val="1"/>
    </w:lvl>
  </w:abstractNum>
  <w:abstractNum w:abstractNumId="66">
    <w:nsid w:val="75E0858A"/>
    <w:multiLevelType w:val="hybridMultilevel"/>
    <w:lvl w:ilvl="0">
      <w:lvlJc w:val="left"/>
      <w:lvlText w:val="(%1)"/>
      <w:numFmt w:val="lowerLetter"/>
      <w:start w:val="35"/>
    </w:lvl>
    <w:lvl w:ilvl="1">
      <w:lvlJc w:val="left"/>
      <w:lvlText w:val="%2"/>
      <w:numFmt w:val="lowerLetter"/>
      <w:start w:val="1"/>
    </w:lvl>
  </w:abstractNum>
  <w:abstractNum w:abstractNumId="67">
    <w:nsid w:val="57A61A29"/>
    <w:multiLevelType w:val="hybridMultilevel"/>
    <w:lvl w:ilvl="0">
      <w:lvlJc w:val="left"/>
      <w:lvlText w:val="%1."/>
      <w:numFmt w:val="decimal"/>
      <w:start w:val="6"/>
    </w:lvl>
  </w:abstractNum>
  <w:abstractNum w:abstractNumId="68">
    <w:nsid w:val="5399C654"/>
    <w:multiLevelType w:val="hybridMultilevel"/>
    <w:lvl w:ilvl="0">
      <w:lvlJc w:val="left"/>
      <w:lvlText w:val="%1."/>
      <w:numFmt w:val="decimal"/>
      <w:start w:val="7"/>
    </w:lvl>
  </w:abstractNum>
  <w:abstractNum w:abstractNumId="69">
    <w:nsid w:val="20EE1348"/>
    <w:multiLevelType w:val="hybridMultilevel"/>
    <w:lvl w:ilvl="0">
      <w:lvlJc w:val="left"/>
      <w:lvlText w:val="%1."/>
      <w:numFmt w:val="decimal"/>
      <w:start w:val="1"/>
    </w:lvl>
  </w:abstractNum>
  <w:abstractNum w:abstractNumId="70">
    <w:nsid w:val="4427069A"/>
    <w:multiLevelType w:val="hybridMultilevel"/>
    <w:lvl w:ilvl="0">
      <w:lvlJc w:val="left"/>
      <w:lvlText w:val="%1."/>
      <w:numFmt w:val="decimal"/>
      <w:start w:val="2"/>
    </w:lvl>
  </w:abstractNum>
  <w:abstractNum w:abstractNumId="71">
    <w:nsid w:val="B37E80A"/>
    <w:multiLevelType w:val="hybridMultilevel"/>
    <w:lvl w:ilvl="0">
      <w:lvlJc w:val="left"/>
      <w:lvlText w:val="%1."/>
      <w:numFmt w:val="decimal"/>
      <w:start w:val="3"/>
    </w:lvl>
    <w:lvl w:ilvl="1">
      <w:lvlJc w:val="left"/>
      <w:lvlText w:val="(%2)"/>
      <w:numFmt w:val="lowerLetter"/>
      <w:start w:val="1"/>
    </w:lvl>
  </w:abstractNum>
  <w:abstractNum w:abstractNumId="72">
    <w:nsid w:val="2157F6BC"/>
    <w:multiLevelType w:val="hybridMultilevel"/>
    <w:lvl w:ilvl="0">
      <w:lvlJc w:val="left"/>
      <w:lvlText w:val="(%1)"/>
      <w:numFmt w:val="lowerLetter"/>
      <w:start w:val="2"/>
    </w:lvl>
  </w:abstractNum>
  <w:abstractNum w:abstractNumId="73">
    <w:nsid w:val="704E1DD5"/>
    <w:multiLevelType w:val="hybridMultilevel"/>
    <w:lvl w:ilvl="0">
      <w:lvlJc w:val="left"/>
      <w:lvlText w:val="(%1)"/>
      <w:numFmt w:val="lowerLetter"/>
      <w:start w:val="3"/>
    </w:lvl>
  </w:abstractNum>
  <w:abstractNum w:abstractNumId="74">
    <w:nsid w:val="57D2F10E"/>
    <w:multiLevelType w:val="hybridMultilevel"/>
    <w:lvl w:ilvl="0">
      <w:lvlJc w:val="left"/>
      <w:lvlText w:val="%1."/>
      <w:numFmt w:val="decimal"/>
      <w:start w:val="4"/>
    </w:lvl>
  </w:abstractNum>
  <w:abstractNum w:abstractNumId="75">
    <w:nsid w:val="BFFAE18"/>
    <w:multiLevelType w:val="hybridMultilevel"/>
    <w:lvl w:ilvl="0">
      <w:lvlJc w:val="left"/>
      <w:lvlText w:val="%1."/>
      <w:numFmt w:val="decimal"/>
      <w:start w:val="5"/>
    </w:lvl>
    <w:lvl w:ilvl="1">
      <w:lvlJc w:val="left"/>
      <w:lvlText w:val="(%2)"/>
      <w:numFmt w:val="lowerLetter"/>
      <w:start w:val="1"/>
    </w:lvl>
  </w:abstractNum>
  <w:abstractNum w:abstractNumId="76">
    <w:nsid w:val="E3E47A8"/>
    <w:multiLevelType w:val="hybridMultilevel"/>
    <w:lvl w:ilvl="0">
      <w:lvlJc w:val="left"/>
      <w:lvlText w:val="%1"/>
      <w:numFmt w:val="decimal"/>
      <w:start w:val="1"/>
    </w:lvl>
    <w:lvl w:ilvl="1">
      <w:lvlJc w:val="left"/>
      <w:lvlText w:val="(%2)"/>
      <w:numFmt w:val="lowerLetter"/>
      <w:start w:val="2"/>
    </w:lvl>
  </w:abstractNum>
  <w:abstractNum w:abstractNumId="77">
    <w:nsid w:val="2E48F044"/>
    <w:multiLevelType w:val="hybridMultilevel"/>
    <w:lvl w:ilvl="0">
      <w:lvlJc w:val="left"/>
      <w:lvlText w:val="%1."/>
      <w:numFmt w:val="decimal"/>
      <w:start w:val="6"/>
    </w:lvl>
    <w:lvl w:ilvl="1">
      <w:lvlJc w:val="left"/>
      <w:lvlText w:val="%2"/>
      <w:numFmt w:val="lowerLetter"/>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5551B9F3"/>
    <w:multiLevelType w:val="hybridMultilevel"/>
    <w:lvl w:ilvl="0">
      <w:lvlJc w:val="left"/>
      <w:lvlText w:val="(%1)"/>
      <w:numFmt w:val="lowerRoman"/>
      <w:start w:val="2"/>
    </w:lvl>
    <w:lvl w:ilvl="1">
      <w:lvlJc w:val="left"/>
      <w:lvlText w:val="(%2)"/>
      <w:numFmt w:val="lowerLetter"/>
      <w:start w:val="2"/>
    </w:lvl>
    <w:lvl w:ilvl="2">
      <w:lvlJc w:val="left"/>
      <w:lvlText w:val="(%3)"/>
      <w:numFmt w:val="lowerLetter"/>
      <w:start w:val="61"/>
    </w:lvl>
  </w:abstractNum>
  <w:abstractNum w:abstractNumId="81">
    <w:nsid w:val="24F6AB8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82">
    <w:nsid w:val="634C574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83">
    <w:nsid w:val="24E99DD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6"/>
    </w:lvl>
  </w:abstractNum>
  <w:abstractNum w:abstractNumId="84">
    <w:nsid w:val="2A31B62D"/>
    <w:multiLevelType w:val="hybridMultilevel"/>
    <w:lvl w:ilvl="0">
      <w:lvlJc w:val="left"/>
      <w:lvlText w:val="%1"/>
      <w:numFmt w:val="lowerLetter"/>
      <w:start w:val="1"/>
    </w:lvl>
    <w:lvl w:ilvl="1">
      <w:lvlJc w:val="left"/>
      <w:lvlText w:val="(%2)"/>
      <w:numFmt w:val="lowerLetter"/>
      <w:start w:val="9"/>
    </w:lvl>
  </w:abstractNum>
  <w:abstractNum w:abstractNumId="85">
    <w:nsid w:val="1849C29B"/>
    <w:multiLevelType w:val="hybridMultilevel"/>
    <w:lvl w:ilvl="0">
      <w:lvlJc w:val="left"/>
      <w:lvlText w:val="(%1)"/>
      <w:numFmt w:val="lowerLetter"/>
      <w:start w:val="10"/>
    </w:lvl>
    <w:lvl w:ilvl="1">
      <w:lvlJc w:val="left"/>
      <w:lvlText w:val="%2"/>
      <w:numFmt w:val="lowerLetter"/>
      <w:start w:val="1"/>
    </w:lvl>
  </w:abstractNum>
  <w:abstractNum w:abstractNumId="86">
    <w:nsid w:val="7DFF9D09"/>
    <w:multiLevelType w:val="hybridMultilevel"/>
    <w:lvl w:ilvl="0">
      <w:lvlJc w:val="left"/>
      <w:lvlText w:val="%1"/>
      <w:numFmt w:val="decimal"/>
      <w:start w:val="1"/>
    </w:lvl>
    <w:lvl w:ilvl="1">
      <w:lvlJc w:val="left"/>
      <w:lvlText w:val="(%2)"/>
      <w:numFmt w:val="lowerLetter"/>
      <w:start w:val="11"/>
    </w:lvl>
  </w:abstractNum>
  <w:abstractNum w:abstractNumId="87">
    <w:nsid w:val="754342"/>
    <w:multiLevelType w:val="hybridMultilevel"/>
    <w:lvl w:ilvl="0">
      <w:lvlJc w:val="left"/>
      <w:lvlText w:val="%1."/>
      <w:numFmt w:val="decimal"/>
      <w:start w:val="8"/>
    </w:lvl>
    <w:lvl w:ilvl="1">
      <w:lvlJc w:val="left"/>
      <w:lvlText w:val="%2"/>
      <w:numFmt w:val="lowerLetter"/>
      <w:start w:val="1"/>
    </w:lvl>
  </w:abstractNum>
  <w:abstractNum w:abstractNumId="88">
    <w:nsid w:val="69E7F3E5"/>
    <w:multiLevelType w:val="hybridMultilevel"/>
    <w:lvl w:ilvl="0">
      <w:lvlJc w:val="left"/>
      <w:lvlText w:val="(%1)"/>
      <w:numFmt w:val="lowerLetter"/>
      <w:start w:val="1"/>
    </w:lvl>
  </w:abstractNum>
  <w:abstractNum w:abstractNumId="89">
    <w:nsid w:val="2A6DE806"/>
    <w:multiLevelType w:val="hybridMultilevel"/>
    <w:lvl w:ilvl="0">
      <w:lvlJc w:val="left"/>
      <w:lvlText w:val="(%1)"/>
      <w:numFmt w:val="lowerLetter"/>
      <w:start w:val="3"/>
    </w:lvl>
    <w:lvl w:ilvl="1">
      <w:lvlJc w:val="left"/>
      <w:lvlText w:val="(%2)"/>
      <w:numFmt w:val="lowerRoman"/>
      <w:start w:val="1"/>
    </w:lvl>
  </w:abstractNum>
  <w:abstractNum w:abstractNumId="90">
    <w:nsid w:val="1816F8C4"/>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91">
    <w:nsid w:val="37DF22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2">
    <w:nsid w:val="7AB49DAF"/>
    <w:multiLevelType w:val="hybridMultilevel"/>
    <w:lvl w:ilvl="0">
      <w:lvlJc w:val="left"/>
      <w:lvlText w:val="(%1)"/>
      <w:numFmt w:val="lowerLetter"/>
      <w:start w:val="1"/>
    </w:lvl>
  </w:abstractNum>
  <w:abstractNum w:abstractNumId="93">
    <w:nsid w:val="759F82CD"/>
    <w:multiLevelType w:val="hybridMultilevel"/>
    <w:lvl w:ilvl="0">
      <w:lvlJc w:val="left"/>
      <w:lvlText w:val="(%1)"/>
      <w:numFmt w:val="lowerLetter"/>
      <w:start w:val="2"/>
    </w:lvl>
  </w:abstractNum>
  <w:abstractNum w:abstractNumId="94">
    <w:nsid w:val="61E74EA3"/>
    <w:multiLevelType w:val="hybridMultilevel"/>
    <w:lvl w:ilvl="0">
      <w:lvlJc w:val="left"/>
      <w:lvlText w:val="%1."/>
      <w:numFmt w:val="decimal"/>
      <w:start w:val="11"/>
    </w:lvl>
  </w:abstractNum>
  <w:abstractNum w:abstractNumId="95">
    <w:nsid w:val="597B4D84"/>
    <w:multiLevelType w:val="hybridMultilevel"/>
    <w:lvl w:ilvl="0">
      <w:lvlJc w:val="left"/>
      <w:lvlText w:val="%1"/>
      <w:numFmt w:val="lowerLetter"/>
      <w:start w:val="1"/>
    </w:lvl>
    <w:lvl w:ilvl="1">
      <w:lvlJc w:val="left"/>
      <w:lvlText w:val="(%2)"/>
      <w:numFmt w:val="lowerLetter"/>
      <w:start w:val="1"/>
    </w:lvl>
  </w:abstractNum>
  <w:abstractNum w:abstractNumId="96">
    <w:nsid w:val="F819E7F"/>
    <w:multiLevelType w:val="hybridMultilevel"/>
    <w:lvl w:ilvl="0">
      <w:lvlJc w:val="left"/>
      <w:lvlText w:val="(%1)"/>
      <w:numFmt w:val="lowerLetter"/>
      <w:start w:val="2"/>
    </w:lvl>
    <w:lvl w:ilvl="1">
      <w:lvlJc w:val="left"/>
      <w:lvlText w:val="%2"/>
      <w:numFmt w:val="lowerLetter"/>
      <w:start w:val="1"/>
    </w:lvl>
  </w:abstractNum>
  <w:abstractNum w:abstractNumId="97">
    <w:nsid w:val="57C7D42D"/>
    <w:multiLevelType w:val="hybridMultilevel"/>
    <w:lvl w:ilvl="0">
      <w:lvlJc w:val="left"/>
      <w:lvlText w:val="%1."/>
      <w:numFmt w:val="decimal"/>
      <w:start w:val="12"/>
    </w:lvl>
  </w:abstractNum>
  <w:abstractNum w:abstractNumId="98">
    <w:nsid w:val="312167AD"/>
    <w:multiLevelType w:val="hybridMultilevel"/>
    <w:lvl w:ilvl="0">
      <w:lvlJc w:val="left"/>
      <w:lvlText w:val="%1"/>
      <w:numFmt w:val="lowerLetter"/>
      <w:start w:val="1"/>
    </w:lvl>
    <w:lvl w:ilvl="1">
      <w:lvlJc w:val="left"/>
      <w:lvlText w:val="(%2)"/>
      <w:numFmt w:val="lowerLetter"/>
      <w:start w:val="1"/>
    </w:lvl>
  </w:abstractNum>
  <w:abstractNum w:abstractNumId="99">
    <w:nsid w:val="631B64D4"/>
    <w:multiLevelType w:val="hybridMultilevel"/>
    <w:lvl w:ilvl="0">
      <w:lvlJc w:val="left"/>
      <w:lvlText w:val="(%1)"/>
      <w:numFmt w:val="lowerLetter"/>
      <w:start w:val="3"/>
    </w:lvl>
    <w:lvl w:ilvl="1">
      <w:lvlJc w:val="left"/>
      <w:lvlText w:val="%2"/>
      <w:numFmt w:val="lowerLetter"/>
      <w:start w:val="1"/>
    </w:lvl>
  </w:abstractNum>
  <w:abstractNum w:abstractNumId="100">
    <w:nsid w:val="78B5E776"/>
    <w:multiLevelType w:val="hybridMultilevel"/>
    <w:lvl w:ilvl="0">
      <w:lvlJc w:val="left"/>
      <w:lvlText w:val="%1."/>
      <w:numFmt w:val="decimal"/>
      <w:start w:val="13"/>
    </w:lvl>
  </w:abstractNum>
  <w:abstractNum w:abstractNumId="101">
    <w:nsid w:val="75486E47"/>
    <w:multiLevelType w:val="hybridMultilevel"/>
    <w:lvl w:ilvl="0">
      <w:lvlJc w:val="left"/>
      <w:lvlText w:val="%1."/>
      <w:numFmt w:val="decimal"/>
      <w:start w:val="14"/>
    </w:lvl>
  </w:abstractNum>
  <w:abstractNum w:abstractNumId="102">
    <w:nsid w:val="6E534CDE"/>
    <w:multiLevelType w:val="hybridMultilevel"/>
    <w:lvl w:ilvl="0">
      <w:lvlJc w:val="left"/>
      <w:lvlText w:val="%1."/>
      <w:numFmt w:val="decimal"/>
      <w:start w:val="15"/>
    </w:lvl>
  </w:abstractNum>
  <w:abstractNum w:abstractNumId="103">
    <w:nsid w:val="1A0DDE32"/>
    <w:multiLevelType w:val="hybridMultilevel"/>
    <w:lvl w:ilvl="0">
      <w:lvlJc w:val="left"/>
      <w:lvlText w:val="%1."/>
      <w:numFmt w:val="decimal"/>
      <w:start w:val="16"/>
    </w:lvl>
  </w:abstractNum>
  <w:abstractNum w:abstractNumId="104">
    <w:nsid w:val="65968C1C"/>
    <w:multiLevelType w:val="hybridMultilevel"/>
    <w:lvl w:ilvl="0">
      <w:lvlJc w:val="left"/>
      <w:lvlText w:val="%1."/>
      <w:numFmt w:val="decimal"/>
      <w:start w:val="17"/>
    </w:lvl>
  </w:abstractNum>
  <w:abstractNum w:abstractNumId="105">
    <w:nsid w:val="46263DEC"/>
    <w:multiLevelType w:val="hybridMultilevel"/>
    <w:lvl w:ilvl="0">
      <w:lvlJc w:val="left"/>
      <w:lvlText w:val="%1."/>
      <w:numFmt w:val="decimal"/>
      <w:start w:val="18"/>
    </w:lvl>
  </w:abstractNum>
  <w:abstractNum w:abstractNumId="106">
    <w:nsid w:val="260D8C4A"/>
    <w:multiLevelType w:val="hybridMultilevel"/>
    <w:lvl w:ilvl="0">
      <w:lvlJc w:val="left"/>
      <w:lvlText w:val="%1."/>
      <w:numFmt w:val="decimal"/>
      <w:start w:val="19"/>
    </w:lvl>
  </w:abstractNum>
  <w:abstractNum w:abstractNumId="107">
    <w:nsid w:val="73D4D3C4"/>
    <w:multiLevelType w:val="hybridMultilevel"/>
    <w:lvl w:ilvl="0">
      <w:lvlJc w:val="left"/>
      <w:lvlText w:val="%1."/>
      <w:numFmt w:val="decimal"/>
      <w:start w:val="20"/>
    </w:lvl>
  </w:abstractNum>
  <w:abstractNum w:abstractNumId="108">
    <w:nsid w:val="746F2E30"/>
    <w:multiLevelType w:val="hybridMultilevel"/>
    <w:lvl w:ilvl="0">
      <w:lvlJc w:val="left"/>
      <w:lvlText w:val="%1."/>
      <w:numFmt w:val="decimal"/>
      <w:start w:val="21"/>
    </w:lvl>
  </w:abstractNum>
  <w:abstractNum w:abstractNumId="109">
    <w:nsid w:val="6FDE8AF6"/>
    <w:multiLevelType w:val="hybridMultilevel"/>
    <w:lvl w:ilvl="0">
      <w:lvlJc w:val="left"/>
      <w:lvlText w:val="%1."/>
      <w:numFmt w:val="decimal"/>
      <w:start w:val="22"/>
    </w:lvl>
  </w:abstractNum>
  <w:abstractNum w:abstractNumId="110">
    <w:nsid w:val="3FC32E20"/>
    <w:multiLevelType w:val="hybridMultilevel"/>
    <w:lvl w:ilvl="0">
      <w:lvlJc w:val="left"/>
      <w:lvlText w:val="%1."/>
      <w:numFmt w:val="decimal"/>
      <w:start w:val="23"/>
    </w:lvl>
  </w:abstractNum>
  <w:abstractNum w:abstractNumId="111">
    <w:nsid w:val="49C0E823"/>
    <w:multiLevelType w:val="hybridMultilevel"/>
    <w:lvl w:ilvl="0">
      <w:lvlJc w:val="left"/>
      <w:lvlText w:val="%1."/>
      <w:numFmt w:val="decimal"/>
      <w:start w:val="24"/>
    </w:lvl>
  </w:abstractNum>
  <w:abstractNum w:abstractNumId="112">
    <w:nsid w:val="14D53685"/>
    <w:multiLevelType w:val="hybridMultilevel"/>
    <w:lvl w:ilvl="0">
      <w:lvlJc w:val="left"/>
      <w:lvlText w:val="(%1)"/>
      <w:numFmt w:val="lowerLetter"/>
      <w:start w:val="1"/>
    </w:lvl>
    <w:lvl w:ilvl="1">
      <w:lvlJc w:val="left"/>
      <w:lvlText w:val="(%2)"/>
      <w:numFmt w:val="lowerLetter"/>
      <w:start w:val="2"/>
    </w:lvl>
  </w:abstractNum>
  <w:abstractNum w:abstractNumId="113">
    <w:nsid w:val="230F856C"/>
    <w:multiLevelType w:val="hybridMultilevel"/>
    <w:lvl w:ilvl="0">
      <w:lvlJc w:val="left"/>
      <w:lvlText w:val="%1."/>
      <w:numFmt w:val="decimal"/>
      <w:start w:val="25"/>
    </w:lvl>
  </w:abstractNum>
  <w:abstractNum w:abstractNumId="114">
    <w:nsid w:val="6EAA85FB"/>
    <w:multiLevelType w:val="hybridMultilevel"/>
    <w:lvl w:ilvl="0">
      <w:lvlJc w:val="left"/>
      <w:lvlText w:val="%1."/>
      <w:numFmt w:val="decimal"/>
      <w:start w:val="26"/>
    </w:lvl>
  </w:abstractNum>
  <w:abstractNum w:abstractNumId="115">
    <w:nsid w:val="3F06ECB2"/>
    <w:multiLevelType w:val="hybridMultilevel"/>
    <w:lvl w:ilvl="0">
      <w:lvlJc w:val="left"/>
      <w:lvlText w:val="%1."/>
      <w:numFmt w:val="decimal"/>
      <w:start w:val="1"/>
    </w:lvl>
  </w:abstractNum>
  <w:abstractNum w:abstractNumId="116">
    <w:nsid w:val="3B594807"/>
    <w:multiLevelType w:val="hybridMultilevel"/>
    <w:lvl w:ilvl="0">
      <w:lvlJc w:val="left"/>
      <w:lvlText w:val="%1."/>
      <w:numFmt w:val="decimal"/>
      <w:start w:val="1"/>
    </w:lvl>
  </w:abstractNum>
  <w:abstractNum w:abstractNumId="117">
    <w:nsid w:val="6CAA2304"/>
    <w:multiLevelType w:val="hybridMultilevel"/>
    <w:lvl w:ilvl="0">
      <w:lvlJc w:val="left"/>
      <w:lvlText w:val="%1."/>
      <w:numFmt w:val="decimal"/>
      <w:start w:val="3"/>
    </w:lvl>
  </w:abstractNum>
  <w:abstractNum w:abstractNumId="118">
    <w:nsid w:val="3F7C2FF4"/>
    <w:multiLevelType w:val="hybridMultilevel"/>
    <w:lvl w:ilvl="0">
      <w:lvlJc w:val="left"/>
      <w:lvlText w:val="(%1)"/>
      <w:numFmt w:val="lowerLetter"/>
      <w:start w:val="1"/>
    </w:lvl>
  </w:abstractNum>
  <w:abstractNum w:abstractNumId="119">
    <w:nsid w:val="25413BEC"/>
    <w:multiLevelType w:val="hybridMultilevel"/>
    <w:lvl w:ilvl="0">
      <w:lvlJc w:val="left"/>
      <w:lvlText w:val="%1"/>
      <w:numFmt w:val="lowerLetter"/>
      <w:start w:val="1"/>
    </w:lvl>
    <w:lvl w:ilvl="1">
      <w:lvlJc w:val="left"/>
      <w:lvlText w:val="(%2)"/>
      <w:numFmt w:val="lowerLetter"/>
      <w:start w:val="2"/>
    </w:lvl>
  </w:abstractNum>
  <w:abstractNum w:abstractNumId="120">
    <w:nsid w:val="17180B0B"/>
    <w:multiLevelType w:val="hybridMultilevel"/>
    <w:lvl w:ilvl="0">
      <w:lvlJc w:val="left"/>
      <w:lvlText w:val="(%1)"/>
      <w:numFmt w:val="lowerLetter"/>
      <w:start w:val="3"/>
    </w:lvl>
    <w:lvl w:ilvl="1">
      <w:lvlJc w:val="left"/>
      <w:lvlText w:val="%2"/>
      <w:numFmt w:val="lowerLetter"/>
      <w:start w:val="1"/>
    </w:lvl>
  </w:abstractNum>
  <w:abstractNum w:abstractNumId="121">
    <w:nsid w:val="579328B9"/>
    <w:multiLevelType w:val="hybridMultilevel"/>
    <w:lvl w:ilvl="0">
      <w:lvlJc w:val="left"/>
      <w:lvlText w:val="%1."/>
      <w:numFmt w:val="decimal"/>
      <w:start w:val="4"/>
    </w:lvl>
  </w:abstractNum>
  <w:abstractNum w:abstractNumId="122">
    <w:nsid w:val="5D205E20"/>
    <w:multiLevelType w:val="hybridMultilevel"/>
    <w:lvl w:ilvl="0">
      <w:lvlJc w:val="left"/>
      <w:lvlText w:val="%1"/>
      <w:numFmt w:val="lowerLetter"/>
      <w:start w:val="1"/>
    </w:lvl>
    <w:lvl w:ilvl="1">
      <w:lvlJc w:val="left"/>
      <w:lvlText w:val="(%2)"/>
      <w:numFmt w:val="lowerLetter"/>
      <w:start w:val="1"/>
    </w:lvl>
  </w:abstractNum>
  <w:abstractNum w:abstractNumId="123">
    <w:nsid w:val="11CCA8BA"/>
    <w:multiLevelType w:val="hybridMultilevel"/>
    <w:lvl w:ilvl="0">
      <w:lvlJc w:val="left"/>
      <w:lvlText w:val="(%1)"/>
      <w:numFmt w:val="lowerLetter"/>
      <w:start w:val="2"/>
    </w:lvl>
    <w:lvl w:ilvl="1">
      <w:lvlJc w:val="left"/>
      <w:lvlText w:val="%2"/>
      <w:numFmt w:val="lowerLetter"/>
      <w:start w:val="1"/>
    </w:lvl>
  </w:abstractNum>
  <w:abstractNum w:abstractNumId="124">
    <w:nsid w:val="4D32AB86"/>
    <w:multiLevelType w:val="hybridMultilevel"/>
    <w:lvl w:ilvl="0">
      <w:lvlJc w:val="left"/>
      <w:lvlText w:val="%1."/>
      <w:numFmt w:val="decimal"/>
      <w:start w:val="5"/>
    </w:lvl>
  </w:abstractNum>
  <w:abstractNum w:abstractNumId="125">
    <w:nsid w:val="3F07ACC3"/>
    <w:multiLevelType w:val="hybridMultilevel"/>
    <w:lvl w:ilvl="0">
      <w:lvlJc w:val="left"/>
      <w:lvlText w:val="%1"/>
      <w:numFmt w:val="lowerLetter"/>
      <w:start w:val="1"/>
    </w:lvl>
    <w:lvl w:ilvl="1">
      <w:lvlJc w:val="left"/>
      <w:lvlText w:val="(%2)"/>
      <w:numFmt w:val="lowerLetter"/>
      <w:start w:val="1"/>
    </w:lvl>
  </w:abstractNum>
  <w:abstractNum w:abstractNumId="126">
    <w:nsid w:val="6B47F63E"/>
    <w:multiLevelType w:val="hybridMultilevel"/>
    <w:lvl w:ilvl="0">
      <w:lvlJc w:val="left"/>
      <w:lvlText w:val="(%1)"/>
      <w:numFmt w:val="lowerLetter"/>
      <w:start w:val="35"/>
    </w:lvl>
    <w:lvl w:ilvl="1">
      <w:lvlJc w:val="left"/>
      <w:lvlText w:val="%2"/>
      <w:numFmt w:val="lowerLetter"/>
      <w:start w:val="1"/>
    </w:lvl>
  </w:abstractNum>
  <w:abstractNum w:abstractNumId="127">
    <w:nsid w:val="5CB44A05"/>
    <w:multiLevelType w:val="hybridMultilevel"/>
    <w:lvl w:ilvl="0">
      <w:lvlJc w:val="left"/>
      <w:lvlText w:val="%1."/>
      <w:numFmt w:val="decimal"/>
      <w:start w:val="6"/>
    </w:lvl>
  </w:abstractNum>
  <w:abstractNum w:abstractNumId="128">
    <w:nsid w:val="16CF80F1"/>
    <w:multiLevelType w:val="hybridMultilevel"/>
    <w:lvl w:ilvl="0">
      <w:lvlJc w:val="left"/>
      <w:lvlText w:val="%1."/>
      <w:numFmt w:val="decimal"/>
      <w:start w:val="1"/>
    </w:lvl>
  </w:abstractNum>
  <w:abstractNum w:abstractNumId="129">
    <w:nsid w:val="1C695DEC"/>
    <w:multiLevelType w:val="hybridMultilevel"/>
    <w:lvl w:ilvl="0">
      <w:lvlJc w:val="left"/>
      <w:lvlText w:val="%1."/>
      <w:numFmt w:val="decimal"/>
      <w:start w:val="2"/>
    </w:lvl>
  </w:abstractNum>
  <w:abstractNum w:abstractNumId="130">
    <w:nsid w:val="3FCFAED9"/>
    <w:multiLevelType w:val="hybridMultilevel"/>
    <w:lvl w:ilvl="0">
      <w:lvlJc w:val="left"/>
      <w:lvlText w:val="%1."/>
      <w:numFmt w:val="decimal"/>
      <w:start w:val="3"/>
    </w:lvl>
    <w:lvl w:ilvl="1">
      <w:lvlJc w:val="left"/>
      <w:lvlText w:val="(%2)"/>
      <w:numFmt w:val="lowerLetter"/>
      <w:start w:val="1"/>
    </w:lvl>
  </w:abstractNum>
  <w:abstractNum w:abstractNumId="131">
    <w:nsid w:val="F856867"/>
    <w:multiLevelType w:val="hybridMultilevel"/>
    <w:lvl w:ilvl="0">
      <w:lvlJc w:val="left"/>
      <w:lvlText w:val="(%1)"/>
      <w:numFmt w:val="lowerLetter"/>
      <w:start w:val="2"/>
    </w:lvl>
  </w:abstractNum>
  <w:abstractNum w:abstractNumId="132">
    <w:nsid w:val="11B1CC33"/>
    <w:multiLevelType w:val="hybridMultilevel"/>
    <w:lvl w:ilvl="0">
      <w:lvlJc w:val="left"/>
      <w:lvlText w:val="(%1)"/>
      <w:numFmt w:val="lowerLetter"/>
      <w:start w:val="3"/>
    </w:lvl>
  </w:abstractNum>
  <w:abstractNum w:abstractNumId="133">
    <w:nsid w:val="2E22FBB7"/>
    <w:multiLevelType w:val="hybridMultilevel"/>
    <w:lvl w:ilvl="0">
      <w:lvlJc w:val="left"/>
      <w:lvlText w:val="%1."/>
      <w:numFmt w:val="decimal"/>
      <w:start w:val="4"/>
    </w:lvl>
  </w:abstractNum>
  <w:abstractNum w:abstractNumId="134">
    <w:nsid w:val="29934699"/>
    <w:multiLevelType w:val="hybridMultilevel"/>
    <w:lvl w:ilvl="0">
      <w:lvlJc w:val="left"/>
      <w:lvlText w:val="%1."/>
      <w:numFmt w:val="decimal"/>
      <w:start w:val="5"/>
    </w:lvl>
    <w:lvl w:ilvl="1">
      <w:lvlJc w:val="left"/>
      <w:lvlText w:val="(%2)"/>
      <w:numFmt w:val="lowerLetter"/>
      <w:start w:val="1"/>
    </w:lvl>
  </w:abstractNum>
  <w:abstractNum w:abstractNumId="135">
    <w:nsid w:val="77485850"/>
    <w:multiLevelType w:val="hybridMultilevel"/>
    <w:lvl w:ilvl="0">
      <w:lvlJc w:val="left"/>
      <w:lvlText w:val="%1"/>
      <w:numFmt w:val="decimal"/>
      <w:start w:val="1"/>
    </w:lvl>
    <w:lvl w:ilvl="1">
      <w:lvlJc w:val="left"/>
      <w:lvlText w:val="(%2)"/>
      <w:numFmt w:val="lowerLetter"/>
      <w:start w:val="2"/>
    </w:lvl>
  </w:abstractNum>
  <w:abstractNum w:abstractNumId="136">
    <w:nsid w:val="744939A3"/>
    <w:multiLevelType w:val="hybridMultilevel"/>
    <w:lvl w:ilvl="0">
      <w:lvlJc w:val="left"/>
      <w:lvlText w:val="%1."/>
      <w:numFmt w:val="decimal"/>
      <w:start w:val="6"/>
    </w:lvl>
    <w:lvl w:ilvl="1">
      <w:lvlJc w:val="left"/>
      <w:lvlText w:val="%2"/>
      <w:numFmt w:val="lowerLetter"/>
      <w:start w:val="1"/>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9">
    <w:nsid w:val="68B867D3"/>
    <w:multiLevelType w:val="hybridMultilevel"/>
    <w:lvl w:ilvl="0">
      <w:lvlJc w:val="left"/>
      <w:lvlText w:val="(%1)"/>
      <w:numFmt w:val="lowerRoman"/>
      <w:start w:val="2"/>
    </w:lvl>
    <w:lvl w:ilvl="1">
      <w:lvlJc w:val="left"/>
      <w:lvlText w:val="(%2)"/>
      <w:numFmt w:val="lowerLetter"/>
      <w:start w:val="2"/>
    </w:lvl>
    <w:lvl w:ilvl="2">
      <w:lvlJc w:val="left"/>
      <w:lvlText w:val="(%3)"/>
      <w:numFmt w:val="lowerLetter"/>
      <w:start w:val="61"/>
    </w:lvl>
  </w:abstractNum>
  <w:abstractNum w:abstractNumId="140">
    <w:nsid w:val="3F7F5D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41">
    <w:nsid w:val="2AE05A34"/>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42">
    <w:nsid w:val="32794FF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43">
    <w:nsid w:val="5454945E"/>
    <w:multiLevelType w:val="hybridMultilevel"/>
    <w:lvl w:ilvl="0">
      <w:lvlJc w:val="left"/>
      <w:lvlText w:val="(%1)"/>
      <w:numFmt w:val="lowerLetter"/>
      <w:start w:val="6"/>
    </w:lvl>
  </w:abstractNum>
  <w:abstractNum w:abstractNumId="144">
    <w:nsid w:val="4DEFDFA0"/>
    <w:multiLevelType w:val="hybridMultilevel"/>
    <w:lvl w:ilvl="0">
      <w:lvlJc w:val="left"/>
      <w:lvlText w:val="%1"/>
      <w:numFmt w:val="lowerLetter"/>
      <w:start w:val="1"/>
    </w:lvl>
    <w:lvl w:ilvl="1">
      <w:lvlJc w:val="left"/>
      <w:lvlText w:val="(%2)"/>
      <w:numFmt w:val="lowerLetter"/>
      <w:start w:val="9"/>
    </w:lvl>
  </w:abstractNum>
  <w:abstractNum w:abstractNumId="145">
    <w:nsid w:val="2123D5F2"/>
    <w:multiLevelType w:val="hybridMultilevel"/>
    <w:lvl w:ilvl="0">
      <w:lvlJc w:val="left"/>
      <w:lvlText w:val="(%1)"/>
      <w:numFmt w:val="lowerLetter"/>
      <w:start w:val="10"/>
    </w:lvl>
    <w:lvl w:ilvl="1">
      <w:lvlJc w:val="left"/>
      <w:lvlText w:val="%2"/>
      <w:numFmt w:val="lowerLetter"/>
      <w:start w:val="1"/>
    </w:lvl>
  </w:abstractNum>
  <w:abstractNum w:abstractNumId="146">
    <w:nsid w:val="135B8110"/>
    <w:multiLevelType w:val="hybridMultilevel"/>
    <w:lvl w:ilvl="0">
      <w:lvlJc w:val="left"/>
      <w:lvlText w:val="%1"/>
      <w:numFmt w:val="decimal"/>
      <w:start w:val="1"/>
    </w:lvl>
    <w:lvl w:ilvl="1">
      <w:lvlJc w:val="left"/>
      <w:lvlText w:val="(%2)"/>
      <w:numFmt w:val="lowerLetter"/>
      <w:start w:val="11"/>
    </w:lvl>
  </w:abstractNum>
  <w:abstractNum w:abstractNumId="147">
    <w:nsid w:val="94927A8"/>
    <w:multiLevelType w:val="hybridMultilevel"/>
    <w:lvl w:ilvl="0">
      <w:lvlJc w:val="left"/>
      <w:lvlText w:val="%1."/>
      <w:numFmt w:val="decimal"/>
      <w:start w:val="8"/>
    </w:lvl>
    <w:lvl w:ilvl="1">
      <w:lvlJc w:val="left"/>
      <w:lvlText w:val="%2"/>
      <w:numFmt w:val="lowerLetter"/>
      <w:start w:val="1"/>
    </w:lvl>
  </w:abstractNum>
  <w:abstractNum w:abstractNumId="148">
    <w:nsid w:val="DCDF8F6"/>
    <w:multiLevelType w:val="hybridMultilevel"/>
    <w:lvl w:ilvl="0">
      <w:lvlJc w:val="left"/>
      <w:lvlText w:val="(%1)"/>
      <w:numFmt w:val="lowerLetter"/>
      <w:start w:val="1"/>
    </w:lvl>
  </w:abstractNum>
  <w:abstractNum w:abstractNumId="149">
    <w:nsid w:val="52D7B105"/>
    <w:multiLevelType w:val="hybridMultilevel"/>
    <w:lvl w:ilvl="0">
      <w:lvlJc w:val="left"/>
      <w:lvlText w:val="(%1)"/>
      <w:numFmt w:val="lowerLetter"/>
      <w:start w:val="3"/>
    </w:lvl>
    <w:lvl w:ilvl="1">
      <w:lvlJc w:val="left"/>
      <w:lvlText w:val="(%2)"/>
      <w:numFmt w:val="lowerRoman"/>
      <w:start w:val="1"/>
    </w:lvl>
  </w:abstractNum>
  <w:abstractNum w:abstractNumId="150">
    <w:nsid w:val="2E8A6394"/>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51">
    <w:nsid w:val="24E60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52">
    <w:nsid w:val="2A6AD9BE"/>
    <w:multiLevelType w:val="hybridMultilevel"/>
    <w:lvl w:ilvl="0">
      <w:lvlJc w:val="left"/>
      <w:lvlText w:val="(%1)"/>
      <w:numFmt w:val="lowerLetter"/>
      <w:start w:val="1"/>
    </w:lvl>
  </w:abstractNum>
  <w:abstractNum w:abstractNumId="153">
    <w:nsid w:val="BAAC1B4"/>
    <w:multiLevelType w:val="hybridMultilevel"/>
    <w:lvl w:ilvl="0">
      <w:lvlJc w:val="left"/>
      <w:lvlText w:val="(%1)"/>
      <w:numFmt w:val="lowerLetter"/>
      <w:start w:val="2"/>
    </w:lvl>
  </w:abstractNum>
  <w:abstractNum w:abstractNumId="154">
    <w:nsid w:val="36B2ACBC"/>
    <w:multiLevelType w:val="hybridMultilevel"/>
    <w:lvl w:ilvl="0">
      <w:lvlJc w:val="left"/>
      <w:lvlText w:val="%1."/>
      <w:numFmt w:val="decimal"/>
      <w:start w:val="11"/>
    </w:lvl>
  </w:abstractNum>
  <w:abstractNum w:abstractNumId="155">
    <w:nsid w:val="779D8544"/>
    <w:multiLevelType w:val="hybridMultilevel"/>
    <w:lvl w:ilvl="0">
      <w:lvlJc w:val="left"/>
      <w:lvlText w:val="%1"/>
      <w:numFmt w:val="lowerLetter"/>
      <w:start w:val="1"/>
    </w:lvl>
    <w:lvl w:ilvl="1">
      <w:lvlJc w:val="left"/>
      <w:lvlText w:val="(%2)"/>
      <w:numFmt w:val="lowerLetter"/>
      <w:start w:val="1"/>
    </w:lvl>
  </w:abstractNum>
  <w:abstractNum w:abstractNumId="156">
    <w:nsid w:val="4AB26E78"/>
    <w:multiLevelType w:val="hybridMultilevel"/>
    <w:lvl w:ilvl="0">
      <w:lvlJc w:val="left"/>
      <w:lvlText w:val="(%1)"/>
      <w:numFmt w:val="lowerLetter"/>
      <w:start w:val="2"/>
    </w:lvl>
    <w:lvl w:ilvl="1">
      <w:lvlJc w:val="left"/>
      <w:lvlText w:val="%2"/>
      <w:numFmt w:val="lowerLetter"/>
      <w:start w:val="1"/>
    </w:lvl>
  </w:abstractNum>
  <w:abstractNum w:abstractNumId="157">
    <w:nsid w:val="21FAA2FA"/>
    <w:multiLevelType w:val="hybridMultilevel"/>
    <w:lvl w:ilvl="0">
      <w:lvlJc w:val="left"/>
      <w:lvlText w:val="%1."/>
      <w:numFmt w:val="decimal"/>
      <w:start w:val="12"/>
    </w:lvl>
  </w:abstractNum>
  <w:abstractNum w:abstractNumId="158">
    <w:nsid w:val="5451CF49"/>
    <w:multiLevelType w:val="hybridMultilevel"/>
    <w:lvl w:ilvl="0">
      <w:lvlJc w:val="left"/>
      <w:lvlText w:val="%1"/>
      <w:numFmt w:val="lowerLetter"/>
      <w:start w:val="1"/>
    </w:lvl>
    <w:lvl w:ilvl="1">
      <w:lvlJc w:val="left"/>
      <w:lvlText w:val="(%2)"/>
      <w:numFmt w:val="lowerLetter"/>
      <w:start w:val="1"/>
    </w:lvl>
  </w:abstractNum>
  <w:abstractNum w:abstractNumId="159">
    <w:nsid w:val="6181EF69"/>
    <w:multiLevelType w:val="hybridMultilevel"/>
    <w:lvl w:ilvl="0">
      <w:lvlJc w:val="left"/>
      <w:lvlText w:val="(%1)"/>
      <w:numFmt w:val="lowerLetter"/>
      <w:start w:val="3"/>
    </w:lvl>
    <w:lvl w:ilvl="1">
      <w:lvlJc w:val="left"/>
      <w:lvlText w:val="%2"/>
      <w:numFmt w:val="lowerLetter"/>
      <w:start w:val="1"/>
    </w:lvl>
  </w:abstractNum>
  <w:abstractNum w:abstractNumId="160">
    <w:nsid w:val="3E6400E6"/>
    <w:multiLevelType w:val="hybridMultilevel"/>
    <w:lvl w:ilvl="0">
      <w:lvlJc w:val="left"/>
      <w:lvlText w:val="(%1)"/>
      <w:numFmt w:val="lowerRoman"/>
      <w:start w:val="1"/>
    </w:lvl>
    <w:lvl w:ilvl="1">
      <w:lvlJc w:val="left"/>
      <w:lvlText w:val="%2."/>
      <w:numFmt w:val="decimal"/>
      <w:start w:val="13"/>
    </w:lvl>
  </w:abstractNum>
  <w:abstractNum w:abstractNumId="161">
    <w:nsid w:val="14217E23"/>
    <w:multiLevelType w:val="hybridMultilevel"/>
    <w:lvl w:ilvl="0">
      <w:lvlJc w:val="left"/>
      <w:lvlText w:val="%1."/>
      <w:numFmt w:val="decimal"/>
      <w:start w:val="14"/>
    </w:lvl>
  </w:abstractNum>
  <w:abstractNum w:abstractNumId="162">
    <w:nsid w:val="710757D0"/>
    <w:multiLevelType w:val="hybridMultilevel"/>
    <w:lvl w:ilvl="0">
      <w:lvlJc w:val="left"/>
      <w:lvlText w:val="%1."/>
      <w:numFmt w:val="decimal"/>
      <w:start w:val="15"/>
    </w:lvl>
  </w:abstractNum>
  <w:abstractNum w:abstractNumId="163">
    <w:nsid w:val="5015CD1A"/>
    <w:multiLevelType w:val="hybridMultilevel"/>
    <w:lvl w:ilvl="0">
      <w:lvlJc w:val="left"/>
      <w:lvlText w:val="%1."/>
      <w:numFmt w:val="decimal"/>
      <w:start w:val="16"/>
    </w:lvl>
  </w:abstractNum>
  <w:abstractNum w:abstractNumId="164">
    <w:nsid w:val="424479DA"/>
    <w:multiLevelType w:val="hybridMultilevel"/>
    <w:lvl w:ilvl="0">
      <w:lvlJc w:val="left"/>
      <w:lvlText w:val="%1."/>
      <w:numFmt w:val="decimal"/>
      <w:start w:val="17"/>
    </w:lvl>
  </w:abstractNum>
  <w:abstractNum w:abstractNumId="165">
    <w:nsid w:val="1A9A9E69"/>
    <w:multiLevelType w:val="hybridMultilevel"/>
    <w:lvl w:ilvl="0">
      <w:lvlJc w:val="left"/>
      <w:lvlText w:val="%1."/>
      <w:numFmt w:val="decimal"/>
      <w:start w:val="18"/>
    </w:lvl>
  </w:abstractNum>
  <w:abstractNum w:abstractNumId="166">
    <w:nsid w:val="475E256A"/>
    <w:multiLevelType w:val="hybridMultilevel"/>
    <w:lvl w:ilvl="0">
      <w:lvlJc w:val="left"/>
      <w:lvlText w:val="%1."/>
      <w:numFmt w:val="decimal"/>
      <w:start w:val="19"/>
    </w:lvl>
  </w:abstractNum>
  <w:abstractNum w:abstractNumId="167">
    <w:nsid w:val="368DB37E"/>
    <w:multiLevelType w:val="hybridMultilevel"/>
    <w:lvl w:ilvl="0">
      <w:lvlJc w:val="left"/>
      <w:lvlText w:val="%1."/>
      <w:numFmt w:val="decimal"/>
      <w:start w:val="20"/>
    </w:lvl>
  </w:abstractNum>
  <w:abstractNum w:abstractNumId="168">
    <w:nsid w:val="6A3B714C"/>
    <w:multiLevelType w:val="hybridMultilevel"/>
    <w:lvl w:ilvl="0">
      <w:lvlJc w:val="left"/>
      <w:lvlText w:val="%1."/>
      <w:numFmt w:val="decimal"/>
      <w:start w:val="21"/>
    </w:lvl>
  </w:abstractNum>
  <w:abstractNum w:abstractNumId="169">
    <w:nsid w:val="327B517E"/>
    <w:multiLevelType w:val="hybridMultilevel"/>
    <w:lvl w:ilvl="0">
      <w:lvlJc w:val="left"/>
      <w:lvlText w:val="%1."/>
      <w:numFmt w:val="decimal"/>
      <w:start w:val="22"/>
    </w:lvl>
  </w:abstractNum>
  <w:abstractNum w:abstractNumId="170">
    <w:nsid w:val="1F461B51"/>
    <w:multiLevelType w:val="hybridMultilevel"/>
    <w:lvl w:ilvl="0">
      <w:lvlJc w:val="left"/>
      <w:lvlText w:val="%1."/>
      <w:numFmt w:val="decimal"/>
      <w:start w:val="23"/>
    </w:lvl>
  </w:abstractNum>
  <w:abstractNum w:abstractNumId="171">
    <w:nsid w:val="29BACF25"/>
    <w:multiLevelType w:val="hybridMultilevel"/>
    <w:lvl w:ilvl="0">
      <w:lvlJc w:val="left"/>
      <w:lvlText w:val="%1"/>
      <w:numFmt w:val="lowerLetter"/>
      <w:start w:val="1"/>
    </w:lvl>
    <w:lvl w:ilvl="1">
      <w:lvlJc w:val="left"/>
      <w:lvlText w:val="%2."/>
      <w:numFmt w:val="decimal"/>
      <w:start w:val="24"/>
    </w:lvl>
  </w:abstractNum>
  <w:abstractNum w:abstractNumId="172">
    <w:nsid w:val="5D5BABB3"/>
    <w:multiLevelType w:val="hybridMultilevel"/>
    <w:lvl w:ilvl="0">
      <w:lvlJc w:val="left"/>
      <w:lvlText w:val="(%1)"/>
      <w:numFmt w:val="lowerLetter"/>
      <w:start w:val="1"/>
    </w:lvl>
    <w:lvl w:ilvl="1">
      <w:lvlJc w:val="left"/>
      <w:lvlText w:val="%2"/>
      <w:numFmt w:val="decimal"/>
      <w:start w:val="1"/>
    </w:lvl>
  </w:abstractNum>
  <w:abstractNum w:abstractNumId="173">
    <w:nsid w:val="51BF6B48"/>
    <w:multiLevelType w:val="hybridMultilevel"/>
    <w:lvl w:ilvl="0">
      <w:lvlJc w:val="left"/>
      <w:lvlText w:val="(%1)"/>
      <w:numFmt w:val="lowerLetter"/>
      <w:start w:val="2"/>
    </w:lvl>
  </w:abstractNum>
  <w:abstractNum w:abstractNumId="174">
    <w:nsid w:val="7E0F6384"/>
    <w:multiLevelType w:val="hybridMultilevel"/>
    <w:lvl w:ilvl="0">
      <w:lvlJc w:val="left"/>
      <w:lvlText w:val="%1."/>
      <w:numFmt w:val="decimal"/>
      <w:start w:val="25"/>
    </w:lvl>
  </w:abstractNum>
  <w:abstractNum w:abstractNumId="175">
    <w:nsid w:val="2B4B8B53"/>
    <w:multiLevelType w:val="hybridMultilevel"/>
    <w:lvl w:ilvl="0">
      <w:lvlJc w:val="left"/>
      <w:lvlText w:val="%1."/>
      <w:numFmt w:val="decimal"/>
      <w:start w:val="26"/>
    </w:lvl>
  </w:abstractNum>
  <w:abstractNum w:abstractNumId="176">
    <w:nsid w:val="72E3413A"/>
    <w:multiLevelType w:val="hybridMultilevel"/>
    <w:lvl w:ilvl="0">
      <w:lvlJc w:val="left"/>
      <w:lvlText w:val="%1."/>
      <w:numFmt w:val="decimal"/>
      <w:start w:val="1"/>
    </w:lvl>
  </w:abstractNum>
  <w:abstractNum w:abstractNumId="177">
    <w:nsid w:val="116AE494"/>
    <w:multiLevelType w:val="hybridMultilevel"/>
    <w:lvl w:ilvl="0">
      <w:lvlJc w:val="left"/>
      <w:lvlText w:val="%1."/>
      <w:numFmt w:val="decimal"/>
      <w:start w:val="1"/>
    </w:lvl>
  </w:abstractNum>
  <w:abstractNum w:abstractNumId="178">
    <w:nsid w:val="3494B2FB"/>
    <w:multiLevelType w:val="hybridMultilevel"/>
    <w:lvl w:ilvl="0">
      <w:lvlJc w:val="left"/>
      <w:lvlText w:val="%1."/>
      <w:numFmt w:val="decimal"/>
      <w:start w:val="3"/>
    </w:lvl>
  </w:abstractNum>
  <w:abstractNum w:abstractNumId="179">
    <w:nsid w:val="B13A31"/>
    <w:multiLevelType w:val="hybridMultilevel"/>
    <w:lvl w:ilvl="0">
      <w:lvlJc w:val="left"/>
      <w:lvlText w:val="(%1)"/>
      <w:numFmt w:val="lowerLetter"/>
      <w:start w:val="1"/>
    </w:lvl>
  </w:abstractNum>
  <w:abstractNum w:abstractNumId="180">
    <w:nsid w:val="64429599"/>
    <w:multiLevelType w:val="hybridMultilevel"/>
    <w:lvl w:ilvl="0">
      <w:lvlJc w:val="left"/>
      <w:lvlText w:val="%1"/>
      <w:numFmt w:val="lowerLetter"/>
      <w:start w:val="1"/>
    </w:lvl>
    <w:lvl w:ilvl="1">
      <w:lvlJc w:val="left"/>
      <w:lvlText w:val="(%2)"/>
      <w:numFmt w:val="lowerLetter"/>
      <w:start w:val="2"/>
    </w:lvl>
  </w:abstractNum>
  <w:abstractNum w:abstractNumId="181">
    <w:nsid w:val="631F1690"/>
    <w:multiLevelType w:val="hybridMultilevel"/>
    <w:lvl w:ilvl="0">
      <w:lvlJc w:val="left"/>
      <w:lvlText w:val="(%1)"/>
      <w:numFmt w:val="lowerLetter"/>
      <w:start w:val="3"/>
    </w:lvl>
    <w:lvl w:ilvl="1">
      <w:lvlJc w:val="left"/>
      <w:lvlText w:val="%2"/>
      <w:numFmt w:val="lowerLetter"/>
      <w:start w:val="1"/>
    </w:lvl>
  </w:abstractNum>
  <w:abstractNum w:abstractNumId="182">
    <w:nsid w:val="25973E32"/>
    <w:multiLevelType w:val="hybridMultilevel"/>
    <w:lvl w:ilvl="0">
      <w:lvlJc w:val="left"/>
      <w:lvlText w:val="%1."/>
      <w:numFmt w:val="decimal"/>
      <w:start w:val="4"/>
    </w:lvl>
  </w:abstractNum>
  <w:abstractNum w:abstractNumId="183">
    <w:nsid w:val="EAD6F57"/>
    <w:multiLevelType w:val="hybridMultilevel"/>
    <w:lvl w:ilvl="0">
      <w:lvlJc w:val="left"/>
      <w:lvlText w:val="%1"/>
      <w:numFmt w:val="lowerLetter"/>
      <w:start w:val="1"/>
    </w:lvl>
    <w:lvl w:ilvl="1">
      <w:lvlJc w:val="left"/>
      <w:lvlText w:val="(%2)"/>
      <w:numFmt w:val="lowerLetter"/>
      <w:start w:val="1"/>
    </w:lvl>
  </w:abstractNum>
  <w:abstractNum w:abstractNumId="184">
    <w:nsid w:val="6EC9D844"/>
    <w:multiLevelType w:val="hybridMultilevel"/>
    <w:lvl w:ilvl="0">
      <w:lvlJc w:val="left"/>
      <w:lvlText w:val="(%1)"/>
      <w:numFmt w:val="lowerLetter"/>
      <w:start w:val="2"/>
    </w:lvl>
    <w:lvl w:ilvl="1">
      <w:lvlJc w:val="left"/>
      <w:lvlText w:val="%2"/>
      <w:numFmt w:val="lowerLetter"/>
      <w:start w:val="1"/>
    </w:lvl>
  </w:abstractNum>
  <w:abstractNum w:abstractNumId="185">
    <w:nsid w:val="5C49EAEE"/>
    <w:multiLevelType w:val="hybridMultilevel"/>
    <w:lvl w:ilvl="0">
      <w:lvlJc w:val="left"/>
      <w:lvlText w:val="%1."/>
      <w:numFmt w:val="decimal"/>
      <w:start w:val="5"/>
    </w:lvl>
  </w:abstractNum>
  <w:abstractNum w:abstractNumId="186">
    <w:nsid w:val="64AF49B"/>
    <w:multiLevelType w:val="hybridMultilevel"/>
    <w:lvl w:ilvl="0">
      <w:lvlJc w:val="left"/>
      <w:lvlText w:val="%1"/>
      <w:numFmt w:val="lowerLetter"/>
      <w:start w:val="1"/>
    </w:lvl>
    <w:lvl w:ilvl="1">
      <w:lvlJc w:val="left"/>
      <w:lvlText w:val="(%2)"/>
      <w:numFmt w:val="lowerLetter"/>
      <w:start w:val="1"/>
    </w:lvl>
  </w:abstractNum>
  <w:abstractNum w:abstractNumId="187">
    <w:nsid w:val="397C46BC"/>
    <w:multiLevelType w:val="hybridMultilevel"/>
    <w:lvl w:ilvl="0">
      <w:lvlJc w:val="left"/>
      <w:lvlText w:val="(%1)"/>
      <w:numFmt w:val="lowerLetter"/>
      <w:start w:val="35"/>
    </w:lvl>
    <w:lvl w:ilvl="1">
      <w:lvlJc w:val="left"/>
      <w:lvlText w:val="%2"/>
      <w:numFmt w:val="lowerLetter"/>
      <w:start w:val="1"/>
    </w:lvl>
  </w:abstractNum>
  <w:abstractNum w:abstractNumId="188">
    <w:nsid w:val="7E448DE9"/>
    <w:multiLevelType w:val="hybridMultilevel"/>
    <w:lvl w:ilvl="0">
      <w:lvlJc w:val="left"/>
      <w:lvlText w:val="%1."/>
      <w:numFmt w:val="decimal"/>
      <w:start w:val="6"/>
    </w:lvl>
  </w:abstractNum>
  <w:abstractNum w:abstractNumId="189">
    <w:nsid w:val="5A9CC3E5"/>
    <w:multiLevelType w:val="hybridMultilevel"/>
    <w:lvl w:ilvl="0">
      <w:lvlJc w:val="left"/>
      <w:lvlText w:val="%1."/>
      <w:numFmt w:val="decimal"/>
      <w:start w:val="7"/>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decimal"/>
      <w:start w:val="1"/>
    </w:lvl>
    <w:lvl w:ilvl="1">
      <w:lvlJc w:val="left"/>
      <w:lvlText w:val="%2)"/>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143" Type="http://schemas.openxmlformats.org/officeDocument/2006/relationships/hyperlink" Target="https://www.sec.gov/Archives/edgar/data/813298/000095017022005355/dxlg-ex10_2.htm" TargetMode="External"/><Relationship Id="rId144" Type="http://schemas.openxmlformats.org/officeDocument/2006/relationships/hyperlink" Target="https://www.sec.gov/Archives/edgar/data/813298/000095017022005355/dxlg-ex10_3.htm" TargetMode="External"/><Relationship Id="rId145" Type="http://schemas.openxmlformats.org/officeDocument/2006/relationships/hyperlink" Target="https://www.sec.gov/Archives/edgar/data/813298/000095017022005355/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2022-05-26T16:17:31Z</dcterms:created>
  <dcterms:modified xsi:type="dcterms:W3CDTF">2022-05-26T16:17:31Z</dcterms:modified>
</cp:coreProperties>
</file>