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400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4006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PAUKER DARA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01/27/2023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7.43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01/27/2023</w:t>
            </w:r>
          </w:p>
        </w:tc>
        <w:tc>
          <w:tcPr>
            <w:tcW w:w="106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3,276</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01/27/2033</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3,276</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3,276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40,376</w:t>
            </w:r>
            <w:r>
              <w:rPr>
                <w:rFonts w:ascii="Times New Roman" w:cs="Times New Roman" w:eastAsia="Times New Roman" w:hAnsi="Times New Roman"/>
                <w:sz w:val="21"/>
                <w:szCs w:val="21"/>
                <w:color w:val="008000"/>
                <w:w w:val="91"/>
                <w:vertAlign w:val="superscript"/>
              </w:rPr>
              <w:t>(4)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01/27/2023</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rPr>
              <w:t>40,376</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01/27/2033</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rPr>
              <w:t>40,376</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8,626</w:t>
            </w:r>
            <w:r>
              <w:rPr>
                <w:rFonts w:ascii="Times New Roman" w:cs="Times New Roman" w:eastAsia="Times New Roman" w:hAnsi="Times New Roman"/>
                <w:sz w:val="21"/>
                <w:szCs w:val="21"/>
                <w:color w:val="008000"/>
                <w:w w:val="91"/>
                <w:vertAlign w:val="superscript"/>
              </w:rPr>
              <w:t>(4)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01/27/2023</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5"/>
              </w:rPr>
              <w:t>8,626</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01/27/2033</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5"/>
              </w:rPr>
              <w:t>8,626</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("Stock Options") represent the time-based portion of the 2021-2023 Long-Term Incentive Plan award to the Reporting Person. The Stock Options become exercisable in three equal installments on January 27, 2024, April 1, 2024 and April 1, 2025.</w:t>
      </w:r>
    </w:p>
    <w:p>
      <w:pPr>
        <w:spacing w:after="0" w:line="20" w:lineRule="exact"/>
        <w:rPr>
          <w:rFonts w:ascii="Times New Roman" w:cs="Times New Roman" w:eastAsia="Times New Roman" w:hAnsi="Times New Roman"/>
          <w:sz w:val="13"/>
          <w:szCs w:val="13"/>
          <w:color w:val="008000"/>
        </w:rPr>
      </w:pPr>
    </w:p>
    <w:p>
      <w:pPr>
        <w:ind w:left="40" w:right="5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represent an inducement grant pursuant to the Company's 2016 Incentive Compensation Plan. The RSUs vest and become exercisable in three equal installments on January 27, 2024, January 27, 2025 and January 27, 2026.</w:t>
      </w:r>
    </w:p>
    <w:p>
      <w:pPr>
        <w:spacing w:after="0" w:line="20" w:lineRule="exact"/>
        <w:rPr>
          <w:rFonts w:ascii="Times New Roman" w:cs="Times New Roman" w:eastAsia="Times New Roman" w:hAnsi="Times New Roman"/>
          <w:sz w:val="13"/>
          <w:szCs w:val="13"/>
          <w:color w:val="008000"/>
        </w:rPr>
      </w:pPr>
    </w:p>
    <w:p>
      <w:pPr>
        <w:ind w:left="40" w:right="28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for the time-based portion of the 2022-2024 Long-Term Incentive Plan award to the Reporting Person. The RSUs vest and become exercisable in four equal installments on January 27, 2024, April 1, 2024, April 1, 2025 and April 1, 2026.</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Dara Pauker</w:t>
            </w:r>
          </w:p>
        </w:tc>
        <w:tc>
          <w:tcPr>
            <w:tcW w:w="13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01/31/2023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6395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2023-01-31T15:24:35Z</dcterms:created>
  <dcterms:modified xsi:type="dcterms:W3CDTF">2023-01-31T15:24:35Z</dcterms:modified>
</cp:coreProperties>
</file>