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22, 2024</w:t>
      </w:r>
    </w:p>
    <w:p>
      <w:pPr>
        <w:spacing w:after="0" w:line="1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S-8</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REGISTRATION STATEMENT UNDER THE SECURITIES ACT OF 1933</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DESTINATION XL GROUP, INC.</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ectPr>
          <w:pgSz w:w="11900" w:h="16838" w:orient="portrait"/>
          <w:cols w:equalWidth="0" w:num="1">
            <w:col w:w="11240"/>
          </w:cols>
          <w:pgMar w:left="320" w:top="792" w:right="339" w:bottom="1440" w:gutter="0" w:footer="0" w:header="0"/>
        </w:sectPr>
      </w:pPr>
    </w:p>
    <w:p>
      <w:pPr>
        <w:spacing w:after="0" w:line="322"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0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04-2623104</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0" w:lineRule="exact"/>
        <w:rPr>
          <w:sz w:val="24"/>
          <w:szCs w:val="24"/>
          <w:color w:val="auto"/>
        </w:rPr>
      </w:pPr>
    </w:p>
    <w:p>
      <w:pPr>
        <w:sectPr>
          <w:pgSz w:w="11900" w:h="16838" w:orient="portrait"/>
          <w:cols w:equalWidth="0" w:num="2">
            <w:col w:w="7220" w:space="720"/>
            <w:col w:w="3300"/>
          </w:cols>
          <w:pgMar w:left="320" w:top="792" w:right="339" w:bottom="1440" w:gutter="0" w:footer="0" w:header="0"/>
          <w:type w:val="continuous"/>
        </w:sectPr>
      </w:pPr>
    </w:p>
    <w:p>
      <w:pPr>
        <w:spacing w:after="0" w:line="8" w:lineRule="exact"/>
        <w:rPr>
          <w:sz w:val="24"/>
          <w:szCs w:val="24"/>
          <w:color w:val="auto"/>
        </w:rPr>
      </w:pPr>
    </w:p>
    <w:tbl>
      <w:tblPr>
        <w:tblLayout w:type="fixed"/>
        <w:tblInd w:w="1780" w:type="dxa"/>
        <w:tblCellMar>
          <w:top w:w="0" w:type="dxa"/>
          <w:left w:w="0" w:type="dxa"/>
          <w:bottom w:w="0" w:type="dxa"/>
          <w:right w:w="0" w:type="dxa"/>
        </w:tblCellMar>
      </w:tblPr>
      <w:tr>
        <w:trPr>
          <w:trHeight w:val="229"/>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w w:val="98"/>
              </w:rPr>
              <w:t>555 Turnpike Street</w:t>
            </w:r>
          </w:p>
        </w:tc>
        <w:tc>
          <w:tcPr>
            <w:tcW w:w="2720" w:type="dxa"/>
            <w:vAlign w:val="bottom"/>
          </w:tcPr>
          <w:p>
            <w:pPr>
              <w:spacing w:after="0"/>
              <w:rPr>
                <w:sz w:val="19"/>
                <w:szCs w:val="19"/>
                <w:color w:val="auto"/>
              </w:rPr>
            </w:pPr>
          </w:p>
        </w:tc>
      </w:tr>
      <w:tr>
        <w:trPr>
          <w:trHeight w:val="232"/>
        </w:trPr>
        <w:tc>
          <w:tcPr>
            <w:tcW w:w="4220" w:type="dxa"/>
            <w:vAlign w:val="bottom"/>
          </w:tcPr>
          <w:p>
            <w:pPr>
              <w:jc w:val="center"/>
              <w:ind w:right="2019"/>
              <w:spacing w:after="0"/>
              <w:rPr>
                <w:sz w:val="20"/>
                <w:szCs w:val="20"/>
                <w:color w:val="auto"/>
              </w:rPr>
            </w:pPr>
            <w:r>
              <w:rPr>
                <w:rFonts w:ascii="Times New Roman" w:cs="Times New Roman" w:eastAsia="Times New Roman" w:hAnsi="Times New Roman"/>
                <w:sz w:val="18"/>
                <w:szCs w:val="18"/>
                <w:b w:val="1"/>
                <w:bCs w:val="1"/>
                <w:color w:val="auto"/>
                <w:w w:val="99"/>
              </w:rPr>
              <w:t>Canton, MA</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66"/>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20" w:type="dxa"/>
            <w:vAlign w:val="bottom"/>
          </w:tcPr>
          <w:p>
            <w:pPr>
              <w:jc w:val="center"/>
              <w:ind w:left="206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DESTINATION XL GROUP, INC.</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AMENDED AND RESTATED 2016 INCENTIVE COMPENSATION PLAN</w:t>
      </w:r>
    </w:p>
    <w:p>
      <w:pPr>
        <w:jc w:val="center"/>
        <w:ind w:right="-59"/>
        <w:spacing w:after="0"/>
        <w:rPr>
          <w:sz w:val="20"/>
          <w:szCs w:val="20"/>
          <w:color w:val="auto"/>
        </w:rPr>
      </w:pPr>
      <w:r>
        <w:rPr>
          <w:rFonts w:ascii="Times New Roman" w:cs="Times New Roman" w:eastAsia="Times New Roman" w:hAnsi="Times New Roman"/>
          <w:sz w:val="22"/>
          <w:szCs w:val="22"/>
          <w:color w:val="auto"/>
        </w:rPr>
        <w:t>(Full title of the plan)</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Robert S. Molloy</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Counsel and Secretary</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Destination XL Group, Inc.</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555 Turnpike Street</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Canton, Massachusetts 02021</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(Name and address of agent for service)</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(781) 828−9300</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(Telephone number, including area code, of agent for service)</w:t>
      </w:r>
    </w:p>
    <w:p>
      <w:pPr>
        <w:spacing w:after="0" w:line="182" w:lineRule="exact"/>
        <w:rPr>
          <w:sz w:val="24"/>
          <w:szCs w:val="24"/>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8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420"/>
              <w:spacing w:after="0"/>
              <w:rPr>
                <w:sz w:val="20"/>
                <w:szCs w:val="20"/>
                <w:color w:val="auto"/>
              </w:rPr>
            </w:pPr>
            <w:r>
              <w:rPr>
                <w:rFonts w:ascii="Wingdings" w:cs="Wingdings" w:eastAsia="Wingdings" w:hAnsi="Wingdings"/>
                <w:sz w:val="18"/>
                <w:szCs w:val="18"/>
                <w:b w:val="1"/>
                <w:bCs w:val="1"/>
                <w:color w:val="auto"/>
              </w:rPr>
              <w:t></w:t>
            </w:r>
          </w:p>
        </w:tc>
        <w:tc>
          <w:tcPr>
            <w:tcW w:w="49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300"/>
              <w:spacing w:after="0"/>
              <w:rPr>
                <w:sz w:val="20"/>
                <w:szCs w:val="20"/>
                <w:color w:val="auto"/>
              </w:rPr>
            </w:pPr>
            <w:r>
              <w:rPr>
                <w:rFonts w:ascii="Wingdings" w:cs="Wingdings" w:eastAsia="Wingdings" w:hAnsi="Wingdings"/>
                <w:sz w:val="18"/>
                <w:szCs w:val="18"/>
                <w:b w:val="1"/>
                <w:bCs w:val="1"/>
                <w:color w:val="auto"/>
                <w:w w:val="83"/>
              </w:rPr>
              <w:t>x</w:t>
            </w:r>
          </w:p>
        </w:tc>
      </w:tr>
      <w:tr>
        <w:trPr>
          <w:trHeight w:val="338"/>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420"/>
              <w:spacing w:after="0"/>
              <w:rPr>
                <w:sz w:val="20"/>
                <w:szCs w:val="20"/>
                <w:color w:val="auto"/>
              </w:rPr>
            </w:pPr>
            <w:r>
              <w:rPr>
                <w:rFonts w:ascii="Wingdings" w:cs="Wingdings" w:eastAsia="Wingdings" w:hAnsi="Wingdings"/>
                <w:sz w:val="18"/>
                <w:szCs w:val="18"/>
                <w:b w:val="1"/>
                <w:bCs w:val="1"/>
                <w:color w:val="auto"/>
              </w:rPr>
              <w:t></w:t>
            </w:r>
          </w:p>
        </w:tc>
        <w:tc>
          <w:tcPr>
            <w:tcW w:w="49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300"/>
              <w:spacing w:after="0"/>
              <w:rPr>
                <w:sz w:val="20"/>
                <w:szCs w:val="20"/>
                <w:color w:val="auto"/>
              </w:rPr>
            </w:pPr>
            <w:r>
              <w:rPr>
                <w:rFonts w:ascii="Wingdings" w:cs="Wingdings" w:eastAsia="Wingdings" w:hAnsi="Wingdings"/>
                <w:sz w:val="18"/>
                <w:szCs w:val="18"/>
                <w:b w:val="1"/>
                <w:bCs w:val="1"/>
                <w:color w:val="auto"/>
                <w:w w:val="99"/>
              </w:rPr>
              <w:t></w:t>
            </w:r>
          </w:p>
        </w:tc>
      </w:tr>
      <w:tr>
        <w:trPr>
          <w:trHeight w:val="338"/>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240" w:type="dxa"/>
            <w:vAlign w:val="bottom"/>
          </w:tcPr>
          <w:p>
            <w:pPr>
              <w:ind w:left="420"/>
              <w:spacing w:after="0"/>
              <w:rPr>
                <w:sz w:val="20"/>
                <w:szCs w:val="20"/>
                <w:color w:val="auto"/>
              </w:rPr>
            </w:pPr>
            <w:r>
              <w:rPr>
                <w:rFonts w:ascii="Wingdings" w:cs="Wingdings" w:eastAsia="Wingdings" w:hAnsi="Wingdings"/>
                <w:sz w:val="18"/>
                <w:szCs w:val="18"/>
                <w:b w:val="1"/>
                <w:bCs w:val="1"/>
                <w:color w:val="auto"/>
              </w:rPr>
              <w:t></w:t>
            </w:r>
          </w:p>
        </w:tc>
        <w:tc>
          <w:tcPr>
            <w:tcW w:w="49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216" w:lineRule="exact"/>
        <w:rPr>
          <w:sz w:val="24"/>
          <w:szCs w:val="24"/>
          <w:color w:val="auto"/>
        </w:rPr>
      </w:pPr>
    </w:p>
    <w:p>
      <w:pPr>
        <w:jc w:val="both"/>
        <w:ind w:right="140"/>
        <w:spacing w:after="0" w:line="252" w:lineRule="auto"/>
        <w:rPr>
          <w:sz w:val="20"/>
          <w:szCs w:val="20"/>
          <w:color w:val="auto"/>
        </w:rPr>
      </w:pPr>
      <w:r>
        <w:rPr>
          <w:rFonts w:ascii="Times New Roman" w:cs="Times New Roman" w:eastAsia="Times New Roman" w:hAnsi="Times New Roman"/>
          <w:sz w:val="21"/>
          <w:szCs w:val="21"/>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35" w:lineRule="auto"/>
        <w:rPr>
          <w:sz w:val="20"/>
          <w:szCs w:val="20"/>
          <w:color w:val="auto"/>
        </w:rPr>
      </w:pPr>
      <w:r>
        <w:rPr>
          <w:rFonts w:ascii="Wingdings" w:cs="Wingdings" w:eastAsia="Wingdings" w:hAnsi="Wingdings"/>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911225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REGISTRATION OF ADDITIONAL SECURITIES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GENERAL INSTRUCTION E</w:t>
      </w:r>
    </w:p>
    <w:p>
      <w:pPr>
        <w:spacing w:after="0" w:line="207"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This registration statement (“Registration Statement”) is being filed for the purpose of registering an additional 6,150,000 shares of the Registrant’s common stock reserved for issuance under the Registrant's Second Amended and Restated 2016 Incentive Compensation Plan. These additional shares are additional securities of the same class as other securities for which an original registration statement on Form S-8 (File No. 333-213311) was filed with the Securities and Exchange Commission (the “Commission”) on August 25, 2016 and supplemental registration statements on Form S-8 (File Nos. 333-233496, 333-248439 and 333-261215), which were filed with the Commission on August 28, 2019, August 27, 2020 and November 19, 2021, respectively.</w:t>
      </w:r>
    </w:p>
    <w:p>
      <w:pPr>
        <w:spacing w:after="0" w:line="16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Pursuant to General Instruction E to Form S-8, the contents of such earlier registration statements are incorporated by reference into this Registration Statement, and the provisions contained in Part II of such earlier registration statements are modified as set forth in this Registration Statement.</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Commission. The following documents, which are on file with the Commission, are incorporated by reference in this Registration Statement:</w:t>
      </w:r>
    </w:p>
    <w:p>
      <w:pPr>
        <w:spacing w:after="0" w:line="176" w:lineRule="exact"/>
        <w:rPr>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9">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February 3, 2024, as amended;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pursuant to Section 13(a) or 15(d) of the Exchange Act since the end of the fiscal year covered by the document referred to in (a) above; and</w:t>
      </w:r>
    </w:p>
    <w:p>
      <w:pPr>
        <w:spacing w:after="0" w:line="161"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set in </w:t>
      </w:r>
      <w:hyperlink r:id="rId10">
        <w:r>
          <w:rPr>
            <w:rFonts w:ascii="Times New Roman" w:cs="Times New Roman" w:eastAsia="Times New Roman" w:hAnsi="Times New Roman"/>
            <w:sz w:val="18"/>
            <w:szCs w:val="18"/>
            <w:u w:val="single" w:color="auto"/>
            <w:color w:val="0000FF"/>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Registrant's Annual Report on Form 10-K for the fiscal year ended January 29, 2022, together with any amendments or report filed with the Commission and reports updating such description.</w:t>
      </w:r>
    </w:p>
    <w:p>
      <w:pPr>
        <w:spacing w:after="0" w:line="162" w:lineRule="exact"/>
        <w:rPr>
          <w:rFonts w:ascii="Times New Roman" w:cs="Times New Roman" w:eastAsia="Times New Roman" w:hAnsi="Times New Roman"/>
          <w:sz w:val="18"/>
          <w:szCs w:val="18"/>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addition, 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w:t>
      </w:r>
    </w:p>
    <w:p>
      <w:pPr>
        <w:spacing w:after="0" w:line="176" w:lineRule="exact"/>
        <w:rPr>
          <w:rFonts w:ascii="Times New Roman" w:cs="Times New Roman" w:eastAsia="Times New Roman" w:hAnsi="Times New Roman"/>
          <w:sz w:val="18"/>
          <w:szCs w:val="18"/>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20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rFonts w:ascii="Times New Roman" w:cs="Times New Roman" w:eastAsia="Times New Roman" w:hAnsi="Times New Roman"/>
          <w:sz w:val="18"/>
          <w:szCs w:val="18"/>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FF"/>
        </w:rPr>
        <w:t>Opinion of Greenberg Traurig LLP, counsel to the Registrant</w:t>
      </w:r>
      <w:r>
        <w:rPr>
          <w:rFonts w:ascii="Times New Roman" w:cs="Times New Roman" w:eastAsia="Times New Roman" w:hAnsi="Times New Roman"/>
          <w:sz w:val="17"/>
          <w:szCs w:val="17"/>
          <w:color w:val="000000"/>
        </w:rPr>
        <w:t>.</w:t>
      </w:r>
    </w:p>
    <w:p>
      <w:pPr>
        <w:spacing w:after="0" w:line="22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0000FF"/>
        </w:rPr>
        <w:t>Consent of Greenberg Traurig LLP (included in Exhibit 5.1)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0000FF"/>
        </w:rPr>
        <w:t>Consent of KPMG LLP</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u w:val="single" w:color="auto"/>
          <w:color w:val="0000FF"/>
        </w:rPr>
        <w:t>Power of Attorney (included on signature page to this Registration Statement)</w:t>
      </w:r>
    </w:p>
    <w:p>
      <w:pPr>
        <w:spacing w:after="0" w:line="225" w:lineRule="exact"/>
        <w:rPr>
          <w:rFonts w:ascii="Times New Roman" w:cs="Times New Roman" w:eastAsia="Times New Roman" w:hAnsi="Times New Roman"/>
          <w:sz w:val="18"/>
          <w:szCs w:val="18"/>
          <w:color w:val="auto"/>
        </w:rPr>
      </w:pPr>
    </w:p>
    <w:p>
      <w:pPr>
        <w:ind w:left="1220" w:right="200" w:hanging="1215"/>
        <w:spacing w:after="0" w:line="282"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99.1 </w:t>
      </w:r>
      <w:hyperlink r:id="rId11">
        <w:r>
          <w:rPr>
            <w:rFonts w:ascii="Times New Roman" w:cs="Times New Roman" w:eastAsia="Times New Roman" w:hAnsi="Times New Roman"/>
            <w:sz w:val="18"/>
            <w:szCs w:val="18"/>
            <w:u w:val="single" w:color="auto"/>
            <w:color w:val="0000FF"/>
          </w:rPr>
          <w:t>Destination XL Group, Inc. Second Amended and Restated 2016 Incentive Compensation Plan (included as Exhibit 10.1 to the Registrant’s Current</w:t>
        </w:r>
      </w:hyperlink>
      <w:r>
        <w:rPr>
          <w:rFonts w:ascii="Times New Roman" w:cs="Times New Roman" w:eastAsia="Times New Roman" w:hAnsi="Times New Roman"/>
          <w:sz w:val="18"/>
          <w:szCs w:val="18"/>
          <w:color w:val="auto"/>
        </w:rPr>
        <w:t xml:space="preserve"> </w:t>
      </w:r>
      <w:hyperlink r:id="rId11">
        <w:r>
          <w:rPr>
            <w:rFonts w:ascii="Times New Roman" w:cs="Times New Roman" w:eastAsia="Times New Roman" w:hAnsi="Times New Roman"/>
            <w:sz w:val="18"/>
            <w:szCs w:val="18"/>
            <w:u w:val="single" w:color="auto"/>
            <w:color w:val="0000FF"/>
          </w:rPr>
          <w:t>Report on Form 8-K filed on August 8, 2024 and incorporated herein by reference)</w:t>
        </w:r>
        <w:r>
          <w:rPr>
            <w:rFonts w:ascii="Times New Roman" w:cs="Times New Roman" w:eastAsia="Times New Roman" w:hAnsi="Times New Roman"/>
            <w:sz w:val="18"/>
            <w:szCs w:val="18"/>
            <w:color w:val="000000"/>
          </w:rPr>
          <w:t>.</w:t>
        </w:r>
      </w:hyperlink>
    </w:p>
    <w:p>
      <w:pPr>
        <w:spacing w:after="0" w:line="16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107.1</w:t>
      </w:r>
      <w:r>
        <w:rPr>
          <w:sz w:val="20"/>
          <w:szCs w:val="20"/>
          <w:color w:val="auto"/>
        </w:rPr>
        <w:tab/>
      </w:r>
      <w:r>
        <w:rPr>
          <w:rFonts w:ascii="Times New Roman" w:cs="Times New Roman" w:eastAsia="Times New Roman" w:hAnsi="Times New Roman"/>
          <w:sz w:val="18"/>
          <w:szCs w:val="18"/>
          <w:u w:val="single" w:color="auto"/>
          <w:color w:val="0000FF"/>
        </w:rPr>
        <w:t>Filing Fee Table</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000033"/>
        </w:rPr>
        <w:t>SIGNATURES</w:t>
      </w:r>
    </w:p>
    <w:p>
      <w:pPr>
        <w:spacing w:after="0" w:line="111" w:lineRule="exact"/>
        <w:rPr>
          <w:sz w:val="20"/>
          <w:szCs w:val="20"/>
          <w:color w:val="auto"/>
        </w:rPr>
      </w:pPr>
    </w:p>
    <w:p>
      <w:pPr>
        <w:jc w:val="both"/>
        <w:ind w:right="760"/>
        <w:spacing w:after="0" w:line="257" w:lineRule="auto"/>
        <w:rPr>
          <w:sz w:val="20"/>
          <w:szCs w:val="20"/>
          <w:color w:val="auto"/>
        </w:rPr>
      </w:pPr>
      <w:r>
        <w:rPr>
          <w:rFonts w:ascii="Times New Roman" w:cs="Times New Roman" w:eastAsia="Times New Roman" w:hAnsi="Times New Roman"/>
          <w:sz w:val="18"/>
          <w:szCs w:val="18"/>
          <w:color w:val="000033"/>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Town of Canton, Commonwealth of Massachusetts, on November 22, 2024.</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ESTINATION</w:t>
      </w:r>
      <w:r>
        <w:rPr>
          <w:rFonts w:ascii="Times New Roman" w:cs="Times New Roman" w:eastAsia="Times New Roman" w:hAnsi="Times New Roman"/>
          <w:sz w:val="18"/>
          <w:szCs w:val="18"/>
          <w:color w:val="auto"/>
        </w:rPr>
        <w:t xml:space="preserve"> XL G</w:t>
      </w:r>
      <w:r>
        <w:rPr>
          <w:rFonts w:ascii="Times New Roman" w:cs="Times New Roman" w:eastAsia="Times New Roman" w:hAnsi="Times New Roman"/>
          <w:sz w:val="14"/>
          <w:szCs w:val="14"/>
          <w:color w:val="auto"/>
        </w:rPr>
        <w:t>ROUP</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p>
    <w:p>
      <w:pPr>
        <w:spacing w:after="0" w:line="225" w:lineRule="exact"/>
        <w:rPr>
          <w:sz w:val="20"/>
          <w:szCs w:val="20"/>
          <w:color w:val="auto"/>
        </w:rPr>
      </w:pPr>
    </w:p>
    <w:p>
      <w:pPr>
        <w:ind w:left="6740"/>
        <w:spacing w:after="0"/>
        <w:tabs>
          <w:tab w:leader="none" w:pos="8380" w:val="left"/>
        </w:tabs>
        <w:rPr>
          <w:sz w:val="20"/>
          <w:szCs w:val="20"/>
          <w:color w:val="auto"/>
        </w:rPr>
      </w:pPr>
      <w:r>
        <w:rPr>
          <w:rFonts w:ascii="Times New Roman" w:cs="Times New Roman" w:eastAsia="Times New Roman" w:hAnsi="Times New Roman"/>
          <w:sz w:val="18"/>
          <w:szCs w:val="18"/>
          <w:color w:val="000033"/>
        </w:rPr>
        <w:t>By:</w:t>
      </w:r>
      <w:r>
        <w:rPr>
          <w:sz w:val="20"/>
          <w:szCs w:val="20"/>
          <w:color w:val="auto"/>
        </w:rPr>
        <w:tab/>
      </w:r>
      <w:r>
        <w:rPr>
          <w:rFonts w:ascii="Times New Roman" w:cs="Times New Roman" w:eastAsia="Times New Roman" w:hAnsi="Times New Roman"/>
          <w:sz w:val="22"/>
          <w:szCs w:val="22"/>
          <w:color w:val="000033"/>
        </w:rPr>
        <w:t>/</w:t>
      </w:r>
      <w:r>
        <w:rPr>
          <w:rFonts w:ascii="Times New Roman" w:cs="Times New Roman" w:eastAsia="Times New Roman" w:hAnsi="Times New Roman"/>
          <w:sz w:val="17"/>
          <w:szCs w:val="17"/>
          <w:color w:val="000033"/>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10795</wp:posOffset>
            </wp:positionV>
            <wp:extent cx="2614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jc w:val="center"/>
        <w:ind w:left="7100"/>
        <w:spacing w:after="0"/>
        <w:rPr>
          <w:sz w:val="20"/>
          <w:szCs w:val="20"/>
          <w:color w:val="auto"/>
        </w:rPr>
      </w:pPr>
      <w:r>
        <w:rPr>
          <w:rFonts w:ascii="Times New Roman" w:cs="Times New Roman" w:eastAsia="Times New Roman" w:hAnsi="Times New Roman"/>
          <w:sz w:val="14"/>
          <w:szCs w:val="14"/>
          <w:b w:val="1"/>
          <w:bCs w:val="1"/>
          <w:color w:val="000033"/>
        </w:rPr>
        <w:t>Robert S. Molloy</w:t>
      </w:r>
    </w:p>
    <w:p>
      <w:pPr>
        <w:jc w:val="center"/>
        <w:ind w:left="7100"/>
        <w:spacing w:after="0"/>
        <w:rPr>
          <w:sz w:val="20"/>
          <w:szCs w:val="20"/>
          <w:color w:val="auto"/>
        </w:rPr>
      </w:pPr>
      <w:r>
        <w:rPr>
          <w:rFonts w:ascii="Times New Roman" w:cs="Times New Roman" w:eastAsia="Times New Roman" w:hAnsi="Times New Roman"/>
          <w:sz w:val="14"/>
          <w:szCs w:val="14"/>
          <w:b w:val="1"/>
          <w:bCs w:val="1"/>
          <w:color w:val="000033"/>
        </w:rPr>
        <w:t>General Counsel and Secretary</w:t>
      </w:r>
    </w:p>
    <w:p>
      <w:pPr>
        <w:spacing w:after="0" w:line="1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000033"/>
        </w:rPr>
        <w:t>KNOW ALL PERSONS BY THESE PRESENTS, that each person whose signature appears below constitutes and appoints Harvey S. Kanter and Robert S. Molloy as such person’s true and lawful attorney-in-fact and agent, each with full power of substitution and resubstitution, for such person in such person’s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his or her substitute or substitutes, may lawfully do or cause to be done by virtue hereof.</w:t>
      </w:r>
    </w:p>
    <w:p>
      <w:pPr>
        <w:spacing w:after="0" w:line="8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000033"/>
        </w:rPr>
        <w:t>Pursuant to the requirements of the Securities Act of 1933, this Registration Statement has been signed by the following persons in the capacities and on the dates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2"/>
          </w:tcPr>
          <w:p>
            <w:pPr>
              <w:jc w:val="center"/>
              <w:ind w:right="1640"/>
              <w:spacing w:after="0"/>
              <w:rPr>
                <w:sz w:val="20"/>
                <w:szCs w:val="20"/>
                <w:color w:val="auto"/>
              </w:rPr>
            </w:pPr>
            <w:r>
              <w:rPr>
                <w:rFonts w:ascii="Times New Roman" w:cs="Times New Roman" w:eastAsia="Times New Roman" w:hAnsi="Times New Roman"/>
                <w:sz w:val="16"/>
                <w:szCs w:val="16"/>
                <w:b w:val="1"/>
                <w:bCs w:val="1"/>
                <w:color w:val="000033"/>
                <w:w w:val="98"/>
              </w:rPr>
              <w:t>Signatures</w:t>
            </w:r>
          </w:p>
        </w:tc>
        <w:tc>
          <w:tcPr>
            <w:tcW w:w="160" w:type="dxa"/>
            <w:vAlign w:val="bottom"/>
          </w:tcPr>
          <w:p>
            <w:pPr>
              <w:spacing w:after="0"/>
              <w:rPr>
                <w:sz w:val="18"/>
                <w:szCs w:val="18"/>
                <w:color w:val="auto"/>
              </w:rPr>
            </w:pPr>
          </w:p>
        </w:tc>
        <w:tc>
          <w:tcPr>
            <w:tcW w:w="500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6"/>
                <w:szCs w:val="16"/>
                <w:b w:val="1"/>
                <w:bCs w:val="1"/>
                <w:color w:val="000033"/>
              </w:rPr>
              <w:t>Title</w:t>
            </w:r>
          </w:p>
        </w:tc>
        <w:tc>
          <w:tcPr>
            <w:tcW w:w="140" w:type="dxa"/>
            <w:vAlign w:val="bottom"/>
          </w:tcPr>
          <w:p>
            <w:pPr>
              <w:spacing w:after="0"/>
              <w:rPr>
                <w:sz w:val="18"/>
                <w:szCs w:val="18"/>
                <w:color w:val="auto"/>
              </w:rPr>
            </w:pPr>
          </w:p>
        </w:tc>
        <w:tc>
          <w:tcPr>
            <w:tcW w:w="19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b w:val="1"/>
                <w:bCs w:val="1"/>
                <w:color w:val="000033"/>
              </w:rPr>
              <w:t>Date</w:t>
            </w: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1380" w:type="dxa"/>
            <w:vAlign w:val="bottom"/>
            <w:tcBorders>
              <w:bottom w:val="single" w:sz="8" w:color="auto"/>
            </w:tcBorders>
            <w:gridSpan w:val="2"/>
          </w:tcPr>
          <w:p>
            <w:pPr>
              <w:ind w:left="1100"/>
              <w:spacing w:after="0"/>
              <w:rPr>
                <w:sz w:val="20"/>
                <w:szCs w:val="20"/>
                <w:color w:val="auto"/>
              </w:rPr>
            </w:pPr>
            <w:r>
              <w:rPr>
                <w:rFonts w:ascii="Times New Roman" w:cs="Times New Roman" w:eastAsia="Times New Roman" w:hAnsi="Times New Roman"/>
                <w:sz w:val="16"/>
                <w:szCs w:val="16"/>
                <w:color w:val="000033"/>
              </w:rPr>
              <w:t>/s/</w:t>
            </w:r>
          </w:p>
        </w:tc>
        <w:tc>
          <w:tcPr>
            <w:tcW w:w="2620" w:type="dxa"/>
            <w:vAlign w:val="bottom"/>
            <w:tcBorders>
              <w:bottom w:val="single" w:sz="8" w:color="auto"/>
            </w:tcBorders>
            <w:gridSpan w:val="2"/>
          </w:tcPr>
          <w:p>
            <w:pPr>
              <w:jc w:val="center"/>
              <w:ind w:right="1019"/>
              <w:spacing w:after="0"/>
              <w:rPr>
                <w:sz w:val="20"/>
                <w:szCs w:val="20"/>
                <w:color w:val="auto"/>
              </w:rPr>
            </w:pPr>
            <w:r>
              <w:rPr>
                <w:rFonts w:ascii="Times New Roman" w:cs="Times New Roman" w:eastAsia="Times New Roman" w:hAnsi="Times New Roman"/>
                <w:sz w:val="16"/>
                <w:szCs w:val="16"/>
                <w:color w:val="000033"/>
                <w:w w:val="99"/>
              </w:rPr>
              <w:t>HARVEY S. KANTER</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000033"/>
              </w:rPr>
              <w:t>President and Chief Executive Officer (Principal Executive Officer) and</w:t>
            </w:r>
          </w:p>
        </w:tc>
        <w:tc>
          <w:tcPr>
            <w:tcW w:w="140" w:type="dxa"/>
            <w:vAlign w:val="bottom"/>
          </w:tcPr>
          <w:p>
            <w:pPr>
              <w:spacing w:after="0"/>
              <w:rPr>
                <w:sz w:val="24"/>
                <w:szCs w:val="24"/>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000033"/>
              </w:rPr>
              <w:t>November 22, 2024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3"/>
            <w:vMerge w:val="restart"/>
          </w:tcPr>
          <w:p>
            <w:pPr>
              <w:jc w:val="center"/>
              <w:ind w:right="1400"/>
              <w:spacing w:after="0"/>
              <w:rPr>
                <w:sz w:val="20"/>
                <w:szCs w:val="20"/>
                <w:color w:val="auto"/>
              </w:rPr>
            </w:pPr>
            <w:r>
              <w:rPr>
                <w:rFonts w:ascii="Times New Roman" w:cs="Times New Roman" w:eastAsia="Times New Roman" w:hAnsi="Times New Roman"/>
                <w:sz w:val="16"/>
                <w:szCs w:val="16"/>
                <w:b w:val="1"/>
                <w:bCs w:val="1"/>
                <w:color w:val="000033"/>
                <w:w w:val="99"/>
              </w:rPr>
              <w:t>Harvey S. Kanter</w:t>
            </w:r>
          </w:p>
        </w:tc>
        <w:tc>
          <w:tcPr>
            <w:tcW w:w="160" w:type="dxa"/>
            <w:vAlign w:val="bottom"/>
          </w:tcPr>
          <w:p>
            <w:pPr>
              <w:spacing w:after="0"/>
              <w:rPr>
                <w:sz w:val="16"/>
                <w:szCs w:val="16"/>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000033"/>
              </w:rPr>
              <w:t>Director</w:t>
            </w:r>
          </w:p>
        </w:tc>
        <w:tc>
          <w:tcPr>
            <w:tcW w:w="1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1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000033"/>
              </w:rPr>
              <w:t>/s/</w:t>
            </w:r>
          </w:p>
        </w:tc>
        <w:tc>
          <w:tcPr>
            <w:tcW w:w="2840" w:type="dxa"/>
            <w:vAlign w:val="bottom"/>
            <w:tcBorders>
              <w:bottom w:val="single" w:sz="8" w:color="auto"/>
            </w:tcBorders>
            <w:gridSpan w:val="3"/>
          </w:tcPr>
          <w:p>
            <w:pPr>
              <w:jc w:val="center"/>
              <w:ind w:right="799"/>
              <w:spacing w:after="0"/>
              <w:rPr>
                <w:sz w:val="20"/>
                <w:szCs w:val="20"/>
                <w:color w:val="auto"/>
              </w:rPr>
            </w:pPr>
            <w:r>
              <w:rPr>
                <w:rFonts w:ascii="Times New Roman" w:cs="Times New Roman" w:eastAsia="Times New Roman" w:hAnsi="Times New Roman"/>
                <w:sz w:val="16"/>
                <w:szCs w:val="16"/>
                <w:color w:val="000033"/>
                <w:w w:val="99"/>
              </w:rPr>
              <w:t>PETER H. STRATTON, JR.</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000033"/>
              </w:rPr>
              <w:t>Executive Vice President, Chief Financial Officer and Treasurer (Principal</w:t>
            </w:r>
          </w:p>
        </w:tc>
        <w:tc>
          <w:tcPr>
            <w:tcW w:w="140" w:type="dxa"/>
            <w:vAlign w:val="bottom"/>
          </w:tcPr>
          <w:p>
            <w:pPr>
              <w:spacing w:after="0"/>
              <w:rPr>
                <w:sz w:val="24"/>
                <w:szCs w:val="24"/>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000033"/>
              </w:rPr>
              <w:t>November 22, 2024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60" w:type="dxa"/>
            <w:vAlign w:val="bottom"/>
            <w:gridSpan w:val="4"/>
            <w:vMerge w:val="restart"/>
          </w:tcPr>
          <w:p>
            <w:pPr>
              <w:jc w:val="center"/>
              <w:ind w:right="1180"/>
              <w:spacing w:after="0"/>
              <w:rPr>
                <w:sz w:val="20"/>
                <w:szCs w:val="20"/>
                <w:color w:val="auto"/>
              </w:rPr>
            </w:pPr>
            <w:r>
              <w:rPr>
                <w:rFonts w:ascii="Times New Roman" w:cs="Times New Roman" w:eastAsia="Times New Roman" w:hAnsi="Times New Roman"/>
                <w:sz w:val="16"/>
                <w:szCs w:val="16"/>
                <w:b w:val="1"/>
                <w:bCs w:val="1"/>
                <w:color w:val="000033"/>
                <w:w w:val="99"/>
              </w:rPr>
              <w:t>Peter H. Stratton, Jr.</w:t>
            </w:r>
          </w:p>
        </w:tc>
        <w:tc>
          <w:tcPr>
            <w:tcW w:w="160" w:type="dxa"/>
            <w:vAlign w:val="bottom"/>
          </w:tcPr>
          <w:p>
            <w:pPr>
              <w:spacing w:after="0"/>
              <w:rPr>
                <w:sz w:val="16"/>
                <w:szCs w:val="16"/>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000033"/>
              </w:rPr>
              <w:t>Financial Officer)</w:t>
            </w:r>
          </w:p>
        </w:tc>
        <w:tc>
          <w:tcPr>
            <w:tcW w:w="1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60" w:type="dxa"/>
            <w:vAlign w:val="bottom"/>
            <w:gridSpan w:val="4"/>
            <w:vMerge w:val="continue"/>
          </w:tcPr>
          <w:p>
            <w:pPr>
              <w:spacing w:after="0"/>
              <w:rPr>
                <w:sz w:val="20"/>
                <w:szCs w:val="20"/>
                <w:color w:val="auto"/>
              </w:rPr>
            </w:pPr>
          </w:p>
        </w:tc>
        <w:tc>
          <w:tcPr>
            <w:tcW w:w="1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000033"/>
                <w:w w:val="92"/>
              </w:rPr>
              <w:t>/s/</w:t>
            </w:r>
          </w:p>
        </w:tc>
        <w:tc>
          <w:tcPr>
            <w:tcW w:w="2620" w:type="dxa"/>
            <w:vAlign w:val="bottom"/>
            <w:tcBorders>
              <w:bottom w:val="single" w:sz="8" w:color="auto"/>
            </w:tcBorders>
            <w:gridSpan w:val="2"/>
          </w:tcPr>
          <w:p>
            <w:pPr>
              <w:jc w:val="center"/>
              <w:ind w:right="1019"/>
              <w:spacing w:after="0"/>
              <w:rPr>
                <w:sz w:val="20"/>
                <w:szCs w:val="20"/>
                <w:color w:val="auto"/>
              </w:rPr>
            </w:pPr>
            <w:r>
              <w:rPr>
                <w:rFonts w:ascii="Times New Roman" w:cs="Times New Roman" w:eastAsia="Times New Roman" w:hAnsi="Times New Roman"/>
                <w:sz w:val="16"/>
                <w:szCs w:val="16"/>
                <w:color w:val="000033"/>
                <w:w w:val="99"/>
              </w:rPr>
              <w:t>JOHN F. COONEY</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000033"/>
              </w:rPr>
              <w:t>Senior Vice President, Finance, Chief Accounting Officer and Corporate</w:t>
            </w:r>
          </w:p>
        </w:tc>
        <w:tc>
          <w:tcPr>
            <w:tcW w:w="140" w:type="dxa"/>
            <w:vAlign w:val="bottom"/>
          </w:tcPr>
          <w:p>
            <w:pPr>
              <w:spacing w:after="0"/>
              <w:rPr>
                <w:sz w:val="24"/>
                <w:szCs w:val="24"/>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000033"/>
              </w:rPr>
              <w:t>November 22, 2024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3"/>
            <w:vMerge w:val="restart"/>
          </w:tcPr>
          <w:p>
            <w:pPr>
              <w:jc w:val="center"/>
              <w:ind w:right="1400"/>
              <w:spacing w:after="0"/>
              <w:rPr>
                <w:sz w:val="20"/>
                <w:szCs w:val="20"/>
                <w:color w:val="auto"/>
              </w:rPr>
            </w:pPr>
            <w:r>
              <w:rPr>
                <w:rFonts w:ascii="Times New Roman" w:cs="Times New Roman" w:eastAsia="Times New Roman" w:hAnsi="Times New Roman"/>
                <w:sz w:val="16"/>
                <w:szCs w:val="16"/>
                <w:b w:val="1"/>
                <w:bCs w:val="1"/>
                <w:color w:val="000033"/>
              </w:rPr>
              <w:t>John F. Cooney</w:t>
            </w:r>
          </w:p>
        </w:tc>
        <w:tc>
          <w:tcPr>
            <w:tcW w:w="160" w:type="dxa"/>
            <w:vAlign w:val="bottom"/>
          </w:tcPr>
          <w:p>
            <w:pPr>
              <w:spacing w:after="0"/>
              <w:rPr>
                <w:sz w:val="16"/>
                <w:szCs w:val="16"/>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000033"/>
              </w:rPr>
              <w:t>Controller (Principal Accounting Officer)</w:t>
            </w:r>
          </w:p>
        </w:tc>
        <w:tc>
          <w:tcPr>
            <w:tcW w:w="1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11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6"/>
                <w:szCs w:val="16"/>
                <w:color w:val="000033"/>
                <w:w w:val="93"/>
              </w:rPr>
              <w:t>s/</w:t>
            </w:r>
          </w:p>
        </w:tc>
        <w:tc>
          <w:tcPr>
            <w:tcW w:w="2840" w:type="dxa"/>
            <w:vAlign w:val="bottom"/>
            <w:tcBorders>
              <w:bottom w:val="single" w:sz="8" w:color="auto"/>
            </w:tcBorders>
            <w:gridSpan w:val="3"/>
          </w:tcPr>
          <w:p>
            <w:pPr>
              <w:jc w:val="center"/>
              <w:ind w:right="839"/>
              <w:spacing w:after="0"/>
              <w:rPr>
                <w:sz w:val="20"/>
                <w:szCs w:val="20"/>
                <w:color w:val="auto"/>
              </w:rPr>
            </w:pPr>
            <w:r>
              <w:rPr>
                <w:rFonts w:ascii="Times New Roman" w:cs="Times New Roman" w:eastAsia="Times New Roman" w:hAnsi="Times New Roman"/>
                <w:sz w:val="16"/>
                <w:szCs w:val="16"/>
                <w:color w:val="000033"/>
              </w:rPr>
              <w:t>LIONEL F. CONACHER</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000033"/>
              </w:rPr>
              <w:t>Chairman of the Board of Directors</w:t>
            </w:r>
          </w:p>
        </w:tc>
        <w:tc>
          <w:tcPr>
            <w:tcW w:w="140" w:type="dxa"/>
            <w:vAlign w:val="bottom"/>
          </w:tcPr>
          <w:p>
            <w:pPr>
              <w:spacing w:after="0"/>
              <w:rPr>
                <w:sz w:val="24"/>
                <w:szCs w:val="24"/>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000033"/>
              </w:rPr>
              <w:t>November 22, 2024</w:t>
            </w: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60" w:type="dxa"/>
            <w:vAlign w:val="bottom"/>
            <w:gridSpan w:val="4"/>
          </w:tcPr>
          <w:p>
            <w:pPr>
              <w:jc w:val="center"/>
              <w:ind w:right="1180"/>
              <w:spacing w:after="0"/>
              <w:rPr>
                <w:sz w:val="20"/>
                <w:szCs w:val="20"/>
                <w:color w:val="auto"/>
              </w:rPr>
            </w:pPr>
            <w:r>
              <w:rPr>
                <w:rFonts w:ascii="Times New Roman" w:cs="Times New Roman" w:eastAsia="Times New Roman" w:hAnsi="Times New Roman"/>
                <w:sz w:val="16"/>
                <w:szCs w:val="16"/>
                <w:b w:val="1"/>
                <w:bCs w:val="1"/>
                <w:color w:val="000033"/>
                <w:w w:val="99"/>
              </w:rPr>
              <w:t>Lionel F. Conacher</w:t>
            </w:r>
          </w:p>
        </w:tc>
        <w:tc>
          <w:tcPr>
            <w:tcW w:w="1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000033"/>
                <w:w w:val="92"/>
              </w:rPr>
              <w:t>/s/</w:t>
            </w:r>
          </w:p>
        </w:tc>
        <w:tc>
          <w:tcPr>
            <w:tcW w:w="2620" w:type="dxa"/>
            <w:vAlign w:val="bottom"/>
            <w:tcBorders>
              <w:bottom w:val="single" w:sz="8" w:color="auto"/>
            </w:tcBorders>
            <w:gridSpan w:val="2"/>
          </w:tcPr>
          <w:p>
            <w:pPr>
              <w:jc w:val="center"/>
              <w:ind w:right="1019"/>
              <w:spacing w:after="0"/>
              <w:rPr>
                <w:sz w:val="20"/>
                <w:szCs w:val="20"/>
                <w:color w:val="auto"/>
              </w:rPr>
            </w:pPr>
            <w:r>
              <w:rPr>
                <w:rFonts w:ascii="Times New Roman" w:cs="Times New Roman" w:eastAsia="Times New Roman" w:hAnsi="Times New Roman"/>
                <w:sz w:val="16"/>
                <w:szCs w:val="16"/>
                <w:color w:val="000033"/>
              </w:rPr>
              <w:t>CARMEN BAUZA</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000033"/>
              </w:rPr>
              <w:t>Director</w:t>
            </w:r>
          </w:p>
        </w:tc>
        <w:tc>
          <w:tcPr>
            <w:tcW w:w="140" w:type="dxa"/>
            <w:vAlign w:val="bottom"/>
          </w:tcPr>
          <w:p>
            <w:pPr>
              <w:spacing w:after="0"/>
              <w:rPr>
                <w:sz w:val="24"/>
                <w:szCs w:val="24"/>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000033"/>
              </w:rPr>
              <w:t>November 22, 2024</w:t>
            </w: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3"/>
          </w:tcPr>
          <w:p>
            <w:pPr>
              <w:jc w:val="center"/>
              <w:ind w:right="1400"/>
              <w:spacing w:after="0"/>
              <w:rPr>
                <w:sz w:val="20"/>
                <w:szCs w:val="20"/>
                <w:color w:val="auto"/>
              </w:rPr>
            </w:pPr>
            <w:r>
              <w:rPr>
                <w:rFonts w:ascii="Times New Roman" w:cs="Times New Roman" w:eastAsia="Times New Roman" w:hAnsi="Times New Roman"/>
                <w:sz w:val="16"/>
                <w:szCs w:val="16"/>
                <w:b w:val="1"/>
                <w:bCs w:val="1"/>
                <w:color w:val="000033"/>
              </w:rPr>
              <w:t>Carmen Bauza</w:t>
            </w:r>
          </w:p>
        </w:tc>
        <w:tc>
          <w:tcPr>
            <w:tcW w:w="1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color w:val="000033"/>
              </w:rPr>
              <w:t>/s/</w:t>
            </w:r>
          </w:p>
        </w:tc>
        <w:tc>
          <w:tcPr>
            <w:tcW w:w="2380" w:type="dxa"/>
            <w:vAlign w:val="bottom"/>
            <w:tcBorders>
              <w:bottom w:val="single" w:sz="8" w:color="auto"/>
            </w:tcBorders>
          </w:tcPr>
          <w:p>
            <w:pPr>
              <w:jc w:val="center"/>
              <w:ind w:right="1279"/>
              <w:spacing w:after="0"/>
              <w:rPr>
                <w:sz w:val="20"/>
                <w:szCs w:val="20"/>
                <w:color w:val="auto"/>
              </w:rPr>
            </w:pPr>
            <w:r>
              <w:rPr>
                <w:rFonts w:ascii="Times New Roman" w:cs="Times New Roman" w:eastAsia="Times New Roman" w:hAnsi="Times New Roman"/>
                <w:sz w:val="16"/>
                <w:szCs w:val="16"/>
                <w:color w:val="000033"/>
              </w:rPr>
              <w:t>JACK BOYLE</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000033"/>
              </w:rPr>
              <w:t>Director</w:t>
            </w:r>
          </w:p>
        </w:tc>
        <w:tc>
          <w:tcPr>
            <w:tcW w:w="140" w:type="dxa"/>
            <w:vAlign w:val="bottom"/>
          </w:tcPr>
          <w:p>
            <w:pPr>
              <w:spacing w:after="0"/>
              <w:rPr>
                <w:sz w:val="24"/>
                <w:szCs w:val="24"/>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000033"/>
              </w:rPr>
              <w:t>November 22, 2024</w:t>
            </w: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2"/>
          </w:tcPr>
          <w:p>
            <w:pPr>
              <w:jc w:val="center"/>
              <w:ind w:right="1640"/>
              <w:spacing w:after="0"/>
              <w:rPr>
                <w:sz w:val="20"/>
                <w:szCs w:val="20"/>
                <w:color w:val="auto"/>
              </w:rPr>
            </w:pPr>
            <w:r>
              <w:rPr>
                <w:rFonts w:ascii="Times New Roman" w:cs="Times New Roman" w:eastAsia="Times New Roman" w:hAnsi="Times New Roman"/>
                <w:sz w:val="16"/>
                <w:szCs w:val="16"/>
                <w:b w:val="1"/>
                <w:bCs w:val="1"/>
                <w:color w:val="000033"/>
              </w:rPr>
              <w:t>Jack Boyle</w:t>
            </w:r>
          </w:p>
        </w:tc>
        <w:tc>
          <w:tcPr>
            <w:tcW w:w="1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000033"/>
              </w:rPr>
              <w:t>/s/</w:t>
            </w:r>
          </w:p>
        </w:tc>
        <w:tc>
          <w:tcPr>
            <w:tcW w:w="2620" w:type="dxa"/>
            <w:vAlign w:val="bottom"/>
            <w:tcBorders>
              <w:bottom w:val="single" w:sz="8" w:color="auto"/>
            </w:tcBorders>
            <w:gridSpan w:val="2"/>
          </w:tcPr>
          <w:p>
            <w:pPr>
              <w:jc w:val="center"/>
              <w:ind w:right="1019"/>
              <w:spacing w:after="0"/>
              <w:rPr>
                <w:sz w:val="20"/>
                <w:szCs w:val="20"/>
                <w:color w:val="auto"/>
              </w:rPr>
            </w:pPr>
            <w:r>
              <w:rPr>
                <w:rFonts w:ascii="Times New Roman" w:cs="Times New Roman" w:eastAsia="Times New Roman" w:hAnsi="Times New Roman"/>
                <w:sz w:val="16"/>
                <w:szCs w:val="16"/>
                <w:color w:val="000033"/>
              </w:rPr>
              <w:t>WILLEM MESDAG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000033"/>
              </w:rPr>
              <w:t>Director</w:t>
            </w:r>
          </w:p>
        </w:tc>
        <w:tc>
          <w:tcPr>
            <w:tcW w:w="140" w:type="dxa"/>
            <w:vAlign w:val="bottom"/>
          </w:tcPr>
          <w:p>
            <w:pPr>
              <w:spacing w:after="0"/>
              <w:rPr>
                <w:sz w:val="24"/>
                <w:szCs w:val="24"/>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000033"/>
              </w:rPr>
              <w:t>November 22, 2024</w:t>
            </w: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3"/>
          </w:tcPr>
          <w:p>
            <w:pPr>
              <w:jc w:val="center"/>
              <w:ind w:right="1400"/>
              <w:spacing w:after="0"/>
              <w:rPr>
                <w:sz w:val="20"/>
                <w:szCs w:val="20"/>
                <w:color w:val="auto"/>
              </w:rPr>
            </w:pPr>
            <w:r>
              <w:rPr>
                <w:rFonts w:ascii="Times New Roman" w:cs="Times New Roman" w:eastAsia="Times New Roman" w:hAnsi="Times New Roman"/>
                <w:sz w:val="16"/>
                <w:szCs w:val="16"/>
                <w:b w:val="1"/>
                <w:bCs w:val="1"/>
                <w:color w:val="000033"/>
              </w:rPr>
              <w:t>Willem Mesdag</w:t>
            </w:r>
          </w:p>
        </w:tc>
        <w:tc>
          <w:tcPr>
            <w:tcW w:w="1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000033"/>
                <w:w w:val="92"/>
              </w:rPr>
              <w:t>/s/</w:t>
            </w:r>
          </w:p>
        </w:tc>
        <w:tc>
          <w:tcPr>
            <w:tcW w:w="2380" w:type="dxa"/>
            <w:vAlign w:val="bottom"/>
            <w:tcBorders>
              <w:bottom w:val="single" w:sz="8" w:color="auto"/>
            </w:tcBorders>
          </w:tcPr>
          <w:p>
            <w:pPr>
              <w:jc w:val="center"/>
              <w:ind w:right="1259"/>
              <w:spacing w:after="0"/>
              <w:rPr>
                <w:sz w:val="20"/>
                <w:szCs w:val="20"/>
                <w:color w:val="auto"/>
              </w:rPr>
            </w:pPr>
            <w:r>
              <w:rPr>
                <w:rFonts w:ascii="Times New Roman" w:cs="Times New Roman" w:eastAsia="Times New Roman" w:hAnsi="Times New Roman"/>
                <w:sz w:val="16"/>
                <w:szCs w:val="16"/>
                <w:color w:val="000033"/>
                <w:w w:val="99"/>
              </w:rPr>
              <w:t>IVY ROSS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000033"/>
              </w:rPr>
              <w:t>Director</w:t>
            </w:r>
          </w:p>
        </w:tc>
        <w:tc>
          <w:tcPr>
            <w:tcW w:w="140" w:type="dxa"/>
            <w:vAlign w:val="bottom"/>
          </w:tcPr>
          <w:p>
            <w:pPr>
              <w:spacing w:after="0"/>
              <w:rPr>
                <w:sz w:val="24"/>
                <w:szCs w:val="24"/>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000033"/>
              </w:rPr>
              <w:t>November 22, 2024</w:t>
            </w: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2"/>
          </w:tcPr>
          <w:p>
            <w:pPr>
              <w:jc w:val="center"/>
              <w:ind w:right="1640"/>
              <w:spacing w:after="0"/>
              <w:rPr>
                <w:sz w:val="20"/>
                <w:szCs w:val="20"/>
                <w:color w:val="auto"/>
              </w:rPr>
            </w:pPr>
            <w:r>
              <w:rPr>
                <w:rFonts w:ascii="Times New Roman" w:cs="Times New Roman" w:eastAsia="Times New Roman" w:hAnsi="Times New Roman"/>
                <w:sz w:val="16"/>
                <w:szCs w:val="16"/>
                <w:b w:val="1"/>
                <w:bCs w:val="1"/>
                <w:color w:val="000033"/>
              </w:rPr>
              <w:t>Ivy Ross</w:t>
            </w:r>
          </w:p>
        </w:tc>
        <w:tc>
          <w:tcPr>
            <w:tcW w:w="1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center"/>
              <w:ind w:right="1119"/>
              <w:spacing w:after="0"/>
              <w:rPr>
                <w:sz w:val="20"/>
                <w:szCs w:val="20"/>
                <w:color w:val="auto"/>
              </w:rPr>
            </w:pPr>
            <w:r>
              <w:rPr>
                <w:rFonts w:ascii="Times New Roman" w:cs="Times New Roman" w:eastAsia="Times New Roman" w:hAnsi="Times New Roman"/>
                <w:sz w:val="16"/>
                <w:szCs w:val="16"/>
                <w:color w:val="000033"/>
              </w:rPr>
              <w:t>/s/ ELAINE RUBIN</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000033"/>
              </w:rPr>
              <w:t>Director</w:t>
            </w:r>
          </w:p>
        </w:tc>
        <w:tc>
          <w:tcPr>
            <w:tcW w:w="140" w:type="dxa"/>
            <w:vAlign w:val="bottom"/>
          </w:tcPr>
          <w:p>
            <w:pPr>
              <w:spacing w:after="0"/>
              <w:rPr>
                <w:sz w:val="24"/>
                <w:szCs w:val="24"/>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000033"/>
              </w:rPr>
              <w:t>November 22, 2024</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b w:val="1"/>
          <w:bCs w:val="1"/>
          <w:color w:val="000033"/>
        </w:rPr>
        <w:t>Elaine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line="2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2031365" cy="325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31365" cy="3257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5.1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555 Turnpike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Canton, Massachusetts 02021</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Additional Shares to be Issued Under the Second Amended and Restated 2016 Incentive Compensation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assisted in the preparation of a Registration Statement on Form S-8 (the “Registration Statement”) to be filed with the Securities and Exchange Commission (the “Commission”) under the Securities Act of 1933, as amended (the “Securities Act”), relating to an aggregate of 6,150,000 shares (the “Shares”) of common stock, $0.01 par value per share, of Destination Group XL, Inc., a Delaware corporation (the “Company”), that may be issued under the Company’s Second Amended and Restated 2016 Incentive Compensation Plan (the “Plan”).</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have examined the Certificate of Incorporation and Bylaws of the Company, each as amended to date, and originals, or copies certified to our satisfaction, of all pertinent records of the meetings of the directors and stockholders of the Company, the Plan, the Registration Statement and such other documents relating to the Company as we have deemed material for the purposes of this opinion.</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assume that appropriate action will be taken, prior to the offer and sale of the Shares in accordance with the Plan, to register and qualify the Shares for sale under all applicable state securities or “Blue Sky” laws. We express no opinion herein as to the laws of any state or jurisdiction other than the General Corporation Law of the State of Delaware and the federal laws of the United States of America. Please note that we are opining only as to the matters expressly set forth herein, and no opinion should be inferred as to any other matters.</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for issuance and, when the Shares are issued and paid for in accordance with the terms and conditions of the Plan, the Shares will be validly issued, fully paid and nonassessable.</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17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/s/ Greenberg Traurig, LLP</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GREENBERG TRAURIG,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Georgia" w:cs="Georgia" w:eastAsia="Georgia" w:hAnsi="Georgia"/>
          <w:sz w:val="14"/>
          <w:szCs w:val="14"/>
          <w:b w:val="1"/>
          <w:bCs w:val="1"/>
          <w:color w:val="4A4A4A"/>
        </w:rPr>
        <w:t>Greenberg Traurig, LLP | Attorneys at Law</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color w:val="4A4A4A"/>
        </w:rPr>
        <w:t>One International Place | Suite 2000 | Boston, Massachusetts 02110 | T +1 617.310.6000 | F +1 617.310.6001</w:t>
      </w:r>
    </w:p>
    <w:p>
      <w:pPr>
        <w:spacing w:after="0" w:line="75" w:lineRule="exact"/>
        <w:rPr>
          <w:sz w:val="20"/>
          <w:szCs w:val="20"/>
          <w:color w:val="auto"/>
        </w:rPr>
      </w:pPr>
    </w:p>
    <w:p>
      <w:pPr>
        <w:ind w:left="20"/>
        <w:spacing w:after="0"/>
        <w:rPr>
          <w:sz w:val="20"/>
          <w:szCs w:val="20"/>
          <w:color w:val="auto"/>
        </w:rPr>
      </w:pPr>
      <w:r>
        <w:rPr>
          <w:rFonts w:ascii="Georgia" w:cs="Georgia" w:eastAsia="Georgia" w:hAnsi="Georgia"/>
          <w:sz w:val="12"/>
          <w:szCs w:val="12"/>
          <w:color w:val="auto"/>
        </w:rPr>
        <w:t>Albany. Amsterdam. Atlanta. Austin. Berlin</w:t>
      </w:r>
      <w:r>
        <w:rPr>
          <w:rFonts w:ascii="Georgia" w:cs="Georgia" w:eastAsia="Georgia" w:hAnsi="Georgia"/>
          <w:sz w:val="15"/>
          <w:szCs w:val="15"/>
          <w:color w:val="auto"/>
          <w:vertAlign w:val="superscript"/>
        </w:rPr>
        <w:t>¬</w:t>
      </w:r>
      <w:r>
        <w:rPr>
          <w:rFonts w:ascii="Georgia" w:cs="Georgia" w:eastAsia="Georgia" w:hAnsi="Georgia"/>
          <w:sz w:val="12"/>
          <w:szCs w:val="12"/>
          <w:color w:val="auto"/>
        </w:rPr>
        <w:t>. Boston. Charlotte. Chicago. Dallas. Delaware. Denver. Fort Lauderdale. Houston. Kingdom of Saudi Arabia</w:t>
      </w:r>
      <w:r>
        <w:rPr>
          <w:rFonts w:ascii="Georgia" w:cs="Georgia" w:eastAsia="Georgia" w:hAnsi="Georgia"/>
          <w:sz w:val="15"/>
          <w:szCs w:val="15"/>
          <w:color w:val="auto"/>
          <w:vertAlign w:val="superscript"/>
        </w:rPr>
        <w:t>«</w:t>
      </w:r>
      <w:r>
        <w:rPr>
          <w:rFonts w:ascii="Georgia" w:cs="Georgia" w:eastAsia="Georgia" w:hAnsi="Georgia"/>
          <w:sz w:val="12"/>
          <w:szCs w:val="12"/>
          <w:color w:val="auto"/>
        </w:rPr>
        <w:t>. Las Vegas. London</w:t>
      </w:r>
      <w:r>
        <w:rPr>
          <w:rFonts w:ascii="Georgia" w:cs="Georgia" w:eastAsia="Georgia" w:hAnsi="Georgia"/>
          <w:sz w:val="15"/>
          <w:szCs w:val="15"/>
          <w:color w:val="auto"/>
          <w:vertAlign w:val="superscript"/>
        </w:rPr>
        <w:t>*</w:t>
      </w:r>
      <w:r>
        <w:rPr>
          <w:rFonts w:ascii="Georgia" w:cs="Georgia" w:eastAsia="Georgia" w:hAnsi="Georgia"/>
          <w:sz w:val="12"/>
          <w:szCs w:val="12"/>
          <w:color w:val="auto"/>
        </w:rPr>
        <w:t>. Long Island. Los Angeles.</w:t>
      </w:r>
    </w:p>
    <w:p>
      <w:pPr>
        <w:ind w:left="20"/>
        <w:spacing w:after="0" w:line="209" w:lineRule="auto"/>
        <w:rPr>
          <w:sz w:val="20"/>
          <w:szCs w:val="20"/>
          <w:color w:val="auto"/>
        </w:rPr>
      </w:pPr>
      <w:r>
        <w:rPr>
          <w:rFonts w:ascii="Georgia" w:cs="Georgia" w:eastAsia="Georgia" w:hAnsi="Georgia"/>
          <w:sz w:val="12"/>
          <w:szCs w:val="12"/>
          <w:color w:val="auto"/>
        </w:rPr>
        <w:t>Mexico City</w:t>
      </w:r>
      <w:r>
        <w:rPr>
          <w:rFonts w:ascii="Georgia" w:cs="Georgia" w:eastAsia="Georgia" w:hAnsi="Georgia"/>
          <w:sz w:val="15"/>
          <w:szCs w:val="15"/>
          <w:color w:val="auto"/>
          <w:vertAlign w:val="superscript"/>
        </w:rPr>
        <w:t>+</w:t>
      </w:r>
      <w:r>
        <w:rPr>
          <w:rFonts w:ascii="Georgia" w:cs="Georgia" w:eastAsia="Georgia" w:hAnsi="Georgia"/>
          <w:sz w:val="12"/>
          <w:szCs w:val="12"/>
          <w:color w:val="auto"/>
        </w:rPr>
        <w:t>. Miami. Milan</w:t>
      </w:r>
      <w:r>
        <w:rPr>
          <w:rFonts w:ascii="Georgia" w:cs="Georgia" w:eastAsia="Georgia" w:hAnsi="Georgia"/>
          <w:sz w:val="15"/>
          <w:szCs w:val="15"/>
          <w:color w:val="auto"/>
          <w:vertAlign w:val="superscript"/>
        </w:rPr>
        <w:t>»</w:t>
      </w:r>
      <w:r>
        <w:rPr>
          <w:rFonts w:ascii="Georgia" w:cs="Georgia" w:eastAsia="Georgia" w:hAnsi="Georgia"/>
          <w:sz w:val="12"/>
          <w:szCs w:val="12"/>
          <w:color w:val="auto"/>
        </w:rPr>
        <w:t>. Minneapolis. New Jersey. New York. Northern Virginia. Orange County. Orlando. Philadelphia. Phoenix. Portland. Sacramento. Salt Lake City. San Diego. San Francisco.</w:t>
      </w:r>
    </w:p>
    <w:p>
      <w:pPr>
        <w:ind w:left="20"/>
        <w:spacing w:after="0" w:line="182" w:lineRule="exact"/>
        <w:rPr>
          <w:sz w:val="20"/>
          <w:szCs w:val="20"/>
          <w:color w:val="auto"/>
        </w:rPr>
      </w:pPr>
      <w:r>
        <w:rPr>
          <w:rFonts w:ascii="Georgia" w:cs="Georgia" w:eastAsia="Georgia" w:hAnsi="Georgia"/>
          <w:sz w:val="13"/>
          <w:szCs w:val="13"/>
          <w:color w:val="auto"/>
        </w:rPr>
        <w:t>São Paulo</w:t>
      </w:r>
      <w:r>
        <w:rPr>
          <w:rFonts w:ascii="Georgia" w:cs="Georgia" w:eastAsia="Georgia" w:hAnsi="Georgia"/>
          <w:sz w:val="16"/>
          <w:szCs w:val="16"/>
          <w:color w:val="auto"/>
          <w:vertAlign w:val="superscript"/>
        </w:rPr>
        <w:t>›</w:t>
      </w:r>
      <w:r>
        <w:rPr>
          <w:rFonts w:ascii="Georgia" w:cs="Georgia" w:eastAsia="Georgia" w:hAnsi="Georgia"/>
          <w:sz w:val="13"/>
          <w:szCs w:val="13"/>
          <w:color w:val="auto"/>
        </w:rPr>
        <w:t>. Seoul</w:t>
      </w:r>
      <w:r>
        <w:rPr>
          <w:rFonts w:ascii="Georgia" w:cs="Georgia" w:eastAsia="Georgia" w:hAnsi="Georgia"/>
          <w:sz w:val="16"/>
          <w:szCs w:val="16"/>
          <w:color w:val="auto"/>
          <w:vertAlign w:val="superscript"/>
        </w:rPr>
        <w:t>∞</w:t>
      </w:r>
      <w:r>
        <w:rPr>
          <w:rFonts w:ascii="Georgia" w:cs="Georgia" w:eastAsia="Georgia" w:hAnsi="Georgia"/>
          <w:sz w:val="13"/>
          <w:szCs w:val="13"/>
          <w:color w:val="auto"/>
        </w:rPr>
        <w:t>. Shanghai. Silicon Valley. Singapore</w:t>
      </w:r>
      <w:r>
        <w:rPr>
          <w:rFonts w:ascii="MS PGothic" w:cs="MS PGothic" w:eastAsia="MS PGothic" w:hAnsi="MS PGothic"/>
          <w:sz w:val="16"/>
          <w:szCs w:val="16"/>
          <w:color w:val="auto"/>
          <w:vertAlign w:val="superscript"/>
        </w:rPr>
        <w:t>⁼</w:t>
      </w:r>
      <w:r>
        <w:rPr>
          <w:rFonts w:ascii="Georgia" w:cs="Georgia" w:eastAsia="Georgia" w:hAnsi="Georgia"/>
          <w:sz w:val="13"/>
          <w:szCs w:val="13"/>
          <w:color w:val="auto"/>
        </w:rPr>
        <w:t>. Tallahassee. Tampa. Tel Aviv</w:t>
      </w:r>
      <w:r>
        <w:rPr>
          <w:rFonts w:ascii="Georgia" w:cs="Georgia" w:eastAsia="Georgia" w:hAnsi="Georgia"/>
          <w:sz w:val="16"/>
          <w:szCs w:val="16"/>
          <w:color w:val="auto"/>
          <w:vertAlign w:val="superscript"/>
        </w:rPr>
        <w:t>^</w:t>
      </w:r>
      <w:r>
        <w:rPr>
          <w:rFonts w:ascii="Georgia" w:cs="Georgia" w:eastAsia="Georgia" w:hAnsi="Georgia"/>
          <w:sz w:val="13"/>
          <w:szCs w:val="13"/>
          <w:color w:val="auto"/>
        </w:rPr>
        <w:t>. Tokyo</w:t>
      </w:r>
      <w:r>
        <w:rPr>
          <w:rFonts w:ascii="Georgia" w:cs="Georgia" w:eastAsia="Georgia" w:hAnsi="Georgia"/>
          <w:sz w:val="16"/>
          <w:szCs w:val="16"/>
          <w:color w:val="auto"/>
          <w:vertAlign w:val="superscript"/>
        </w:rPr>
        <w:t>¤</w:t>
      </w:r>
      <w:r>
        <w:rPr>
          <w:rFonts w:ascii="Georgia" w:cs="Georgia" w:eastAsia="Georgia" w:hAnsi="Georgia"/>
          <w:sz w:val="13"/>
          <w:szCs w:val="13"/>
          <w:color w:val="auto"/>
        </w:rPr>
        <w:t>. United Arab Emirates</w:t>
      </w:r>
      <w:r>
        <w:rPr>
          <w:rFonts w:ascii="Georgia" w:cs="Georgia" w:eastAsia="Georgia" w:hAnsi="Georgia"/>
          <w:sz w:val="16"/>
          <w:szCs w:val="16"/>
          <w:color w:val="auto"/>
          <w:vertAlign w:val="superscript"/>
        </w:rPr>
        <w:t>‹</w:t>
      </w:r>
      <w:r>
        <w:rPr>
          <w:rFonts w:ascii="Georgia" w:cs="Georgia" w:eastAsia="Georgia" w:hAnsi="Georgia"/>
          <w:sz w:val="13"/>
          <w:szCs w:val="13"/>
          <w:color w:val="auto"/>
        </w:rPr>
        <w:t>. Warsaw</w:t>
      </w:r>
      <w:r>
        <w:rPr>
          <w:rFonts w:ascii="Georgia" w:cs="Georgia" w:eastAsia="Georgia" w:hAnsi="Georgia"/>
          <w:sz w:val="16"/>
          <w:szCs w:val="16"/>
          <w:color w:val="auto"/>
          <w:vertAlign w:val="superscript"/>
        </w:rPr>
        <w:t>~</w:t>
      </w:r>
      <w:r>
        <w:rPr>
          <w:rFonts w:ascii="Georgia" w:cs="Georgia" w:eastAsia="Georgia" w:hAnsi="Georgia"/>
          <w:sz w:val="13"/>
          <w:szCs w:val="13"/>
          <w:color w:val="auto"/>
        </w:rPr>
        <w:t>. Washington, D.C. West Palm Beach. Westchester County.</w:t>
      </w:r>
    </w:p>
    <w:p>
      <w:pPr>
        <w:spacing w:after="0" w:line="52" w:lineRule="exact"/>
        <w:rPr>
          <w:sz w:val="20"/>
          <w:szCs w:val="20"/>
          <w:color w:val="auto"/>
        </w:rPr>
      </w:pPr>
    </w:p>
    <w:p>
      <w:pPr>
        <w:ind w:left="20" w:right="300"/>
        <w:spacing w:after="0" w:line="92" w:lineRule="exact"/>
        <w:rPr>
          <w:sz w:val="20"/>
          <w:szCs w:val="20"/>
          <w:color w:val="auto"/>
        </w:rPr>
      </w:pPr>
      <w:r>
        <w:rPr>
          <w:rFonts w:ascii="Arial" w:cs="Arial" w:eastAsia="Arial" w:hAnsi="Arial"/>
          <w:sz w:val="7"/>
          <w:szCs w:val="7"/>
          <w:color w:val="auto"/>
        </w:rPr>
        <w:t xml:space="preserve">Operates as: ¬Greenberg Traurig Germany, LLP; «Greenberg Traurig Khalid Al-Thebity Law Firm; *A separate UK registered legal entity; +Greenberg Traurig, S.C.; »Greenberg Traurig Santa Maria; ›Greenberg Traurig Brazil Consultores em Direito Estrangeiro – Direito Estadunidense; ∞Greenberg Traurig LLP Foreign Legal Consultant Office; </w:t>
      </w:r>
      <w:r>
        <w:rPr>
          <w:rFonts w:ascii="MS PGothic" w:cs="MS PGothic" w:eastAsia="MS PGothic" w:hAnsi="MS PGothic"/>
          <w:sz w:val="7"/>
          <w:szCs w:val="7"/>
          <w:color w:val="auto"/>
        </w:rPr>
        <w:t>⁼</w:t>
      </w:r>
      <w:r>
        <w:rPr>
          <w:rFonts w:ascii="Arial" w:cs="Arial" w:eastAsia="Arial" w:hAnsi="Arial"/>
          <w:sz w:val="7"/>
          <w:szCs w:val="7"/>
          <w:color w:val="auto"/>
        </w:rPr>
        <w:t>Greenberg Traurig Singapore LLP; ^A branch of Greenberg Traurig, P.A., Florida, USA; ¤GT Tokyo Horitsu Jimusho and Greenberg Traurig Gaikokuhojimubegoshi Jimusho; ‹Greenberg Traurig Limited; ~Greenberg Traurig Nowakowska-Zimoch Wysokiński sp.k..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291465</wp:posOffset>
            </wp:positionV>
            <wp:extent cx="51435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51435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KPMG LLP</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Suite 600</w:t>
      </w:r>
    </w:p>
    <w:p>
      <w:pPr>
        <w:ind w:left="5640"/>
        <w:spacing w:after="0" w:line="234" w:lineRule="auto"/>
        <w:rPr>
          <w:sz w:val="20"/>
          <w:szCs w:val="20"/>
          <w:color w:val="auto"/>
        </w:rPr>
      </w:pPr>
      <w:r>
        <w:rPr>
          <w:rFonts w:ascii="Arial" w:cs="Arial" w:eastAsia="Arial" w:hAnsi="Arial"/>
          <w:sz w:val="18"/>
          <w:szCs w:val="18"/>
          <w:color w:val="auto"/>
        </w:rPr>
        <w:t>350 N. 5th Street</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Minneapolis, MN 55401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5"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We consent to the use of our reports dated March 21, 2024, with respect to the consolidated financial statements of Destination XL Group, Inc. and subsidiaries, and the effectiveness of internal control over financial reporting,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131570"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13157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November 22,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KPMG LLP, a Delaware limited liability partnership and a member firm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the KPMG global organization of independent member firms affiliated with</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KPMG International Limited, a private English company limited by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991235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10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4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32"/>
          <w:szCs w:val="32"/>
          <w:b w:val="1"/>
          <w:bCs w:val="1"/>
          <w:color w:val="auto"/>
        </w:rPr>
        <w:t>Destination XL Group, Inc.</w:t>
      </w:r>
    </w:p>
    <w:p>
      <w:pPr>
        <w:spacing w:after="0" w:line="4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Fee Calculation</w:t>
            </w:r>
          </w:p>
        </w:tc>
        <w:tc>
          <w:tcPr>
            <w:tcW w:w="1200" w:type="dxa"/>
            <w:vAlign w:val="bottom"/>
          </w:tcPr>
          <w:p>
            <w:pPr>
              <w:jc w:val="center"/>
              <w:ind w:right="12"/>
              <w:spacing w:after="0" w:line="200"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140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22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Offering</w:t>
            </w:r>
          </w:p>
        </w:tc>
        <w:tc>
          <w:tcPr>
            <w:tcW w:w="820" w:type="dxa"/>
            <w:vAlign w:val="bottom"/>
          </w:tcPr>
          <w:p>
            <w:pPr>
              <w:spacing w:after="0"/>
              <w:rPr>
                <w:sz w:val="17"/>
                <w:szCs w:val="17"/>
                <w:color w:val="auto"/>
              </w:rPr>
            </w:pPr>
          </w:p>
        </w:tc>
        <w:tc>
          <w:tcPr>
            <w:tcW w:w="138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254"/>
        </w:trPr>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Type</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Class Title</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200" w:type="dxa"/>
            <w:vAlign w:val="bottom"/>
            <w:tcBorders>
              <w:bottom w:val="single" w:sz="8" w:color="auto"/>
            </w:tcBorders>
          </w:tcPr>
          <w:p>
            <w:pPr>
              <w:jc w:val="center"/>
              <w:spacing w:after="0" w:line="255" w:lineRule="exact"/>
              <w:rPr>
                <w:sz w:val="20"/>
                <w:szCs w:val="20"/>
                <w:color w:val="auto"/>
              </w:rPr>
            </w:pPr>
            <w:r>
              <w:rPr>
                <w:rFonts w:ascii="Times New Roman" w:cs="Times New Roman" w:eastAsia="Times New Roman" w:hAnsi="Times New Roman"/>
                <w:sz w:val="18"/>
                <w:szCs w:val="18"/>
                <w:b w:val="1"/>
                <w:bCs w:val="1"/>
                <w:color w:val="auto"/>
                <w:w w:val="95"/>
              </w:rPr>
              <w:t>Registered</w:t>
            </w:r>
            <w:r>
              <w:rPr>
                <w:rFonts w:ascii="Times New Roman" w:cs="Times New Roman" w:eastAsia="Times New Roman" w:hAnsi="Times New Roman"/>
                <w:sz w:val="24"/>
                <w:szCs w:val="24"/>
                <w:color w:val="auto"/>
                <w:w w:val="95"/>
                <w:vertAlign w:val="superscript"/>
              </w:rPr>
              <w:t>(1)</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 Unit</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Registration Fee</w:t>
            </w:r>
          </w:p>
        </w:tc>
        <w:tc>
          <w:tcPr>
            <w:tcW w:w="0" w:type="dxa"/>
            <w:vAlign w:val="bottom"/>
          </w:tcPr>
          <w:p>
            <w:pPr>
              <w:spacing w:after="0"/>
              <w:rPr>
                <w:sz w:val="1"/>
                <w:szCs w:val="1"/>
                <w:color w:val="auto"/>
              </w:rPr>
            </w:pPr>
          </w:p>
        </w:tc>
      </w:tr>
      <w:tr>
        <w:trPr>
          <w:trHeight w:val="191"/>
        </w:trPr>
        <w:tc>
          <w:tcPr>
            <w:tcW w:w="13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Equity</w:t>
            </w:r>
          </w:p>
        </w:tc>
        <w:tc>
          <w:tcPr>
            <w:tcW w:w="1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w:t>
            </w:r>
          </w:p>
        </w:tc>
        <w:tc>
          <w:tcPr>
            <w:tcW w:w="13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457 (c) and</w:t>
            </w:r>
          </w:p>
        </w:tc>
        <w:tc>
          <w:tcPr>
            <w:tcW w:w="1200" w:type="dxa"/>
            <w:vAlign w:val="bottom"/>
          </w:tcPr>
          <w:p>
            <w:pPr>
              <w:jc w:val="center"/>
              <w:ind w:right="12"/>
              <w:spacing w:after="0" w:line="191" w:lineRule="exact"/>
              <w:rPr>
                <w:sz w:val="20"/>
                <w:szCs w:val="20"/>
                <w:color w:val="auto"/>
              </w:rPr>
            </w:pPr>
            <w:r>
              <w:rPr>
                <w:rFonts w:ascii="Times New Roman" w:cs="Times New Roman" w:eastAsia="Times New Roman" w:hAnsi="Times New Roman"/>
                <w:sz w:val="17"/>
                <w:szCs w:val="17"/>
                <w:color w:val="auto"/>
              </w:rPr>
              <w:t xml:space="preserve">6,150,000 </w:t>
            </w:r>
            <w:r>
              <w:rPr>
                <w:rFonts w:ascii="Times New Roman" w:cs="Times New Roman" w:eastAsia="Times New Roman" w:hAnsi="Times New Roman"/>
                <w:sz w:val="22"/>
                <w:szCs w:val="22"/>
                <w:color w:val="auto"/>
                <w:vertAlign w:val="superscript"/>
              </w:rPr>
              <w:t>(2)</w:t>
            </w:r>
          </w:p>
        </w:tc>
        <w:tc>
          <w:tcPr>
            <w:tcW w:w="140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color w:val="auto"/>
                <w:w w:val="99"/>
              </w:rPr>
              <w:t xml:space="preserve">$2.8480 </w:t>
            </w:r>
            <w:r>
              <w:rPr>
                <w:rFonts w:ascii="Times New Roman" w:cs="Times New Roman" w:eastAsia="Times New Roman" w:hAnsi="Times New Roman"/>
                <w:sz w:val="22"/>
                <w:szCs w:val="22"/>
                <w:color w:val="auto"/>
                <w:w w:val="99"/>
                <w:vertAlign w:val="superscript"/>
              </w:rPr>
              <w:t>(3)</w:t>
            </w:r>
          </w:p>
        </w:tc>
        <w:tc>
          <w:tcPr>
            <w:tcW w:w="204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$17,515,200.0 0.0001531</w:t>
            </w:r>
          </w:p>
        </w:tc>
        <w:tc>
          <w:tcPr>
            <w:tcW w:w="13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$2,681.58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 par value per</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share</w:t>
            </w:r>
          </w:p>
        </w:tc>
        <w:tc>
          <w:tcPr>
            <w:tcW w:w="1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$17,515,200.0</w:t>
            </w:r>
          </w:p>
        </w:tc>
        <w:tc>
          <w:tcPr>
            <w:tcW w:w="820" w:type="dxa"/>
            <w:vAlign w:val="bottom"/>
          </w:tcPr>
          <w:p>
            <w:pPr>
              <w:spacing w:after="0"/>
              <w:rPr>
                <w:sz w:val="24"/>
                <w:szCs w:val="24"/>
                <w:color w:val="auto"/>
              </w:rPr>
            </w:pPr>
          </w:p>
        </w:tc>
        <w:tc>
          <w:tcPr>
            <w:tcW w:w="138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9"/>
              </w:rPr>
              <w:t>$2,681.58</w:t>
            </w:r>
          </w:p>
        </w:tc>
        <w:tc>
          <w:tcPr>
            <w:tcW w:w="0" w:type="dxa"/>
            <w:vAlign w:val="bottom"/>
          </w:tcPr>
          <w:p>
            <w:pPr>
              <w:spacing w:after="0"/>
              <w:rPr>
                <w:sz w:val="1"/>
                <w:szCs w:val="1"/>
                <w:color w:val="auto"/>
              </w:rPr>
            </w:pPr>
          </w:p>
        </w:tc>
      </w:tr>
      <w:tr>
        <w:trPr>
          <w:trHeight w:val="234"/>
        </w:trPr>
        <w:tc>
          <w:tcPr>
            <w:tcW w:w="1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1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tcPr>
          <w:p>
            <w:pPr>
              <w:spacing w:after="0"/>
              <w:rPr>
                <w:sz w:val="20"/>
                <w:szCs w:val="20"/>
                <w:color w:val="auto"/>
              </w:rPr>
            </w:pPr>
          </w:p>
        </w:tc>
        <w:tc>
          <w:tcPr>
            <w:tcW w:w="1380" w:type="dxa"/>
            <w:vAlign w:val="bottom"/>
            <w:vMerge w:val="restart"/>
          </w:tcPr>
          <w:p>
            <w:pPr>
              <w:jc w:val="center"/>
              <w:ind w:right="35"/>
              <w:spacing w:after="0"/>
              <w:rPr>
                <w:sz w:val="20"/>
                <w:szCs w:val="20"/>
                <w:color w:val="auto"/>
              </w:rPr>
            </w:pPr>
            <w:r>
              <w:rPr>
                <w:rFonts w:ascii="Times New Roman" w:cs="Times New Roman" w:eastAsia="Times New Roman" w:hAnsi="Times New Roman"/>
                <w:sz w:val="35"/>
                <w:szCs w:val="35"/>
                <w:color w:val="auto"/>
                <w:w w:val="92"/>
                <w:vertAlign w:val="subscript"/>
              </w:rPr>
              <w:t>--</w:t>
            </w:r>
            <w:r>
              <w:rPr>
                <w:rFonts w:ascii="Times New Roman" w:cs="Times New Roman" w:eastAsia="Times New Roman" w:hAnsi="Times New Roman"/>
                <w:sz w:val="12"/>
                <w:szCs w:val="12"/>
                <w:color w:val="auto"/>
                <w:w w:val="92"/>
              </w:rPr>
              <w:t xml:space="preserve"> (4)</w:t>
            </w:r>
          </w:p>
        </w:tc>
        <w:tc>
          <w:tcPr>
            <w:tcW w:w="0" w:type="dxa"/>
            <w:vAlign w:val="bottom"/>
          </w:tcPr>
          <w:p>
            <w:pPr>
              <w:spacing w:after="0"/>
              <w:rPr>
                <w:sz w:val="1"/>
                <w:szCs w:val="1"/>
                <w:color w:val="auto"/>
              </w:rPr>
            </w:pPr>
          </w:p>
        </w:tc>
      </w:tr>
      <w:tr>
        <w:trPr>
          <w:trHeight w:val="194"/>
        </w:trPr>
        <w:tc>
          <w:tcPr>
            <w:tcW w:w="1320" w:type="dxa"/>
            <w:vAlign w:val="bottom"/>
            <w:vMerge w:val="continue"/>
          </w:tcPr>
          <w:p>
            <w:pPr>
              <w:spacing w:after="0"/>
              <w:rPr>
                <w:sz w:val="16"/>
                <w:szCs w:val="16"/>
                <w:color w:val="auto"/>
              </w:rPr>
            </w:pPr>
          </w:p>
        </w:tc>
        <w:tc>
          <w:tcPr>
            <w:tcW w:w="1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$17,515,200.0</w:t>
            </w:r>
          </w:p>
        </w:tc>
        <w:tc>
          <w:tcPr>
            <w:tcW w:w="820" w:type="dxa"/>
            <w:vAlign w:val="bottom"/>
          </w:tcPr>
          <w:p>
            <w:pPr>
              <w:spacing w:after="0"/>
              <w:rPr>
                <w:sz w:val="19"/>
                <w:szCs w:val="19"/>
                <w:color w:val="auto"/>
              </w:rPr>
            </w:pPr>
          </w:p>
        </w:tc>
        <w:tc>
          <w:tcPr>
            <w:tcW w:w="138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9"/>
              </w:rPr>
              <w:t>$2,681.58</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620" w:right="820" w:hanging="356"/>
        <w:spacing w:after="0" w:line="261" w:lineRule="auto"/>
        <w:tabs>
          <w:tab w:leader="none" w:pos="633"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this Registration Statement shall also cover any additional shares of Common Stock which become issuable because of any stock dividend, stock split, recapitalization or any other similar transaction effected without the receipt of consideration which results in an increase in the number of the outstanding shares of Common Stock.</w:t>
      </w:r>
    </w:p>
    <w:p>
      <w:pPr>
        <w:spacing w:after="0" w:line="179" w:lineRule="exact"/>
        <w:rPr>
          <w:rFonts w:ascii="Times New Roman" w:cs="Times New Roman" w:eastAsia="Times New Roman" w:hAnsi="Times New Roman"/>
          <w:sz w:val="18"/>
          <w:szCs w:val="18"/>
          <w:color w:val="auto"/>
        </w:rPr>
      </w:pPr>
    </w:p>
    <w:p>
      <w:pPr>
        <w:ind w:left="620" w:right="1340" w:hanging="356"/>
        <w:spacing w:after="0" w:line="282" w:lineRule="auto"/>
        <w:tabs>
          <w:tab w:leader="none" w:pos="633"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up to 6,150,000 shares of Common Stock issuable under the Registrant’s Second Amended and Restated 2016 Incentive Compensation Plan.</w:t>
      </w:r>
    </w:p>
    <w:p>
      <w:pPr>
        <w:spacing w:after="0" w:line="161" w:lineRule="exact"/>
        <w:rPr>
          <w:rFonts w:ascii="Times New Roman" w:cs="Times New Roman" w:eastAsia="Times New Roman" w:hAnsi="Times New Roman"/>
          <w:sz w:val="18"/>
          <w:szCs w:val="18"/>
          <w:color w:val="auto"/>
        </w:rPr>
      </w:pPr>
    </w:p>
    <w:p>
      <w:pPr>
        <w:ind w:left="620" w:right="920" w:hanging="356"/>
        <w:spacing w:after="0" w:line="266" w:lineRule="auto"/>
        <w:tabs>
          <w:tab w:leader="none" w:pos="633"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in accordance with Rule 457(c) and 457(h) of the Securities Act. The price per share and aggregate offering price are calculated on the basis of the average of the high and low prices of the Common Stock on the Nasdaq Global Market on November 18, 2024.</w:t>
      </w:r>
    </w:p>
    <w:p>
      <w:pPr>
        <w:spacing w:after="0" w:line="175" w:lineRule="exact"/>
        <w:rPr>
          <w:rFonts w:ascii="Times New Roman" w:cs="Times New Roman" w:eastAsia="Times New Roman" w:hAnsi="Times New Roman"/>
          <w:sz w:val="18"/>
          <w:szCs w:val="18"/>
          <w:color w:val="auto"/>
        </w:rPr>
      </w:pPr>
    </w:p>
    <w:p>
      <w:pPr>
        <w:ind w:left="600" w:hanging="363"/>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724535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008"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1"/>
    </w:lvl>
    <w:lvl w:ilvl="1">
      <w:lvlJc w:val="left"/>
      <w:lvlText w:val="(%2)"/>
      <w:numFmt w:val="decimal"/>
      <w:start w:val="1"/>
    </w:lvl>
  </w:abstractNum>
  <w:abstractNum w:abstractNumId="2">
    <w:nsid w:val="19495CFF"/>
    <w:multiLevelType w:val="hybridMultilevel"/>
    <w:lvl w:ilvl="0">
      <w:lvlJc w:val="left"/>
      <w:lvlText w:val="(%1)"/>
      <w:numFmt w:val="decimal"/>
      <w:start w:val="4"/>
    </w:lvl>
    <w:lvl w:ilvl="1">
      <w:lvlJc w:val="left"/>
      <w:lvlText w:val="%2"/>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jpe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jpeg"/><Relationship Id="rId19" Type="http://schemas.openxmlformats.org/officeDocument/2006/relationships/image" Target="media/image9.jpeg"/><Relationship Id="rId20" Type="http://schemas.openxmlformats.org/officeDocument/2006/relationships/image" Target="media/image10.png"/><Relationship Id="rId21" Type="http://schemas.openxmlformats.org/officeDocument/2006/relationships/image" Target="media/image11.png"/><Relationship Id="rId9" Type="http://schemas.openxmlformats.org/officeDocument/2006/relationships/hyperlink" Target="https://www.sec.gov/Archives/edgar/data/813298/000095017024034763/dxlg-20240203.htm" TargetMode="External"/><Relationship Id="rId10" Type="http://schemas.openxmlformats.org/officeDocument/2006/relationships/hyperlink" Target="https://www.sec.gov/Archives/edgar/data/813298/000095017022004055/dxlg-ex4_1.htm" TargetMode="External"/><Relationship Id="rId11" Type="http://schemas.openxmlformats.org/officeDocument/2006/relationships/hyperlink" Target="https://www.sec.gov/Archives/edgar/data/813298/000095017024094163/dxlg-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2024-11-22T15:05:15Z</dcterms:created>
  <dcterms:modified xsi:type="dcterms:W3CDTF">2024-11-22T15:05:15Z</dcterms:modified>
</cp:coreProperties>
</file>