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36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36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161925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51" w:lineRule="exact"/>
        <w:rPr>
          <w:sz w:val="24"/>
          <w:szCs w:val="24"/>
          <w:color w:val="auto"/>
        </w:rPr>
      </w:pPr>
    </w:p>
    <w:p>
      <w:pPr>
        <w:jc w:val="center"/>
        <w:ind w:right="-36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177165</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87" w:lineRule="exact"/>
        <w:rPr>
          <w:sz w:val="24"/>
          <w:szCs w:val="24"/>
          <w:color w:val="auto"/>
        </w:rPr>
      </w:pPr>
    </w:p>
    <w:p>
      <w:pPr>
        <w:ind w:left="4846"/>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ind w:left="3706"/>
        <w:spacing w:after="0"/>
        <w:rPr>
          <w:sz w:val="20"/>
          <w:szCs w:val="20"/>
          <w:color w:val="auto"/>
        </w:rPr>
      </w:pPr>
      <w:r>
        <w:rPr>
          <w:rFonts w:ascii="Arial" w:cs="Arial" w:eastAsia="Arial" w:hAnsi="Arial"/>
          <w:sz w:val="19"/>
          <w:szCs w:val="19"/>
          <w:b w:val="1"/>
          <w:bCs w:val="1"/>
          <w:color w:val="auto"/>
        </w:rPr>
        <w:t>PURSUANT TO SECTION 13 OR 15(d) OF THE</w:t>
      </w:r>
    </w:p>
    <w:p>
      <w:pPr>
        <w:spacing w:after="0" w:line="15" w:lineRule="exact"/>
        <w:rPr>
          <w:sz w:val="24"/>
          <w:szCs w:val="24"/>
          <w:color w:val="auto"/>
        </w:rPr>
      </w:pPr>
    </w:p>
    <w:p>
      <w:pPr>
        <w:jc w:val="center"/>
        <w:ind w:right="-365"/>
        <w:spacing w:after="0"/>
        <w:rPr>
          <w:sz w:val="20"/>
          <w:szCs w:val="20"/>
          <w:color w:val="auto"/>
        </w:rPr>
      </w:pPr>
      <w:r>
        <w:rPr>
          <w:rFonts w:ascii="Arial" w:cs="Arial" w:eastAsia="Arial" w:hAnsi="Arial"/>
          <w:sz w:val="19"/>
          <w:szCs w:val="19"/>
          <w:b w:val="1"/>
          <w:bCs w:val="1"/>
          <w:color w:val="auto"/>
        </w:rPr>
        <w:t>SECURITIES EXCHANGE ACT OF 1934</w:t>
      </w:r>
    </w:p>
    <w:p>
      <w:pPr>
        <w:spacing w:after="0" w:line="126" w:lineRule="exact"/>
        <w:rPr>
          <w:sz w:val="24"/>
          <w:szCs w:val="24"/>
          <w:color w:val="auto"/>
        </w:rPr>
      </w:pPr>
    </w:p>
    <w:p>
      <w:pPr>
        <w:jc w:val="center"/>
        <w:ind w:right="-365"/>
        <w:spacing w:after="0"/>
        <w:rPr>
          <w:sz w:val="20"/>
          <w:szCs w:val="20"/>
          <w:color w:val="auto"/>
        </w:rPr>
      </w:pPr>
      <w:r>
        <w:rPr>
          <w:rFonts w:ascii="Arial" w:cs="Arial" w:eastAsia="Arial" w:hAnsi="Arial"/>
          <w:sz w:val="15"/>
          <w:szCs w:val="15"/>
          <w:b w:val="1"/>
          <w:bCs w:val="1"/>
          <w:color w:val="auto"/>
        </w:rPr>
        <w:t>Date of Report (Date of earliest event reported): September 15, 2009</w:t>
      </w:r>
    </w:p>
    <w:p>
      <w:pPr>
        <w:spacing w:after="0" w:line="157" w:lineRule="exact"/>
        <w:rPr>
          <w:sz w:val="24"/>
          <w:szCs w:val="24"/>
          <w:color w:val="auto"/>
        </w:rPr>
      </w:pPr>
    </w:p>
    <w:p>
      <w:pPr>
        <w:jc w:val="center"/>
        <w:ind w:right="-365"/>
        <w:spacing w:after="0"/>
        <w:rPr>
          <w:sz w:val="20"/>
          <w:szCs w:val="20"/>
          <w:color w:val="auto"/>
        </w:rPr>
      </w:pPr>
      <w:r>
        <w:rPr>
          <w:rFonts w:ascii="Arial" w:cs="Arial" w:eastAsia="Arial" w:hAnsi="Arial"/>
          <w:sz w:val="15"/>
          <w:szCs w:val="15"/>
          <w:b w:val="1"/>
          <w:bCs w:val="1"/>
          <w:color w:val="auto"/>
        </w:rPr>
        <w:t>0-15898</w:t>
      </w:r>
    </w:p>
    <w:p>
      <w:pPr>
        <w:spacing w:after="0" w:line="26" w:lineRule="exact"/>
        <w:rPr>
          <w:sz w:val="24"/>
          <w:szCs w:val="24"/>
          <w:color w:val="auto"/>
        </w:rPr>
      </w:pPr>
    </w:p>
    <w:p>
      <w:pPr>
        <w:jc w:val="center"/>
        <w:ind w:right="-365"/>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151765</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34" w:lineRule="exact"/>
        <w:rPr>
          <w:sz w:val="24"/>
          <w:szCs w:val="24"/>
          <w:color w:val="auto"/>
        </w:rPr>
      </w:pPr>
    </w:p>
    <w:p>
      <w:pPr>
        <w:ind w:left="2386"/>
        <w:spacing w:after="0"/>
        <w:rPr>
          <w:sz w:val="20"/>
          <w:szCs w:val="20"/>
          <w:color w:val="auto"/>
        </w:rPr>
      </w:pPr>
      <w:r>
        <w:rPr>
          <w:rFonts w:ascii="Arial" w:cs="Arial" w:eastAsia="Arial" w:hAnsi="Arial"/>
          <w:sz w:val="38"/>
          <w:szCs w:val="38"/>
          <w:b w:val="1"/>
          <w:bCs w:val="1"/>
          <w:color w:val="auto"/>
        </w:rPr>
        <w:t>CASUAL MALE RETAIL GROUP, INC.</w:t>
      </w:r>
    </w:p>
    <w:p>
      <w:pPr>
        <w:spacing w:after="0" w:line="37" w:lineRule="exact"/>
        <w:rPr>
          <w:sz w:val="24"/>
          <w:szCs w:val="24"/>
          <w:color w:val="auto"/>
        </w:rPr>
      </w:pPr>
    </w:p>
    <w:tbl>
      <w:tblPr>
        <w:tblLayout w:type="fixed"/>
        <w:tblInd w:w="2266" w:type="dxa"/>
        <w:tblCellMar>
          <w:top w:w="0" w:type="dxa"/>
          <w:left w:w="0" w:type="dxa"/>
          <w:bottom w:w="0" w:type="dxa"/>
          <w:right w:w="0" w:type="dxa"/>
        </w:tblCellMar>
      </w:tblPr>
      <w:tr>
        <w:trPr>
          <w:trHeight w:val="151"/>
        </w:trPr>
        <w:tc>
          <w:tcPr>
            <w:tcW w:w="1500" w:type="dxa"/>
            <w:vAlign w:val="bottom"/>
          </w:tcPr>
          <w:p>
            <w:pPr>
              <w:spacing w:after="0"/>
              <w:rPr>
                <w:sz w:val="13"/>
                <w:szCs w:val="13"/>
                <w:color w:val="auto"/>
              </w:rPr>
            </w:pPr>
          </w:p>
        </w:tc>
        <w:tc>
          <w:tcPr>
            <w:tcW w:w="5900" w:type="dxa"/>
            <w:vAlign w:val="bottom"/>
            <w:gridSpan w:val="3"/>
          </w:tcPr>
          <w:p>
            <w:pPr>
              <w:jc w:val="center"/>
              <w:ind w:right="1921"/>
              <w:spacing w:after="0"/>
              <w:rPr>
                <w:sz w:val="20"/>
                <w:szCs w:val="20"/>
                <w:color w:val="auto"/>
              </w:rPr>
            </w:pPr>
            <w:r>
              <w:rPr>
                <w:rFonts w:ascii="Arial" w:cs="Arial" w:eastAsia="Arial" w:hAnsi="Arial"/>
                <w:sz w:val="12"/>
                <w:szCs w:val="12"/>
                <w:b w:val="1"/>
                <w:bCs w:val="1"/>
                <w:color w:val="auto"/>
                <w:w w:val="87"/>
              </w:rPr>
              <w:t>(Exact name of registrant as specified in its charter)</w:t>
            </w:r>
          </w:p>
        </w:tc>
      </w:tr>
      <w:tr>
        <w:trPr>
          <w:trHeight w:val="236"/>
        </w:trPr>
        <w:tc>
          <w:tcPr>
            <w:tcW w:w="1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740" w:type="dxa"/>
            <w:vAlign w:val="bottom"/>
          </w:tcPr>
          <w:p>
            <w:pPr>
              <w:spacing w:after="0"/>
              <w:rPr>
                <w:sz w:val="20"/>
                <w:szCs w:val="20"/>
                <w:color w:val="auto"/>
              </w:rPr>
            </w:pPr>
          </w:p>
        </w:tc>
      </w:tr>
      <w:tr>
        <w:trPr>
          <w:trHeight w:val="369"/>
        </w:trPr>
        <w:tc>
          <w:tcPr>
            <w:tcW w:w="1500" w:type="dxa"/>
            <w:vAlign w:val="bottom"/>
          </w:tcPr>
          <w:p>
            <w:pPr>
              <w:jc w:val="center"/>
              <w:ind w:right="252"/>
              <w:spacing w:after="0"/>
              <w:rPr>
                <w:sz w:val="20"/>
                <w:szCs w:val="20"/>
                <w:color w:val="auto"/>
              </w:rPr>
            </w:pPr>
            <w:r>
              <w:rPr>
                <w:rFonts w:ascii="Arial" w:cs="Arial" w:eastAsia="Arial" w:hAnsi="Arial"/>
                <w:sz w:val="15"/>
                <w:szCs w:val="15"/>
                <w:b w:val="1"/>
                <w:bCs w:val="1"/>
                <w:color w:val="auto"/>
                <w:w w:val="94"/>
              </w:rPr>
              <w:t>Delaware</w:t>
            </w:r>
          </w:p>
        </w:tc>
        <w:tc>
          <w:tcPr>
            <w:tcW w:w="5900" w:type="dxa"/>
            <w:vAlign w:val="bottom"/>
            <w:gridSpan w:val="3"/>
          </w:tcPr>
          <w:p>
            <w:pPr>
              <w:jc w:val="right"/>
              <w:ind w:right="541"/>
              <w:spacing w:after="0"/>
              <w:rPr>
                <w:sz w:val="20"/>
                <w:szCs w:val="20"/>
                <w:color w:val="auto"/>
              </w:rPr>
            </w:pPr>
            <w:r>
              <w:rPr>
                <w:rFonts w:ascii="Arial" w:cs="Arial" w:eastAsia="Arial" w:hAnsi="Arial"/>
                <w:sz w:val="15"/>
                <w:szCs w:val="15"/>
                <w:b w:val="1"/>
                <w:bCs w:val="1"/>
                <w:color w:val="auto"/>
              </w:rPr>
              <w:t>04-2623104</w:t>
            </w:r>
          </w:p>
        </w:tc>
      </w:tr>
      <w:tr>
        <w:trPr>
          <w:trHeight w:val="151"/>
        </w:trPr>
        <w:tc>
          <w:tcPr>
            <w:tcW w:w="1500" w:type="dxa"/>
            <w:vAlign w:val="bottom"/>
          </w:tcPr>
          <w:p>
            <w:pPr>
              <w:jc w:val="center"/>
              <w:ind w:right="232"/>
              <w:spacing w:after="0"/>
              <w:rPr>
                <w:sz w:val="20"/>
                <w:szCs w:val="20"/>
                <w:color w:val="auto"/>
              </w:rPr>
            </w:pPr>
            <w:r>
              <w:rPr>
                <w:rFonts w:ascii="Arial" w:cs="Arial" w:eastAsia="Arial" w:hAnsi="Arial"/>
                <w:sz w:val="12"/>
                <w:szCs w:val="12"/>
                <w:b w:val="1"/>
                <w:bCs w:val="1"/>
                <w:color w:val="auto"/>
                <w:w w:val="90"/>
              </w:rPr>
              <w:t>(State of Incorporation)</w:t>
            </w:r>
          </w:p>
        </w:tc>
        <w:tc>
          <w:tcPr>
            <w:tcW w:w="7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740" w:type="dxa"/>
            <w:vAlign w:val="bottom"/>
          </w:tcPr>
          <w:p>
            <w:pPr>
              <w:jc w:val="center"/>
              <w:ind w:left="741"/>
              <w:spacing w:after="0"/>
              <w:rPr>
                <w:sz w:val="20"/>
                <w:szCs w:val="20"/>
                <w:color w:val="auto"/>
              </w:rPr>
            </w:pPr>
            <w:r>
              <w:rPr>
                <w:rFonts w:ascii="Arial" w:cs="Arial" w:eastAsia="Arial" w:hAnsi="Arial"/>
                <w:sz w:val="12"/>
                <w:szCs w:val="12"/>
                <w:b w:val="1"/>
                <w:bCs w:val="1"/>
                <w:color w:val="auto"/>
                <w:w w:val="91"/>
              </w:rPr>
              <w:t>(IRS Employer Identification Number)</w:t>
            </w:r>
          </w:p>
        </w:tc>
      </w:tr>
      <w:tr>
        <w:trPr>
          <w:trHeight w:val="308"/>
        </w:trPr>
        <w:tc>
          <w:tcPr>
            <w:tcW w:w="1500" w:type="dxa"/>
            <w:vAlign w:val="bottom"/>
          </w:tcPr>
          <w:p>
            <w:pPr>
              <w:spacing w:after="0"/>
              <w:rPr>
                <w:sz w:val="24"/>
                <w:szCs w:val="24"/>
                <w:color w:val="auto"/>
              </w:rPr>
            </w:pPr>
          </w:p>
        </w:tc>
        <w:tc>
          <w:tcPr>
            <w:tcW w:w="5900" w:type="dxa"/>
            <w:vAlign w:val="bottom"/>
            <w:gridSpan w:val="3"/>
          </w:tcPr>
          <w:p>
            <w:pPr>
              <w:jc w:val="center"/>
              <w:ind w:right="1941"/>
              <w:spacing w:after="0"/>
              <w:rPr>
                <w:sz w:val="20"/>
                <w:szCs w:val="20"/>
                <w:color w:val="auto"/>
              </w:rPr>
            </w:pPr>
            <w:r>
              <w:rPr>
                <w:rFonts w:ascii="Arial" w:cs="Arial" w:eastAsia="Arial" w:hAnsi="Arial"/>
                <w:sz w:val="15"/>
                <w:szCs w:val="15"/>
                <w:b w:val="1"/>
                <w:bCs w:val="1"/>
                <w:color w:val="auto"/>
                <w:w w:val="91"/>
              </w:rPr>
              <w:t>555 Turnpike Street, Canton, Massachusetts 02021</w:t>
            </w:r>
          </w:p>
        </w:tc>
      </w:tr>
      <w:tr>
        <w:trPr>
          <w:trHeight w:val="151"/>
        </w:trPr>
        <w:tc>
          <w:tcPr>
            <w:tcW w:w="1500" w:type="dxa"/>
            <w:vAlign w:val="bottom"/>
          </w:tcPr>
          <w:p>
            <w:pPr>
              <w:spacing w:after="0"/>
              <w:rPr>
                <w:sz w:val="13"/>
                <w:szCs w:val="13"/>
                <w:color w:val="auto"/>
              </w:rPr>
            </w:pPr>
          </w:p>
        </w:tc>
        <w:tc>
          <w:tcPr>
            <w:tcW w:w="5900" w:type="dxa"/>
            <w:vAlign w:val="bottom"/>
            <w:gridSpan w:val="3"/>
          </w:tcPr>
          <w:p>
            <w:pPr>
              <w:jc w:val="center"/>
              <w:ind w:right="1941"/>
              <w:spacing w:after="0"/>
              <w:rPr>
                <w:sz w:val="20"/>
                <w:szCs w:val="20"/>
                <w:color w:val="auto"/>
              </w:rPr>
            </w:pPr>
            <w:r>
              <w:rPr>
                <w:rFonts w:ascii="Arial" w:cs="Arial" w:eastAsia="Arial" w:hAnsi="Arial"/>
                <w:sz w:val="12"/>
                <w:szCs w:val="12"/>
                <w:b w:val="1"/>
                <w:bCs w:val="1"/>
                <w:color w:val="auto"/>
                <w:w w:val="87"/>
              </w:rPr>
              <w:t>(Address of registrant’s principal executive office)</w:t>
            </w:r>
          </w:p>
        </w:tc>
      </w:tr>
      <w:tr>
        <w:trPr>
          <w:trHeight w:val="308"/>
        </w:trPr>
        <w:tc>
          <w:tcPr>
            <w:tcW w:w="1500" w:type="dxa"/>
            <w:vAlign w:val="bottom"/>
          </w:tcPr>
          <w:p>
            <w:pPr>
              <w:spacing w:after="0"/>
              <w:rPr>
                <w:sz w:val="24"/>
                <w:szCs w:val="24"/>
                <w:color w:val="auto"/>
              </w:rPr>
            </w:pPr>
          </w:p>
        </w:tc>
        <w:tc>
          <w:tcPr>
            <w:tcW w:w="3160" w:type="dxa"/>
            <w:vAlign w:val="bottom"/>
            <w:gridSpan w:val="2"/>
          </w:tcPr>
          <w:p>
            <w:pPr>
              <w:jc w:val="center"/>
              <w:ind w:left="691"/>
              <w:spacing w:after="0"/>
              <w:rPr>
                <w:sz w:val="20"/>
                <w:szCs w:val="20"/>
                <w:color w:val="auto"/>
              </w:rPr>
            </w:pPr>
            <w:r>
              <w:rPr>
                <w:rFonts w:ascii="Arial" w:cs="Arial" w:eastAsia="Arial" w:hAnsi="Arial"/>
                <w:sz w:val="15"/>
                <w:szCs w:val="15"/>
                <w:b w:val="1"/>
                <w:bCs w:val="1"/>
                <w:color w:val="auto"/>
                <w:w w:val="93"/>
              </w:rPr>
              <w:t>(781) 828-9300</w:t>
            </w:r>
          </w:p>
        </w:tc>
        <w:tc>
          <w:tcPr>
            <w:tcW w:w="2740" w:type="dxa"/>
            <w:vAlign w:val="bottom"/>
          </w:tcPr>
          <w:p>
            <w:pPr>
              <w:spacing w:after="0"/>
              <w:rPr>
                <w:sz w:val="24"/>
                <w:szCs w:val="24"/>
                <w:color w:val="auto"/>
              </w:rPr>
            </w:pPr>
          </w:p>
        </w:tc>
      </w:tr>
      <w:tr>
        <w:trPr>
          <w:trHeight w:val="151"/>
        </w:trPr>
        <w:tc>
          <w:tcPr>
            <w:tcW w:w="1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160" w:type="dxa"/>
            <w:vAlign w:val="bottom"/>
            <w:gridSpan w:val="2"/>
          </w:tcPr>
          <w:p>
            <w:pPr>
              <w:jc w:val="center"/>
              <w:ind w:right="2681"/>
              <w:spacing w:after="0"/>
              <w:rPr>
                <w:sz w:val="20"/>
                <w:szCs w:val="20"/>
                <w:color w:val="auto"/>
              </w:rPr>
            </w:pPr>
            <w:r>
              <w:rPr>
                <w:rFonts w:ascii="Arial" w:cs="Arial" w:eastAsia="Arial" w:hAnsi="Arial"/>
                <w:sz w:val="12"/>
                <w:szCs w:val="12"/>
                <w:b w:val="1"/>
                <w:bCs w:val="1"/>
                <w:color w:val="auto"/>
                <w:w w:val="87"/>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149860</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362" w:lineRule="exact"/>
        <w:rPr>
          <w:sz w:val="24"/>
          <w:szCs w:val="24"/>
          <w:color w:val="auto"/>
        </w:rPr>
      </w:pPr>
    </w:p>
    <w:p>
      <w:pPr>
        <w:ind w:left="6"/>
        <w:spacing w:after="0" w:line="291"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34"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644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81915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1066"/>
          </w:cols>
          <w:pgMar w:left="234" w:top="279" w:right="59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7.01</w:t>
      </w:r>
      <w:r>
        <w:rPr>
          <w:sz w:val="20"/>
          <w:szCs w:val="20"/>
          <w:color w:val="auto"/>
        </w:rPr>
        <w:tab/>
      </w:r>
      <w:r>
        <w:rPr>
          <w:rFonts w:ascii="Arial" w:cs="Arial" w:eastAsia="Arial" w:hAnsi="Arial"/>
          <w:sz w:val="13"/>
          <w:szCs w:val="13"/>
          <w:b w:val="1"/>
          <w:bCs w:val="1"/>
          <w:color w:val="auto"/>
        </w:rPr>
        <w:t>- Regulation FD Disclosure</w:t>
      </w:r>
    </w:p>
    <w:p>
      <w:pPr>
        <w:spacing w:after="0" w:line="161" w:lineRule="exact"/>
        <w:rPr>
          <w:sz w:val="20"/>
          <w:szCs w:val="20"/>
          <w:color w:val="auto"/>
        </w:rPr>
      </w:pPr>
    </w:p>
    <w:p>
      <w:pPr>
        <w:ind w:right="580"/>
        <w:spacing w:after="0" w:line="291" w:lineRule="auto"/>
        <w:rPr>
          <w:sz w:val="20"/>
          <w:szCs w:val="20"/>
          <w:color w:val="auto"/>
        </w:rPr>
      </w:pPr>
      <w:r>
        <w:rPr>
          <w:rFonts w:ascii="Arial" w:cs="Arial" w:eastAsia="Arial" w:hAnsi="Arial"/>
          <w:sz w:val="15"/>
          <w:szCs w:val="15"/>
          <w:color w:val="auto"/>
        </w:rPr>
        <w:t>The Company will be presenting a slide presentation to various investment groups at upcoming investor conferences beginning on September 16, 2009. A copy of the slides to be presented at those conferences is attached to this report as Exhibit 99.1, which slide presentation is incorporated by reference herein.</w:t>
      </w:r>
    </w:p>
    <w:p>
      <w:pPr>
        <w:spacing w:after="0" w:line="99" w:lineRule="exact"/>
        <w:rPr>
          <w:sz w:val="20"/>
          <w:szCs w:val="20"/>
          <w:color w:val="auto"/>
        </w:rPr>
      </w:pPr>
    </w:p>
    <w:p>
      <w:pPr>
        <w:ind w:right="60"/>
        <w:spacing w:after="0" w:line="292" w:lineRule="auto"/>
        <w:rPr>
          <w:sz w:val="20"/>
          <w:szCs w:val="20"/>
          <w:color w:val="auto"/>
        </w:rPr>
      </w:pPr>
      <w:r>
        <w:rPr>
          <w:rFonts w:ascii="Arial" w:cs="Arial" w:eastAsia="Arial" w:hAnsi="Arial"/>
          <w:sz w:val="14"/>
          <w:szCs w:val="14"/>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Presentation of Non-GAAP Measures</w:t>
      </w:r>
    </w:p>
    <w:p>
      <w:pPr>
        <w:spacing w:after="0" w:line="86" w:lineRule="exact"/>
        <w:rPr>
          <w:sz w:val="20"/>
          <w:szCs w:val="20"/>
          <w:color w:val="auto"/>
        </w:rPr>
      </w:pPr>
    </w:p>
    <w:p>
      <w:pPr>
        <w:ind w:right="320"/>
        <w:spacing w:after="0" w:line="276" w:lineRule="auto"/>
        <w:rPr>
          <w:sz w:val="20"/>
          <w:szCs w:val="20"/>
          <w:color w:val="auto"/>
        </w:rPr>
      </w:pPr>
      <w:r>
        <w:rPr>
          <w:rFonts w:ascii="Arial" w:cs="Arial" w:eastAsia="Arial" w:hAnsi="Arial"/>
          <w:sz w:val="15"/>
          <w:szCs w:val="15"/>
          <w:color w:val="auto"/>
        </w:rPr>
        <w:t>The slide presentation includes the discussion of non-GAAP free cash flow on slides 4 and 7. Free cash flow is not a measure determined by generally accepted accounting principles (“GAAP”) and should not be considered superior to or as a substitute for net income (loss) or cash flows from operating activities or any other measure of performance derived in accordance with GAAP.</w:t>
      </w:r>
    </w:p>
    <w:p>
      <w:pPr>
        <w:spacing w:after="0" w:line="110"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In addition, all companies do not calculate non-GAAP financial measures in the same manner and, accordingly, “free cash flows” as presented in this slide presentation may not be comparable to similar measures used by other companies. The Company calculates free cash flows as cash flow from operating activities less capital expenditures and discretionary store asset acquisitions, if any. We calculate projected free cash flows for fiscal 2009 of $20.0-$25.0 million as estimated cash flow from operating activities of $25.0-$30.0 million, less estimated capital expenditures of $5.0 million (no discretionary store asset acquisitions are anticipated in fiscal 2009). Free cash flow for fiscal 2008 of $7.6 million was calculated as cash flow from operating activities of $23.2 million less capital expenditures of $12.6 million and less $3.0 million for discretionary store asset acquisitions. Free cash flow for fiscal 2007 of $(9.6) million was calculated as cash flow from operating activities of $11.7 million less capital expenditures of $21.3 million. There were no discretionary store asset acquisitions in fiscal 2007. During the second quarter of fiscal 2009, we changed our method of calculating free cash flow to include, as a deduction, the use of cash for discretionary store asset acquisitions, if any. Accordingly, free cash flow for fiscal 2008, which was previously defined as cash flow from operating activities less capital expenditures, was restated to include, as a deduction, the cash used for discretionary store asset acquisitions of $3.0 million, for the Company’s acquisition of Dahle’s Big &amp; Tall stores.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We believe that inclusion of this non-GAAP measure helps investors gain a better understanding of our performance, especially when comparing such results to previous periods</w:t>
      </w:r>
    </w:p>
    <w:p>
      <w:pPr>
        <w:spacing w:after="0" w:line="270"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5"/>
          <w:szCs w:val="15"/>
          <w:b w:val="1"/>
          <w:bCs w:val="1"/>
          <w:color w:val="auto"/>
        </w:rPr>
        <w:t>- FINANCIAL STATEMENTS AND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 Exhibits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40"/>
        </w:trPr>
        <w:tc>
          <w:tcPr>
            <w:tcW w:w="600" w:type="dxa"/>
            <w:vAlign w:val="bottom"/>
          </w:tcPr>
          <w:p>
            <w:pPr>
              <w:spacing w:after="0"/>
              <w:rPr>
                <w:sz w:val="20"/>
                <w:szCs w:val="20"/>
                <w:color w:val="auto"/>
              </w:rPr>
            </w:pPr>
            <w:r>
              <w:rPr>
                <w:rFonts w:ascii="Arial" w:cs="Arial" w:eastAsia="Arial" w:hAnsi="Arial"/>
                <w:sz w:val="12"/>
                <w:szCs w:val="12"/>
                <w:b w:val="1"/>
                <w:bCs w:val="1"/>
                <w:color w:val="auto"/>
                <w:w w:val="92"/>
              </w:rPr>
              <w:t>Exhibit No.</w:t>
            </w:r>
          </w:p>
        </w:tc>
        <w:tc>
          <w:tcPr>
            <w:tcW w:w="40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186"/>
        </w:trPr>
        <w:tc>
          <w:tcPr>
            <w:tcW w:w="6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99.1</w:t>
            </w:r>
          </w:p>
        </w:tc>
        <w:tc>
          <w:tcPr>
            <w:tcW w:w="400" w:type="dxa"/>
            <w:vAlign w:val="bottom"/>
          </w:tcPr>
          <w:p>
            <w:pPr>
              <w:spacing w:after="0"/>
              <w:rPr>
                <w:sz w:val="16"/>
                <w:szCs w:val="16"/>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Presentation</w:t>
            </w:r>
          </w:p>
        </w:tc>
        <w:tc>
          <w:tcPr>
            <w:tcW w:w="1780" w:type="dxa"/>
            <w:vAlign w:val="bottom"/>
          </w:tcPr>
          <w:p>
            <w:pPr>
              <w:ind w:left="180"/>
              <w:spacing w:after="0"/>
              <w:rPr>
                <w:sz w:val="20"/>
                <w:szCs w:val="20"/>
                <w:color w:val="auto"/>
              </w:rPr>
            </w:pPr>
            <w:r>
              <w:rPr>
                <w:rFonts w:ascii="Arial" w:cs="Arial" w:eastAsia="Arial" w:hAnsi="Arial"/>
                <w:sz w:val="15"/>
                <w:szCs w:val="15"/>
                <w:color w:val="auto"/>
                <w:w w:val="88"/>
              </w:rPr>
              <w:t>dated September 15, 2009</w:t>
            </w:r>
          </w:p>
        </w:tc>
      </w:tr>
    </w:tbl>
    <w:p>
      <w:pPr>
        <w:sectPr>
          <w:pgSz w:w="11900" w:h="16838" w:orient="portrait"/>
          <w:cols w:equalWidth="0" w:num="1">
            <w:col w:w="11440"/>
          </w:cols>
          <w:pgMar w:left="240" w:top="258"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61"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w:t>
      </w:r>
    </w:p>
    <w:p>
      <w:pPr>
        <w:spacing w:after="0" w:line="204" w:lineRule="exact"/>
        <w:rPr>
          <w:sz w:val="20"/>
          <w:szCs w:val="20"/>
          <w:color w:val="auto"/>
        </w:rPr>
      </w:pPr>
    </w:p>
    <w:tbl>
      <w:tblPr>
        <w:tblLayout w:type="fixed"/>
        <w:tblInd w:w="6860" w:type="dxa"/>
        <w:tblCellMar>
          <w:top w:w="0" w:type="dxa"/>
          <w:left w:w="0" w:type="dxa"/>
          <w:bottom w:w="0" w:type="dxa"/>
          <w:right w:w="0" w:type="dxa"/>
        </w:tblCellMar>
      </w:tblPr>
      <w:tr>
        <w:trPr>
          <w:trHeight w:val="194"/>
        </w:trPr>
        <w:tc>
          <w:tcPr>
            <w:tcW w:w="600" w:type="dxa"/>
            <w:vAlign w:val="bottom"/>
          </w:tcPr>
          <w:p>
            <w:pPr>
              <w:spacing w:after="0"/>
              <w:rPr>
                <w:sz w:val="20"/>
                <w:szCs w:val="20"/>
                <w:color w:val="auto"/>
              </w:rPr>
            </w:pPr>
            <w:r>
              <w:rPr>
                <w:rFonts w:ascii="Arial" w:cs="Arial" w:eastAsia="Arial" w:hAnsi="Arial"/>
                <w:sz w:val="15"/>
                <w:szCs w:val="15"/>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DENNIS R. HERNREICH</w:t>
            </w:r>
          </w:p>
        </w:tc>
      </w:tr>
      <w:tr>
        <w:trPr>
          <w:trHeight w:val="186"/>
        </w:trPr>
        <w:tc>
          <w:tcPr>
            <w:tcW w:w="600" w:type="dxa"/>
            <w:vAlign w:val="bottom"/>
          </w:tcPr>
          <w:p>
            <w:pPr>
              <w:spacing w:after="0"/>
              <w:rPr>
                <w:sz w:val="20"/>
                <w:szCs w:val="20"/>
                <w:color w:val="auto"/>
              </w:rPr>
            </w:pPr>
            <w:r>
              <w:rPr>
                <w:rFonts w:ascii="Arial" w:cs="Arial" w:eastAsia="Arial" w:hAnsi="Arial"/>
                <w:sz w:val="15"/>
                <w:szCs w:val="15"/>
                <w:color w:val="auto"/>
              </w:rPr>
              <w:t>Name:</w:t>
            </w:r>
          </w:p>
        </w:tc>
        <w:tc>
          <w:tcPr>
            <w:tcW w:w="3980" w:type="dxa"/>
            <w:vAlign w:val="bottom"/>
          </w:tcPr>
          <w:p>
            <w:pPr>
              <w:spacing w:after="0"/>
              <w:rPr>
                <w:sz w:val="20"/>
                <w:szCs w:val="20"/>
                <w:color w:val="auto"/>
              </w:rPr>
            </w:pPr>
            <w:r>
              <w:rPr>
                <w:rFonts w:ascii="Arial" w:cs="Arial" w:eastAsia="Arial" w:hAnsi="Arial"/>
                <w:sz w:val="15"/>
                <w:szCs w:val="15"/>
                <w:color w:val="auto"/>
              </w:rPr>
              <w:t>Dennis R. Hernreich</w:t>
            </w:r>
          </w:p>
        </w:tc>
      </w:tr>
      <w:tr>
        <w:trPr>
          <w:trHeight w:val="194"/>
        </w:trPr>
        <w:tc>
          <w:tcPr>
            <w:tcW w:w="600" w:type="dxa"/>
            <w:vAlign w:val="bottom"/>
          </w:tcPr>
          <w:p>
            <w:pPr>
              <w:spacing w:after="0"/>
              <w:rPr>
                <w:sz w:val="20"/>
                <w:szCs w:val="20"/>
                <w:color w:val="auto"/>
              </w:rPr>
            </w:pPr>
            <w:r>
              <w:rPr>
                <w:rFonts w:ascii="Arial" w:cs="Arial" w:eastAsia="Arial" w:hAnsi="Arial"/>
                <w:sz w:val="15"/>
                <w:szCs w:val="15"/>
                <w:color w:val="auto"/>
              </w:rPr>
              <w:t>Title:</w:t>
            </w:r>
          </w:p>
        </w:tc>
        <w:tc>
          <w:tcPr>
            <w:tcW w:w="3980" w:type="dxa"/>
            <w:vAlign w:val="bottom"/>
          </w:tcPr>
          <w:p>
            <w:pPr>
              <w:spacing w:after="0"/>
              <w:rPr>
                <w:sz w:val="20"/>
                <w:szCs w:val="20"/>
                <w:color w:val="auto"/>
              </w:rPr>
            </w:pPr>
            <w:r>
              <w:rPr>
                <w:rFonts w:ascii="Arial" w:cs="Arial" w:eastAsia="Arial" w:hAnsi="Arial"/>
                <w:sz w:val="15"/>
                <w:szCs w:val="15"/>
                <w:color w:val="auto"/>
              </w:rPr>
              <w:t>Executive Vice President and Chief Financial Officer</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Date: September 15, 2009</w:t>
      </w:r>
    </w:p>
    <w:p>
      <w:pPr>
        <w:sectPr>
          <w:pgSz w:w="11900" w:h="16838" w:orient="portrait"/>
          <w:cols w:equalWidth="0" w:num="1">
            <w:col w:w="11440"/>
          </w:cols>
          <w:pgMar w:left="240" w:top="258"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FFFFFF"/>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940"/>
        <w:spacing w:after="0"/>
        <w:rPr>
          <w:sz w:val="20"/>
          <w:szCs w:val="20"/>
          <w:color w:val="auto"/>
        </w:rPr>
      </w:pPr>
      <w:r>
        <w:rPr>
          <w:rFonts w:ascii="Arial" w:cs="Arial" w:eastAsia="Arial" w:hAnsi="Arial"/>
          <w:sz w:val="56"/>
          <w:szCs w:val="56"/>
          <w:b w:val="1"/>
          <w:bCs w:val="1"/>
          <w:color w:val="FFFFFF"/>
        </w:rPr>
        <w:t>September 2009</w:t>
      </w:r>
    </w:p>
    <w:p>
      <w:pPr>
        <w:sectPr>
          <w:pgSz w:w="11900" w:h="16838" w:orient="portrait"/>
          <w:cols w:equalWidth="0" w:num="1">
            <w:col w:w="9940"/>
          </w:cols>
          <w:pgMar w:left="1440" w:top="406" w:right="519" w:bottom="1440" w:gutter="0" w:footer="0" w:header="0"/>
        </w:sectPr>
      </w:pPr>
    </w:p>
    <w:bookmarkStart w:id="4" w:name="page5"/>
    <w:bookmarkEnd w:id="4"/>
    <w:p>
      <w:pPr>
        <w:ind w:left="616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Big &amp; Tall Market</w:t>
      </w:r>
    </w:p>
    <w:p>
      <w:pPr>
        <w:spacing w:after="0" w:line="200" w:lineRule="exact"/>
        <w:rPr>
          <w:sz w:val="20"/>
          <w:szCs w:val="20"/>
          <w:color w:val="auto"/>
        </w:rPr>
      </w:pPr>
    </w:p>
    <w:p>
      <w:pPr>
        <w:spacing w:after="0" w:line="351" w:lineRule="exact"/>
        <w:rPr>
          <w:sz w:val="20"/>
          <w:szCs w:val="20"/>
          <w:color w:val="auto"/>
        </w:rPr>
      </w:pPr>
    </w:p>
    <w:p>
      <w:pPr>
        <w:ind w:left="420" w:hanging="419"/>
        <w:spacing w:after="0"/>
        <w:tabs>
          <w:tab w:leader="none" w:pos="420" w:val="left"/>
        </w:tabs>
        <w:numPr>
          <w:ilvl w:val="0"/>
          <w:numId w:val="2"/>
        </w:numPr>
        <w:rPr>
          <w:rFonts w:ascii="Arial" w:cs="Arial" w:eastAsia="Arial" w:hAnsi="Arial"/>
          <w:sz w:val="38"/>
          <w:szCs w:val="38"/>
          <w:color w:val="E75518"/>
        </w:rPr>
      </w:pPr>
      <w:r>
        <w:rPr>
          <w:rFonts w:ascii="Arial" w:cs="Arial" w:eastAsia="Arial" w:hAnsi="Arial"/>
          <w:sz w:val="38"/>
          <w:szCs w:val="38"/>
          <w:color w:val="FFFFFF"/>
        </w:rPr>
        <w:t>Market defined as:</w:t>
      </w:r>
    </w:p>
    <w:p>
      <w:pPr>
        <w:spacing w:after="0" w:line="104" w:lineRule="exact"/>
        <w:rPr>
          <w:sz w:val="20"/>
          <w:szCs w:val="20"/>
          <w:color w:val="auto"/>
        </w:rPr>
      </w:pPr>
    </w:p>
    <w:p>
      <w:pPr>
        <w:ind w:left="560"/>
        <w:spacing w:after="0"/>
        <w:tabs>
          <w:tab w:leader="none" w:pos="6520" w:val="left"/>
        </w:tabs>
        <w:rPr>
          <w:sz w:val="20"/>
          <w:szCs w:val="20"/>
          <w:color w:val="auto"/>
        </w:rPr>
      </w:pPr>
      <w:r>
        <w:rPr>
          <w:rFonts w:ascii="Arial" w:cs="Arial" w:eastAsia="Arial" w:hAnsi="Arial"/>
          <w:sz w:val="38"/>
          <w:szCs w:val="38"/>
          <w:color w:val="E75518"/>
        </w:rPr>
        <w:t xml:space="preserve">– </w:t>
      </w:r>
      <w:r>
        <w:rPr>
          <w:rFonts w:ascii="Arial" w:cs="Arial" w:eastAsia="Arial" w:hAnsi="Arial"/>
          <w:sz w:val="38"/>
          <w:szCs w:val="38"/>
          <w:color w:val="FFFFFF"/>
        </w:rPr>
        <w:t>big = waist size between 40”</w:t>
      </w:r>
      <w:r>
        <w:rPr>
          <w:sz w:val="20"/>
          <w:szCs w:val="20"/>
          <w:color w:val="auto"/>
        </w:rPr>
        <w:tab/>
      </w:r>
      <w:r>
        <w:rPr>
          <w:rFonts w:ascii="Arial" w:cs="Arial" w:eastAsia="Arial" w:hAnsi="Arial"/>
          <w:sz w:val="37"/>
          <w:szCs w:val="37"/>
          <w:color w:val="FFFFFF"/>
        </w:rPr>
        <w:t>and 70”</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38"/>
          <w:szCs w:val="38"/>
          <w:color w:val="E75518"/>
        </w:rPr>
        <w:t xml:space="preserve">– </w:t>
      </w:r>
      <w:r>
        <w:rPr>
          <w:rFonts w:ascii="Arial" w:cs="Arial" w:eastAsia="Arial" w:hAnsi="Arial"/>
          <w:sz w:val="38"/>
          <w:szCs w:val="38"/>
          <w:color w:val="FFFFFF"/>
        </w:rPr>
        <w:t>tall = height over 6’2”</w:t>
      </w:r>
    </w:p>
    <w:p>
      <w:pPr>
        <w:spacing w:after="0" w:line="103" w:lineRule="exact"/>
        <w:rPr>
          <w:sz w:val="20"/>
          <w:szCs w:val="20"/>
          <w:color w:val="auto"/>
        </w:rPr>
      </w:pPr>
    </w:p>
    <w:p>
      <w:pPr>
        <w:ind w:left="420" w:right="1520" w:hanging="419"/>
        <w:spacing w:after="0" w:line="260" w:lineRule="auto"/>
        <w:tabs>
          <w:tab w:leader="none" w:pos="420" w:val="left"/>
        </w:tabs>
        <w:numPr>
          <w:ilvl w:val="0"/>
          <w:numId w:val="3"/>
        </w:numPr>
        <w:rPr>
          <w:rFonts w:ascii="Arial" w:cs="Arial" w:eastAsia="Arial" w:hAnsi="Arial"/>
          <w:sz w:val="38"/>
          <w:szCs w:val="38"/>
          <w:color w:val="E75518"/>
        </w:rPr>
      </w:pPr>
      <w:r>
        <w:rPr>
          <w:rFonts w:ascii="Arial" w:cs="Arial" w:eastAsia="Arial" w:hAnsi="Arial"/>
          <w:sz w:val="38"/>
          <w:szCs w:val="38"/>
          <w:color w:val="FFFFFF"/>
        </w:rPr>
        <w:t>Big and tall men account for approximately 11% of the male population.</w:t>
      </w:r>
    </w:p>
    <w:p>
      <w:pPr>
        <w:spacing w:after="0" w:line="52" w:lineRule="exact"/>
        <w:rPr>
          <w:rFonts w:ascii="Arial" w:cs="Arial" w:eastAsia="Arial" w:hAnsi="Arial"/>
          <w:sz w:val="38"/>
          <w:szCs w:val="38"/>
          <w:color w:val="E75518"/>
        </w:rPr>
      </w:pPr>
    </w:p>
    <w:p>
      <w:pPr>
        <w:ind w:left="420" w:right="1500" w:hanging="419"/>
        <w:spacing w:after="0" w:line="249" w:lineRule="auto"/>
        <w:tabs>
          <w:tab w:leader="none" w:pos="420" w:val="left"/>
        </w:tabs>
        <w:numPr>
          <w:ilvl w:val="0"/>
          <w:numId w:val="3"/>
        </w:numPr>
        <w:rPr>
          <w:rFonts w:ascii="Arial" w:cs="Arial" w:eastAsia="Arial" w:hAnsi="Arial"/>
          <w:sz w:val="38"/>
          <w:szCs w:val="38"/>
          <w:color w:val="E75518"/>
        </w:rPr>
      </w:pPr>
      <w:r>
        <w:rPr>
          <w:rFonts w:ascii="Arial" w:cs="Arial" w:eastAsia="Arial" w:hAnsi="Arial"/>
          <w:sz w:val="38"/>
          <w:szCs w:val="38"/>
          <w:color w:val="FFFFFF"/>
        </w:rPr>
        <w:t>Big and tall market size is approximately $6 billion and growing at almost twice the rate of the regular size men’s apparel market.</w:t>
      </w:r>
    </w:p>
    <w:p>
      <w:pPr>
        <w:spacing w:after="0" w:line="74" w:lineRule="exact"/>
        <w:rPr>
          <w:rFonts w:ascii="Arial" w:cs="Arial" w:eastAsia="Arial" w:hAnsi="Arial"/>
          <w:sz w:val="38"/>
          <w:szCs w:val="38"/>
          <w:color w:val="E75518"/>
        </w:rPr>
      </w:pPr>
    </w:p>
    <w:p>
      <w:pPr>
        <w:jc w:val="right"/>
        <w:ind w:left="920" w:right="2360" w:hanging="353"/>
        <w:spacing w:after="0" w:line="273" w:lineRule="auto"/>
        <w:rPr>
          <w:rFonts w:ascii="Arial" w:cs="Arial" w:eastAsia="Arial" w:hAnsi="Arial"/>
          <w:sz w:val="38"/>
          <w:szCs w:val="38"/>
          <w:color w:val="E75518"/>
        </w:rPr>
      </w:pPr>
      <w:r>
        <w:rPr>
          <w:rFonts w:ascii="Arial" w:cs="Arial" w:eastAsia="Arial" w:hAnsi="Arial"/>
          <w:sz w:val="37"/>
          <w:szCs w:val="37"/>
          <w:color w:val="E75518"/>
        </w:rPr>
        <w:t xml:space="preserve">– </w:t>
      </w:r>
      <w:r>
        <w:rPr>
          <w:rFonts w:ascii="Arial" w:cs="Arial" w:eastAsia="Arial" w:hAnsi="Arial"/>
          <w:sz w:val="37"/>
          <w:szCs w:val="37"/>
          <w:color w:val="FFFFFF"/>
        </w:rPr>
        <w:t>Big &amp; tall apparel market is highly fragmented;</w:t>
      </w:r>
      <w:r>
        <w:rPr>
          <w:rFonts w:ascii="Arial" w:cs="Arial" w:eastAsia="Arial" w:hAnsi="Arial"/>
          <w:sz w:val="37"/>
          <w:szCs w:val="37"/>
          <w:color w:val="E75518"/>
        </w:rPr>
        <w:t xml:space="preserve"> </w:t>
      </w:r>
      <w:r>
        <w:rPr>
          <w:rFonts w:ascii="Arial" w:cs="Arial" w:eastAsia="Arial" w:hAnsi="Arial"/>
          <w:sz w:val="37"/>
          <w:szCs w:val="37"/>
          <w:color w:val="FFFFFF"/>
        </w:rPr>
        <w:t>characterized by many small, local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w:t>
      </w:r>
    </w:p>
    <w:p>
      <w:pPr>
        <w:sectPr>
          <w:pgSz w:w="11900" w:h="16838" w:orient="portrait"/>
          <w:cols w:equalWidth="0" w:num="1">
            <w:col w:w="10960"/>
          </w:cols>
          <w:pgMar w:left="480" w:top="850" w:right="459" w:bottom="1440" w:gutter="0" w:footer="0" w:header="0"/>
        </w:sectPr>
      </w:pPr>
    </w:p>
    <w:bookmarkStart w:id="5" w:name="page6"/>
    <w:bookmarkEnd w:id="5"/>
    <w:p>
      <w:pPr>
        <w:ind w:left="6440" w:right="700" w:hanging="5607"/>
        <w:spacing w:after="0" w:line="272" w:lineRule="auto"/>
        <w:rPr>
          <w:sz w:val="20"/>
          <w:szCs w:val="20"/>
          <w:color w:val="auto"/>
        </w:rPr>
      </w:pPr>
      <w:r>
        <w:rPr>
          <w:rFonts w:ascii="Arial" w:cs="Arial" w:eastAsia="Arial" w:hAnsi="Arial"/>
          <w:sz w:val="42"/>
          <w:szCs w:val="42"/>
          <w:b w:val="1"/>
          <w:bCs w:val="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Market is growing as a percent to total menswear sales</w:t>
      </w:r>
    </w:p>
    <w:p>
      <w:pPr>
        <w:ind w:left="4780"/>
        <w:spacing w:after="0"/>
        <w:rPr>
          <w:sz w:val="20"/>
          <w:szCs w:val="20"/>
          <w:color w:val="auto"/>
        </w:rPr>
      </w:pPr>
      <w:r>
        <w:rPr>
          <w:rFonts w:ascii="Arial" w:cs="Arial" w:eastAsia="Arial" w:hAnsi="Arial"/>
          <w:sz w:val="28"/>
          <w:szCs w:val="28"/>
          <w:b w:val="1"/>
          <w:bCs w:val="1"/>
          <w:color w:val="FFFFFF"/>
        </w:rPr>
        <w:t>Obesity Trends* Among U.S. Adults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540" w:type="dxa"/>
            <w:vAlign w:val="bottom"/>
          </w:tcPr>
          <w:p>
            <w:pPr>
              <w:jc w:val="right"/>
              <w:ind w:right="494"/>
              <w:spacing w:after="0"/>
              <w:rPr>
                <w:sz w:val="20"/>
                <w:szCs w:val="20"/>
                <w:color w:val="auto"/>
              </w:rPr>
            </w:pPr>
            <w:r>
              <w:rPr>
                <w:rFonts w:ascii="Arial" w:cs="Arial" w:eastAsia="Arial" w:hAnsi="Arial"/>
                <w:sz w:val="22"/>
                <w:szCs w:val="22"/>
                <w:color w:val="FFFFFF"/>
              </w:rPr>
              <w:t>(*BMI   30, or about 30 lbs overweight)</w:t>
            </w:r>
          </w:p>
        </w:tc>
        <w:tc>
          <w:tcPr>
            <w:tcW w:w="272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559"/>
        </w:trPr>
        <w:tc>
          <w:tcPr>
            <w:tcW w:w="4540" w:type="dxa"/>
            <w:vAlign w:val="bottom"/>
          </w:tcPr>
          <w:p>
            <w:pPr>
              <w:jc w:val="right"/>
              <w:ind w:right="2494"/>
              <w:spacing w:after="0"/>
              <w:rPr>
                <w:sz w:val="20"/>
                <w:szCs w:val="20"/>
                <w:color w:val="auto"/>
              </w:rPr>
            </w:pPr>
            <w:r>
              <w:rPr>
                <w:rFonts w:ascii="Arial" w:cs="Arial" w:eastAsia="Arial" w:hAnsi="Arial"/>
                <w:sz w:val="28"/>
                <w:szCs w:val="28"/>
                <w:color w:val="FFFFFF"/>
              </w:rPr>
              <w:t>1985</w:t>
            </w:r>
          </w:p>
        </w:tc>
        <w:tc>
          <w:tcPr>
            <w:tcW w:w="2720" w:type="dxa"/>
            <w:vAlign w:val="bottom"/>
          </w:tcPr>
          <w:p>
            <w:pPr>
              <w:jc w:val="right"/>
              <w:ind w:right="1399"/>
              <w:spacing w:after="0"/>
              <w:rPr>
                <w:sz w:val="20"/>
                <w:szCs w:val="20"/>
                <w:color w:val="auto"/>
              </w:rPr>
            </w:pPr>
            <w:r>
              <w:rPr>
                <w:rFonts w:ascii="Arial" w:cs="Arial" w:eastAsia="Arial" w:hAnsi="Arial"/>
                <w:sz w:val="28"/>
                <w:szCs w:val="28"/>
                <w:color w:val="FFFFFF"/>
              </w:rPr>
              <w:t>1990</w:t>
            </w:r>
          </w:p>
        </w:tc>
        <w:tc>
          <w:tcPr>
            <w:tcW w:w="2100" w:type="dxa"/>
            <w:vAlign w:val="bottom"/>
          </w:tcPr>
          <w:p>
            <w:pPr>
              <w:jc w:val="right"/>
              <w:spacing w:after="0"/>
              <w:rPr>
                <w:sz w:val="20"/>
                <w:szCs w:val="20"/>
                <w:color w:val="auto"/>
              </w:rPr>
            </w:pPr>
            <w:r>
              <w:rPr>
                <w:rFonts w:ascii="Arial" w:cs="Arial" w:eastAsia="Arial" w:hAnsi="Arial"/>
                <w:sz w:val="28"/>
                <w:szCs w:val="28"/>
                <w:color w:val="FFFFFF"/>
              </w:rPr>
              <w:t>1995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80"/>
        <w:spacing w:after="0"/>
        <w:tabs>
          <w:tab w:leader="none" w:pos="4980" w:val="left"/>
          <w:tab w:leader="none" w:pos="8640" w:val="left"/>
        </w:tabs>
        <w:rPr>
          <w:sz w:val="20"/>
          <w:szCs w:val="20"/>
          <w:color w:val="auto"/>
        </w:rPr>
      </w:pPr>
      <w:r>
        <w:rPr>
          <w:rFonts w:ascii="Arial" w:cs="Arial" w:eastAsia="Arial" w:hAnsi="Arial"/>
          <w:sz w:val="28"/>
          <w:szCs w:val="28"/>
          <w:color w:val="FFFFFF"/>
        </w:rPr>
        <w:t>2000</w:t>
      </w:r>
      <w:r>
        <w:rPr>
          <w:sz w:val="20"/>
          <w:szCs w:val="20"/>
          <w:color w:val="auto"/>
        </w:rPr>
        <w:tab/>
      </w:r>
      <w:r>
        <w:rPr>
          <w:rFonts w:ascii="Arial" w:cs="Arial" w:eastAsia="Arial" w:hAnsi="Arial"/>
          <w:sz w:val="28"/>
          <w:szCs w:val="28"/>
          <w:color w:val="FFFFFF"/>
        </w:rPr>
        <w:t>2005</w:t>
      </w:r>
      <w:r>
        <w:rPr>
          <w:sz w:val="20"/>
          <w:szCs w:val="20"/>
          <w:color w:val="auto"/>
        </w:rPr>
        <w:tab/>
      </w:r>
      <w:r>
        <w:rPr>
          <w:rFonts w:ascii="Arial" w:cs="Arial" w:eastAsia="Arial" w:hAnsi="Arial"/>
          <w:sz w:val="25"/>
          <w:szCs w:val="25"/>
          <w:color w:val="FFFFFF"/>
        </w:rPr>
        <w:t>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300" w:type="dxa"/>
        <w:tblCellMar>
          <w:top w:w="0" w:type="dxa"/>
          <w:left w:w="0" w:type="dxa"/>
          <w:bottom w:w="0" w:type="dxa"/>
          <w:right w:w="0" w:type="dxa"/>
        </w:tblCellMar>
      </w:tblPr>
      <w:tr>
        <w:trPr>
          <w:trHeight w:val="296"/>
        </w:trPr>
        <w:tc>
          <w:tcPr>
            <w:tcW w:w="1160" w:type="dxa"/>
            <w:vAlign w:val="bottom"/>
          </w:tcPr>
          <w:p>
            <w:pPr>
              <w:spacing w:after="0"/>
              <w:rPr>
                <w:sz w:val="20"/>
                <w:szCs w:val="20"/>
                <w:color w:val="auto"/>
              </w:rPr>
            </w:pPr>
            <w:r>
              <w:rPr>
                <w:rFonts w:ascii="Arial" w:cs="Arial" w:eastAsia="Arial" w:hAnsi="Arial"/>
                <w:sz w:val="22"/>
                <w:szCs w:val="22"/>
                <w:b w:val="1"/>
                <w:bCs w:val="1"/>
                <w:color w:val="FFFFFF"/>
              </w:rPr>
              <w:t>No Data</w:t>
            </w:r>
          </w:p>
        </w:tc>
        <w:tc>
          <w:tcPr>
            <w:tcW w:w="1220" w:type="dxa"/>
            <w:vAlign w:val="bottom"/>
          </w:tcPr>
          <w:p>
            <w:pPr>
              <w:jc w:val="right"/>
              <w:ind w:right="228"/>
              <w:spacing w:after="0"/>
              <w:rPr>
                <w:sz w:val="20"/>
                <w:szCs w:val="20"/>
                <w:color w:val="auto"/>
              </w:rPr>
            </w:pPr>
            <w:r>
              <w:rPr>
                <w:rFonts w:ascii="Arial" w:cs="Arial" w:eastAsia="Arial" w:hAnsi="Arial"/>
                <w:sz w:val="22"/>
                <w:szCs w:val="22"/>
                <w:b w:val="1"/>
                <w:bCs w:val="1"/>
                <w:color w:val="FFFFFF"/>
              </w:rPr>
              <w:t>&lt;10%</w:t>
            </w:r>
          </w:p>
        </w:tc>
        <w:tc>
          <w:tcPr>
            <w:tcW w:w="2500" w:type="dxa"/>
            <w:vAlign w:val="bottom"/>
          </w:tcPr>
          <w:p>
            <w:pPr>
              <w:ind w:left="340"/>
              <w:spacing w:after="0"/>
              <w:rPr>
                <w:sz w:val="20"/>
                <w:szCs w:val="20"/>
                <w:color w:val="auto"/>
              </w:rPr>
            </w:pPr>
            <w:r>
              <w:rPr>
                <w:rFonts w:ascii="Arial" w:cs="Arial" w:eastAsia="Arial" w:hAnsi="Arial"/>
                <w:sz w:val="22"/>
                <w:szCs w:val="22"/>
                <w:b w:val="1"/>
                <w:bCs w:val="1"/>
                <w:color w:val="FFFFFF"/>
              </w:rPr>
              <w:t>10%–14%15%–19%</w:t>
            </w:r>
          </w:p>
        </w:tc>
        <w:tc>
          <w:tcPr>
            <w:tcW w:w="1680" w:type="dxa"/>
            <w:vAlign w:val="bottom"/>
          </w:tcPr>
          <w:p>
            <w:pPr>
              <w:ind w:left="340"/>
              <w:spacing w:after="0"/>
              <w:rPr>
                <w:sz w:val="20"/>
                <w:szCs w:val="20"/>
                <w:color w:val="auto"/>
              </w:rPr>
            </w:pPr>
            <w:r>
              <w:rPr>
                <w:rFonts w:ascii="Arial" w:cs="Arial" w:eastAsia="Arial" w:hAnsi="Arial"/>
                <w:sz w:val="22"/>
                <w:szCs w:val="22"/>
                <w:b w:val="1"/>
                <w:bCs w:val="1"/>
                <w:color w:val="FFFFFF"/>
              </w:rPr>
              <w:t>20%–24%</w:t>
            </w:r>
          </w:p>
        </w:tc>
        <w:tc>
          <w:tcPr>
            <w:tcW w:w="1420" w:type="dxa"/>
            <w:vAlign w:val="bottom"/>
          </w:tcPr>
          <w:p>
            <w:pPr>
              <w:ind w:left="300"/>
              <w:spacing w:after="0"/>
              <w:rPr>
                <w:sz w:val="20"/>
                <w:szCs w:val="20"/>
                <w:color w:val="auto"/>
              </w:rPr>
            </w:pPr>
            <w:r>
              <w:rPr>
                <w:rFonts w:ascii="Arial" w:cs="Arial" w:eastAsia="Arial" w:hAnsi="Arial"/>
                <w:sz w:val="22"/>
                <w:szCs w:val="22"/>
                <w:b w:val="1"/>
                <w:bCs w:val="1"/>
                <w:color w:val="FFFFFF"/>
              </w:rPr>
              <w:t>25%–29%</w:t>
            </w:r>
          </w:p>
        </w:tc>
        <w:tc>
          <w:tcPr>
            <w:tcW w:w="1160" w:type="dxa"/>
            <w:vAlign w:val="bottom"/>
          </w:tcPr>
          <w:p>
            <w:pPr>
              <w:jc w:val="right"/>
              <w:spacing w:after="0"/>
              <w:rPr>
                <w:sz w:val="20"/>
                <w:szCs w:val="20"/>
                <w:color w:val="auto"/>
              </w:rPr>
            </w:pPr>
            <w:r>
              <w:rPr>
                <w:rFonts w:ascii="Arial" w:cs="Arial" w:eastAsia="Arial" w:hAnsi="Arial"/>
                <w:sz w:val="22"/>
                <w:szCs w:val="22"/>
                <w:b w:val="1"/>
                <w:bCs w:val="1"/>
                <w:color w:val="FFFFFF"/>
              </w:rPr>
              <w:t>30%</w:t>
            </w:r>
          </w:p>
        </w:tc>
      </w:tr>
      <w:tr>
        <w:trPr>
          <w:trHeight w:val="325"/>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jc w:val="right"/>
              <w:ind w:right="192"/>
              <w:spacing w:after="0"/>
              <w:rPr>
                <w:sz w:val="20"/>
                <w:szCs w:val="20"/>
                <w:color w:val="auto"/>
              </w:rPr>
            </w:pPr>
            <w:r>
              <w:rPr>
                <w:rFonts w:ascii="Arial" w:cs="Arial" w:eastAsia="Arial" w:hAnsi="Arial"/>
                <w:sz w:val="13"/>
                <w:szCs w:val="13"/>
                <w:color w:val="FFFFFF"/>
              </w:rPr>
              <w:t>Source: CDC</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w:t>
      </w:r>
    </w:p>
    <w:p>
      <w:pPr>
        <w:sectPr>
          <w:pgSz w:w="11900" w:h="16838" w:orient="portrait"/>
          <w:cols w:equalWidth="0" w:num="1">
            <w:col w:w="10480"/>
          </w:cols>
          <w:pgMar w:left="960" w:top="632" w:right="459" w:bottom="1440" w:gutter="0" w:footer="0" w:header="0"/>
        </w:sectPr>
      </w:pPr>
    </w:p>
    <w:bookmarkStart w:id="6" w:name="page7"/>
    <w:bookmarkEnd w:id="6"/>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ind w:left="7700"/>
        <w:spacing w:after="0"/>
        <w:rPr>
          <w:sz w:val="20"/>
          <w:szCs w:val="20"/>
          <w:color w:val="auto"/>
        </w:rPr>
      </w:pPr>
      <w:r>
        <w:rPr>
          <w:rFonts w:ascii="Arial" w:cs="Arial" w:eastAsia="Arial" w:hAnsi="Arial"/>
          <w:sz w:val="50"/>
          <w:szCs w:val="50"/>
          <w:color w:val="FFFFFF"/>
        </w:rPr>
        <w:t>2009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6"/>
          <w:szCs w:val="56"/>
          <w:color w:val="FFFFFF"/>
        </w:rPr>
        <w:t>Goals</w:t>
      </w:r>
    </w:p>
    <w:p>
      <w:pPr>
        <w:spacing w:after="0" w:line="2" w:lineRule="exact"/>
        <w:rPr>
          <w:sz w:val="20"/>
          <w:szCs w:val="20"/>
          <w:color w:val="auto"/>
        </w:rPr>
      </w:pPr>
    </w:p>
    <w:p>
      <w:pPr>
        <w:sectPr>
          <w:pgSz w:w="11900" w:h="16838" w:orient="portrait"/>
          <w:cols w:equalWidth="0" w:num="2">
            <w:col w:w="8820" w:space="340"/>
            <w:col w:w="1520"/>
          </w:cols>
          <w:pgMar w:left="760" w:top="850" w:right="459" w:bottom="1440" w:gutter="0" w:footer="0" w:header="0"/>
        </w:sectPr>
      </w:pPr>
    </w:p>
    <w:p>
      <w:pPr>
        <w:spacing w:after="0"/>
        <w:rPr>
          <w:sz w:val="20"/>
          <w:szCs w:val="20"/>
          <w:color w:val="auto"/>
        </w:rPr>
      </w:pPr>
      <w:r>
        <w:rPr>
          <w:rFonts w:ascii="Arial" w:cs="Arial" w:eastAsia="Arial" w:hAnsi="Arial"/>
          <w:sz w:val="38"/>
          <w:szCs w:val="38"/>
          <w:color w:val="E75518"/>
        </w:rPr>
        <w:t xml:space="preserve">•  </w:t>
      </w:r>
      <w:r>
        <w:rPr>
          <w:rFonts w:ascii="Arial" w:cs="Arial" w:eastAsia="Arial" w:hAnsi="Arial"/>
          <w:sz w:val="38"/>
          <w:szCs w:val="38"/>
          <w:color w:val="FFFFFF"/>
        </w:rPr>
        <w:t>Sales Decrease of 10%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7"/>
          <w:szCs w:val="37"/>
          <w:color w:val="FFFFFF"/>
        </w:rPr>
        <w:t>12%</w:t>
      </w:r>
    </w:p>
    <w:p>
      <w:pPr>
        <w:spacing w:after="0" w:line="88" w:lineRule="exact"/>
        <w:rPr>
          <w:sz w:val="20"/>
          <w:szCs w:val="20"/>
          <w:color w:val="auto"/>
        </w:rPr>
      </w:pPr>
    </w:p>
    <w:p>
      <w:pPr>
        <w:sectPr>
          <w:pgSz w:w="11900" w:h="16838" w:orient="portrait"/>
          <w:cols w:equalWidth="0" w:num="2">
            <w:col w:w="4580" w:space="660"/>
            <w:col w:w="5440"/>
          </w:cols>
          <w:pgMar w:left="760" w:top="850" w:right="459" w:bottom="1440" w:gutter="0" w:footer="0" w:header="0"/>
          <w:type w:val="continuous"/>
        </w:sectPr>
      </w:pPr>
    </w:p>
    <w:p>
      <w:pPr>
        <w:spacing w:after="0"/>
        <w:rPr>
          <w:sz w:val="20"/>
          <w:szCs w:val="20"/>
          <w:color w:val="auto"/>
        </w:rPr>
      </w:pPr>
      <w:r>
        <w:rPr>
          <w:rFonts w:ascii="Arial" w:cs="Arial" w:eastAsia="Arial" w:hAnsi="Arial"/>
          <w:sz w:val="38"/>
          <w:szCs w:val="38"/>
          <w:color w:val="E75518"/>
        </w:rPr>
        <w:t xml:space="preserve">•  </w:t>
      </w:r>
      <w:r>
        <w:rPr>
          <w:rFonts w:ascii="Arial" w:cs="Arial" w:eastAsia="Arial" w:hAnsi="Arial"/>
          <w:sz w:val="38"/>
          <w:szCs w:val="38"/>
          <w:color w:val="FFFFFF"/>
        </w:rPr>
        <w:t>Generate Free Cash Flow between $20.0m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7"/>
          <w:szCs w:val="37"/>
          <w:color w:val="FFFFFF"/>
        </w:rPr>
        <w:t>$25.0m</w:t>
      </w:r>
    </w:p>
    <w:p>
      <w:pPr>
        <w:spacing w:after="0" w:line="115" w:lineRule="exact"/>
        <w:rPr>
          <w:sz w:val="20"/>
          <w:szCs w:val="20"/>
          <w:color w:val="auto"/>
        </w:rPr>
      </w:pPr>
    </w:p>
    <w:p>
      <w:pPr>
        <w:sectPr>
          <w:pgSz w:w="11900" w:h="16838" w:orient="portrait"/>
          <w:cols w:equalWidth="0" w:num="2">
            <w:col w:w="8200" w:space="720"/>
            <w:col w:w="1760"/>
          </w:cols>
          <w:pgMar w:left="760" w:top="850" w:right="459" w:bottom="1440" w:gutter="0" w:footer="0" w:header="0"/>
          <w:type w:val="continuous"/>
        </w:sectPr>
      </w:pPr>
    </w:p>
    <w:p>
      <w:pPr>
        <w:ind w:left="420" w:hanging="417"/>
        <w:spacing w:after="0"/>
        <w:tabs>
          <w:tab w:leader="none" w:pos="420" w:val="left"/>
        </w:tabs>
        <w:numPr>
          <w:ilvl w:val="0"/>
          <w:numId w:val="4"/>
        </w:numPr>
        <w:rPr>
          <w:rFonts w:ascii="Arial" w:cs="Arial" w:eastAsia="Arial" w:hAnsi="Arial"/>
          <w:sz w:val="38"/>
          <w:szCs w:val="38"/>
          <w:color w:val="E75518"/>
        </w:rPr>
      </w:pPr>
      <w:r>
        <w:rPr>
          <w:rFonts w:ascii="Arial" w:cs="Arial" w:eastAsia="Arial" w:hAnsi="Arial"/>
          <w:sz w:val="38"/>
          <w:szCs w:val="38"/>
          <w:color w:val="FFFFFF"/>
        </w:rPr>
        <w:t>Maximize Availability under the Credit Facility and</w:t>
      </w:r>
    </w:p>
    <w:p>
      <w:pPr>
        <w:spacing w:after="0" w:line="22" w:lineRule="exact"/>
        <w:rPr>
          <w:sz w:val="20"/>
          <w:szCs w:val="20"/>
          <w:color w:val="auto"/>
        </w:rPr>
      </w:pPr>
    </w:p>
    <w:tbl>
      <w:tblPr>
        <w:tblLayout w:type="fixed"/>
        <w:tblInd w:w="420" w:type="dxa"/>
        <w:tblCellMar>
          <w:top w:w="0" w:type="dxa"/>
          <w:left w:w="0" w:type="dxa"/>
          <w:bottom w:w="0" w:type="dxa"/>
          <w:right w:w="0" w:type="dxa"/>
        </w:tblCellMar>
      </w:tblPr>
      <w:tr>
        <w:trPr>
          <w:trHeight w:val="452"/>
        </w:trPr>
        <w:tc>
          <w:tcPr>
            <w:tcW w:w="5900" w:type="dxa"/>
            <w:vAlign w:val="bottom"/>
          </w:tcPr>
          <w:p>
            <w:pPr>
              <w:spacing w:after="0"/>
              <w:rPr>
                <w:sz w:val="20"/>
                <w:szCs w:val="20"/>
                <w:color w:val="auto"/>
              </w:rPr>
            </w:pPr>
            <w:r>
              <w:rPr>
                <w:rFonts w:ascii="Arial" w:cs="Arial" w:eastAsia="Arial" w:hAnsi="Arial"/>
                <w:sz w:val="38"/>
                <w:szCs w:val="38"/>
                <w:color w:val="FFFFFF"/>
              </w:rPr>
              <w:t>pay down bank debt to $14.5m -</w:t>
            </w:r>
          </w:p>
        </w:tc>
        <w:tc>
          <w:tcPr>
            <w:tcW w:w="1760" w:type="dxa"/>
            <w:vAlign w:val="bottom"/>
          </w:tcPr>
          <w:p>
            <w:pPr>
              <w:ind w:left="500"/>
              <w:spacing w:after="0"/>
              <w:rPr>
                <w:sz w:val="20"/>
                <w:szCs w:val="20"/>
                <w:color w:val="auto"/>
              </w:rPr>
            </w:pPr>
            <w:r>
              <w:rPr>
                <w:rFonts w:ascii="Arial" w:cs="Arial" w:eastAsia="Arial" w:hAnsi="Arial"/>
                <w:sz w:val="38"/>
                <w:szCs w:val="38"/>
                <w:color w:val="FFFFFF"/>
                <w:w w:val="97"/>
              </w:rPr>
              <w:t>$18.0m</w:t>
            </w:r>
          </w:p>
        </w:tc>
      </w:tr>
    </w:tbl>
    <w:p>
      <w:pPr>
        <w:spacing w:after="0" w:line="88" w:lineRule="exact"/>
        <w:rPr>
          <w:sz w:val="20"/>
          <w:szCs w:val="20"/>
          <w:color w:val="auto"/>
        </w:rPr>
      </w:pPr>
    </w:p>
    <w:p>
      <w:pPr>
        <w:ind w:left="420" w:hanging="417"/>
        <w:spacing w:after="0"/>
        <w:tabs>
          <w:tab w:leader="none" w:pos="420" w:val="left"/>
        </w:tabs>
        <w:numPr>
          <w:ilvl w:val="0"/>
          <w:numId w:val="5"/>
        </w:numPr>
        <w:rPr>
          <w:rFonts w:ascii="Arial" w:cs="Arial" w:eastAsia="Arial" w:hAnsi="Arial"/>
          <w:sz w:val="38"/>
          <w:szCs w:val="38"/>
          <w:color w:val="E75518"/>
        </w:rPr>
      </w:pPr>
      <w:r>
        <w:rPr>
          <w:rFonts w:ascii="Arial" w:cs="Arial" w:eastAsia="Arial" w:hAnsi="Arial"/>
          <w:sz w:val="38"/>
          <w:szCs w:val="38"/>
          <w:color w:val="FFFFFF"/>
        </w:rPr>
        <w:t>Reduce Inventory Levels by 10.0% or $10.0m</w:t>
      </w:r>
    </w:p>
    <w:p>
      <w:pPr>
        <w:spacing w:after="0" w:line="103" w:lineRule="exact"/>
        <w:rPr>
          <w:rFonts w:ascii="Arial" w:cs="Arial" w:eastAsia="Arial" w:hAnsi="Arial"/>
          <w:sz w:val="38"/>
          <w:szCs w:val="38"/>
          <w:color w:val="E75518"/>
        </w:rPr>
      </w:pPr>
    </w:p>
    <w:p>
      <w:pPr>
        <w:ind w:left="420" w:hanging="417"/>
        <w:spacing w:after="0"/>
        <w:tabs>
          <w:tab w:leader="none" w:pos="420" w:val="left"/>
        </w:tabs>
        <w:numPr>
          <w:ilvl w:val="0"/>
          <w:numId w:val="5"/>
        </w:numPr>
        <w:rPr>
          <w:rFonts w:ascii="Arial" w:cs="Arial" w:eastAsia="Arial" w:hAnsi="Arial"/>
          <w:sz w:val="38"/>
          <w:szCs w:val="38"/>
          <w:color w:val="E75518"/>
        </w:rPr>
      </w:pPr>
      <w:r>
        <w:rPr>
          <w:rFonts w:ascii="Arial" w:cs="Arial" w:eastAsia="Arial" w:hAnsi="Arial"/>
          <w:sz w:val="38"/>
          <w:szCs w:val="38"/>
          <w:color w:val="FFFFFF"/>
        </w:rPr>
        <w:t>Reduce SG&amp;A Expense by 15% to $151.0m</w:t>
      </w:r>
    </w:p>
    <w:p>
      <w:pPr>
        <w:spacing w:after="0" w:line="103" w:lineRule="exact"/>
        <w:rPr>
          <w:rFonts w:ascii="Arial" w:cs="Arial" w:eastAsia="Arial" w:hAnsi="Arial"/>
          <w:sz w:val="38"/>
          <w:szCs w:val="38"/>
          <w:color w:val="E75518"/>
        </w:rPr>
      </w:pPr>
    </w:p>
    <w:p>
      <w:pPr>
        <w:ind w:left="420" w:hanging="417"/>
        <w:spacing w:after="0"/>
        <w:tabs>
          <w:tab w:leader="none" w:pos="420" w:val="left"/>
        </w:tabs>
        <w:numPr>
          <w:ilvl w:val="0"/>
          <w:numId w:val="5"/>
        </w:numPr>
        <w:rPr>
          <w:rFonts w:ascii="Arial" w:cs="Arial" w:eastAsia="Arial" w:hAnsi="Arial"/>
          <w:sz w:val="38"/>
          <w:szCs w:val="38"/>
          <w:color w:val="E75518"/>
        </w:rPr>
      </w:pPr>
      <w:r>
        <w:rPr>
          <w:rFonts w:ascii="Arial" w:cs="Arial" w:eastAsia="Arial" w:hAnsi="Arial"/>
          <w:sz w:val="38"/>
          <w:szCs w:val="38"/>
          <w:color w:val="FFFFFF"/>
        </w:rPr>
        <w:t>Limit Capital Expenditures to $5.0m</w:t>
      </w:r>
    </w:p>
    <w:p>
      <w:pPr>
        <w:spacing w:after="0" w:line="103" w:lineRule="exact"/>
        <w:rPr>
          <w:rFonts w:ascii="Arial" w:cs="Arial" w:eastAsia="Arial" w:hAnsi="Arial"/>
          <w:sz w:val="38"/>
          <w:szCs w:val="38"/>
          <w:color w:val="E75518"/>
        </w:rPr>
      </w:pPr>
    </w:p>
    <w:p>
      <w:pPr>
        <w:ind w:left="420" w:right="1780" w:hanging="417"/>
        <w:spacing w:after="0" w:line="253" w:lineRule="auto"/>
        <w:tabs>
          <w:tab w:leader="none" w:pos="420" w:val="left"/>
        </w:tabs>
        <w:numPr>
          <w:ilvl w:val="0"/>
          <w:numId w:val="5"/>
        </w:numPr>
        <w:rPr>
          <w:rFonts w:ascii="Arial" w:cs="Arial" w:eastAsia="Arial" w:hAnsi="Arial"/>
          <w:sz w:val="38"/>
          <w:szCs w:val="38"/>
          <w:color w:val="E75518"/>
        </w:rPr>
      </w:pPr>
      <w:r>
        <w:rPr>
          <w:rFonts w:ascii="Arial" w:cs="Arial" w:eastAsia="Arial" w:hAnsi="Arial"/>
          <w:sz w:val="38"/>
          <w:szCs w:val="38"/>
          <w:color w:val="FFFFFF"/>
        </w:rPr>
        <w:t>Improve Merchandise Margins between 275 to 325 basis points</w:t>
      </w:r>
    </w:p>
    <w:p>
      <w:pPr>
        <w:spacing w:after="0" w:line="66" w:lineRule="exact"/>
        <w:rPr>
          <w:sz w:val="20"/>
          <w:szCs w:val="20"/>
          <w:color w:val="auto"/>
        </w:rPr>
      </w:pPr>
    </w:p>
    <w:p>
      <w:pPr>
        <w:jc w:val="both"/>
        <w:ind w:left="420" w:right="1840" w:hanging="419"/>
        <w:spacing w:after="0" w:line="252" w:lineRule="auto"/>
        <w:tabs>
          <w:tab w:leader="none" w:pos="400" w:val="left"/>
        </w:tabs>
        <w:rPr>
          <w:sz w:val="20"/>
          <w:szCs w:val="20"/>
          <w:color w:val="auto"/>
        </w:rPr>
      </w:pPr>
      <w:r>
        <w:rPr>
          <w:rFonts w:ascii="Arial" w:cs="Arial" w:eastAsia="Arial" w:hAnsi="Arial"/>
          <w:sz w:val="38"/>
          <w:szCs w:val="38"/>
          <w:color w:val="E75518"/>
        </w:rPr>
        <w:t>•</w:t>
      </w:r>
      <w:r>
        <w:rPr>
          <w:rFonts w:ascii="Arial" w:cs="Arial" w:eastAsia="Arial" w:hAnsi="Arial"/>
          <w:sz w:val="38"/>
          <w:szCs w:val="38"/>
          <w:color w:val="FFFFFF"/>
        </w:rPr>
        <w:tab/>
        <w:t>Improve our Customers’ Shopping Experience through enhanced sales training programs and the use of business productivity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4</w:t>
      </w:r>
    </w:p>
    <w:p>
      <w:pPr>
        <w:sectPr>
          <w:pgSz w:w="11900" w:h="16838" w:orient="portrait"/>
          <w:cols w:equalWidth="0" w:num="1">
            <w:col w:w="10680"/>
          </w:cols>
          <w:pgMar w:left="760" w:top="850" w:right="459" w:bottom="1440" w:gutter="0" w:footer="0" w:header="0"/>
          <w:type w:val="continuous"/>
        </w:sectPr>
      </w:pPr>
    </w:p>
    <w:bookmarkStart w:id="7" w:name="page8"/>
    <w:bookmarkEnd w:id="7"/>
    <w:p>
      <w:pPr>
        <w:ind w:left="526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Sale of Common Stock</w:t>
      </w:r>
    </w:p>
    <w:p>
      <w:pPr>
        <w:spacing w:after="0" w:line="379" w:lineRule="exact"/>
        <w:rPr>
          <w:sz w:val="20"/>
          <w:szCs w:val="20"/>
          <w:color w:val="auto"/>
        </w:rPr>
      </w:pPr>
    </w:p>
    <w:p>
      <w:pPr>
        <w:ind w:left="420" w:right="1320" w:hanging="419"/>
        <w:spacing w:after="0" w:line="260" w:lineRule="auto"/>
        <w:tabs>
          <w:tab w:leader="none" w:pos="420" w:val="left"/>
        </w:tabs>
        <w:numPr>
          <w:ilvl w:val="0"/>
          <w:numId w:val="6"/>
        </w:numPr>
        <w:rPr>
          <w:rFonts w:ascii="Arial" w:cs="Arial" w:eastAsia="Arial" w:hAnsi="Arial"/>
          <w:sz w:val="38"/>
          <w:szCs w:val="38"/>
          <w:color w:val="E75518"/>
        </w:rPr>
      </w:pPr>
      <w:r>
        <w:rPr>
          <w:rFonts w:ascii="Arial" w:cs="Arial" w:eastAsia="Arial" w:hAnsi="Arial"/>
          <w:sz w:val="38"/>
          <w:szCs w:val="38"/>
          <w:color w:val="FFFFFF"/>
        </w:rPr>
        <w:t>On September 2, we sold 4,950,000 shares of common stock to institutional investors.</w:t>
      </w:r>
    </w:p>
    <w:p>
      <w:pPr>
        <w:spacing w:after="0" w:line="52" w:lineRule="exact"/>
        <w:rPr>
          <w:rFonts w:ascii="Arial" w:cs="Arial" w:eastAsia="Arial" w:hAnsi="Arial"/>
          <w:sz w:val="38"/>
          <w:szCs w:val="38"/>
          <w:color w:val="E75518"/>
        </w:rPr>
      </w:pPr>
    </w:p>
    <w:p>
      <w:pPr>
        <w:ind w:left="420" w:hanging="419"/>
        <w:spacing w:after="0"/>
        <w:tabs>
          <w:tab w:leader="none" w:pos="420" w:val="left"/>
        </w:tabs>
        <w:numPr>
          <w:ilvl w:val="0"/>
          <w:numId w:val="6"/>
        </w:numPr>
        <w:rPr>
          <w:rFonts w:ascii="Arial" w:cs="Arial" w:eastAsia="Arial" w:hAnsi="Arial"/>
          <w:sz w:val="38"/>
          <w:szCs w:val="38"/>
          <w:color w:val="E75518"/>
        </w:rPr>
      </w:pPr>
      <w:r>
        <w:rPr>
          <w:rFonts w:ascii="Arial" w:cs="Arial" w:eastAsia="Arial" w:hAnsi="Arial"/>
          <w:sz w:val="38"/>
          <w:szCs w:val="38"/>
          <w:color w:val="FFFFFF"/>
        </w:rPr>
        <w:t>Sale price of $2.75/share raised $13.6m of capital.</w:t>
      </w:r>
    </w:p>
    <w:p>
      <w:pPr>
        <w:spacing w:after="0" w:line="103" w:lineRule="exact"/>
        <w:rPr>
          <w:rFonts w:ascii="Arial" w:cs="Arial" w:eastAsia="Arial" w:hAnsi="Arial"/>
          <w:sz w:val="38"/>
          <w:szCs w:val="38"/>
          <w:color w:val="E75518"/>
        </w:rPr>
      </w:pPr>
    </w:p>
    <w:p>
      <w:pPr>
        <w:ind w:left="420" w:right="1980" w:hanging="419"/>
        <w:spacing w:after="0" w:line="253" w:lineRule="auto"/>
        <w:tabs>
          <w:tab w:leader="none" w:pos="420" w:val="left"/>
        </w:tabs>
        <w:numPr>
          <w:ilvl w:val="0"/>
          <w:numId w:val="6"/>
        </w:numPr>
        <w:rPr>
          <w:rFonts w:ascii="Arial" w:cs="Arial" w:eastAsia="Arial" w:hAnsi="Arial"/>
          <w:sz w:val="38"/>
          <w:szCs w:val="38"/>
          <w:color w:val="E75518"/>
        </w:rPr>
      </w:pPr>
      <w:r>
        <w:rPr>
          <w:rFonts w:ascii="Arial" w:cs="Arial" w:eastAsia="Arial" w:hAnsi="Arial"/>
          <w:sz w:val="38"/>
          <w:szCs w:val="38"/>
          <w:color w:val="FFFFFF"/>
        </w:rPr>
        <w:t>Transaction costs of approximately $1.0m results in Net Proceeds of approximately $12.6m.</w:t>
      </w:r>
    </w:p>
    <w:p>
      <w:pPr>
        <w:spacing w:after="0" w:line="66" w:lineRule="exact"/>
        <w:rPr>
          <w:rFonts w:ascii="Arial" w:cs="Arial" w:eastAsia="Arial" w:hAnsi="Arial"/>
          <w:sz w:val="38"/>
          <w:szCs w:val="38"/>
          <w:color w:val="E75518"/>
        </w:rPr>
      </w:pPr>
    </w:p>
    <w:p>
      <w:pPr>
        <w:ind w:left="420" w:right="2100" w:hanging="419"/>
        <w:spacing w:after="0" w:line="253" w:lineRule="auto"/>
        <w:tabs>
          <w:tab w:leader="none" w:pos="420" w:val="left"/>
        </w:tabs>
        <w:numPr>
          <w:ilvl w:val="0"/>
          <w:numId w:val="6"/>
        </w:numPr>
        <w:rPr>
          <w:rFonts w:ascii="Arial" w:cs="Arial" w:eastAsia="Arial" w:hAnsi="Arial"/>
          <w:sz w:val="38"/>
          <w:szCs w:val="38"/>
          <w:color w:val="E75518"/>
        </w:rPr>
      </w:pPr>
      <w:r>
        <w:rPr>
          <w:rFonts w:ascii="Arial" w:cs="Arial" w:eastAsia="Arial" w:hAnsi="Arial"/>
          <w:sz w:val="38"/>
          <w:szCs w:val="38"/>
          <w:color w:val="FFFFFF"/>
        </w:rPr>
        <w:t>Funds will be used to pay down revolving debt and used for working capital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5</w:t>
      </w:r>
    </w:p>
    <w:p>
      <w:pPr>
        <w:sectPr>
          <w:pgSz w:w="11900" w:h="16838" w:orient="portrait"/>
          <w:cols w:equalWidth="0" w:num="1">
            <w:col w:w="10960"/>
          </w:cols>
          <w:pgMar w:left="480" w:top="891" w:right="459" w:bottom="1440" w:gutter="0" w:footer="0" w:header="0"/>
        </w:sectPr>
      </w:pPr>
    </w:p>
    <w:bookmarkStart w:id="8" w:name="page9"/>
    <w:bookmarkEnd w:id="8"/>
    <w:p>
      <w:pPr>
        <w:ind w:left="136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Selected Balance Sheet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40" w:type="dxa"/>
        <w:tblCellMar>
          <w:top w:w="0" w:type="dxa"/>
          <w:left w:w="0" w:type="dxa"/>
          <w:bottom w:w="0" w:type="dxa"/>
          <w:right w:w="0" w:type="dxa"/>
        </w:tblCellMar>
      </w:tblPr>
      <w:tr>
        <w:trPr>
          <w:trHeight w:val="329"/>
        </w:trPr>
        <w:tc>
          <w:tcPr>
            <w:tcW w:w="2940" w:type="dxa"/>
            <w:vAlign w:val="bottom"/>
          </w:tcPr>
          <w:p>
            <w:pPr>
              <w:spacing w:after="0"/>
              <w:rPr>
                <w:sz w:val="24"/>
                <w:szCs w:val="24"/>
                <w:color w:val="auto"/>
              </w:rPr>
            </w:pPr>
          </w:p>
        </w:tc>
        <w:tc>
          <w:tcPr>
            <w:tcW w:w="3040" w:type="dxa"/>
            <w:vAlign w:val="bottom"/>
          </w:tcPr>
          <w:p>
            <w:pPr>
              <w:jc w:val="right"/>
              <w:ind w:right="1019"/>
              <w:spacing w:after="0"/>
              <w:rPr>
                <w:sz w:val="20"/>
                <w:szCs w:val="20"/>
                <w:color w:val="auto"/>
              </w:rPr>
            </w:pPr>
            <w:r>
              <w:rPr>
                <w:rFonts w:ascii="Arial" w:cs="Arial" w:eastAsia="Arial" w:hAnsi="Arial"/>
                <w:sz w:val="28"/>
                <w:szCs w:val="28"/>
                <w:b w:val="1"/>
                <w:bCs w:val="1"/>
                <w:i w:val="1"/>
                <w:iCs w:val="1"/>
                <w:color w:val="FFFFFF"/>
              </w:rPr>
              <w:t>2009</w:t>
            </w: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3"/>
        </w:trPr>
        <w:tc>
          <w:tcPr>
            <w:tcW w:w="294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28"/>
                <w:szCs w:val="28"/>
                <w:b w:val="1"/>
                <w:bCs w:val="1"/>
                <w:i w:val="1"/>
                <w:iCs w:val="1"/>
                <w:color w:val="FFFFFF"/>
              </w:rPr>
              <w:t>Projected</w:t>
            </w:r>
          </w:p>
        </w:tc>
        <w:tc>
          <w:tcPr>
            <w:tcW w:w="1840" w:type="dxa"/>
            <w:vAlign w:val="bottom"/>
          </w:tcPr>
          <w:p>
            <w:pPr>
              <w:jc w:val="right"/>
              <w:ind w:right="579"/>
              <w:spacing w:after="0"/>
              <w:rPr>
                <w:sz w:val="20"/>
                <w:szCs w:val="20"/>
                <w:color w:val="auto"/>
              </w:rPr>
            </w:pPr>
            <w:r>
              <w:rPr>
                <w:rFonts w:ascii="Arial" w:cs="Arial" w:eastAsia="Arial" w:hAnsi="Arial"/>
                <w:sz w:val="28"/>
                <w:szCs w:val="28"/>
                <w:b w:val="1"/>
                <w:bCs w:val="1"/>
                <w:i w:val="1"/>
                <w:iCs w:val="1"/>
                <w:color w:val="FFFFFF"/>
              </w:rPr>
              <w:t>2008</w:t>
            </w:r>
          </w:p>
        </w:tc>
        <w:tc>
          <w:tcPr>
            <w:tcW w:w="1540" w:type="dxa"/>
            <w:vAlign w:val="bottom"/>
          </w:tcPr>
          <w:p>
            <w:pPr>
              <w:jc w:val="center"/>
              <w:ind w:left="219"/>
              <w:spacing w:after="0"/>
              <w:rPr>
                <w:sz w:val="20"/>
                <w:szCs w:val="20"/>
                <w:color w:val="auto"/>
              </w:rPr>
            </w:pPr>
            <w:r>
              <w:rPr>
                <w:rFonts w:ascii="Arial" w:cs="Arial" w:eastAsia="Arial" w:hAnsi="Arial"/>
                <w:sz w:val="28"/>
                <w:szCs w:val="28"/>
                <w:b w:val="1"/>
                <w:bCs w:val="1"/>
                <w:i w:val="1"/>
                <w:iCs w:val="1"/>
                <w:color w:val="FFFFFF"/>
                <w:w w:val="99"/>
              </w:rPr>
              <w:t>2007</w:t>
            </w:r>
          </w:p>
        </w:tc>
      </w:tr>
      <w:tr>
        <w:trPr>
          <w:trHeight w:val="776"/>
        </w:trPr>
        <w:tc>
          <w:tcPr>
            <w:tcW w:w="2940" w:type="dxa"/>
            <w:vAlign w:val="bottom"/>
          </w:tcPr>
          <w:p>
            <w:pPr>
              <w:jc w:val="center"/>
              <w:ind w:right="399"/>
              <w:spacing w:after="0"/>
              <w:rPr>
                <w:sz w:val="20"/>
                <w:szCs w:val="20"/>
                <w:color w:val="auto"/>
              </w:rPr>
            </w:pPr>
            <w:r>
              <w:rPr>
                <w:rFonts w:ascii="Arial" w:cs="Arial" w:eastAsia="Arial" w:hAnsi="Arial"/>
                <w:sz w:val="28"/>
                <w:szCs w:val="28"/>
                <w:b w:val="1"/>
                <w:bCs w:val="1"/>
                <w:i w:val="1"/>
                <w:iCs w:val="1"/>
                <w:color w:val="FFFFFF"/>
              </w:rPr>
              <w:t>Inventory</w:t>
            </w:r>
          </w:p>
        </w:tc>
        <w:tc>
          <w:tcPr>
            <w:tcW w:w="3040" w:type="dxa"/>
            <w:vAlign w:val="bottom"/>
          </w:tcPr>
          <w:p>
            <w:pPr>
              <w:jc w:val="center"/>
              <w:ind w:left="119"/>
              <w:spacing w:after="0"/>
              <w:rPr>
                <w:sz w:val="20"/>
                <w:szCs w:val="20"/>
                <w:color w:val="auto"/>
              </w:rPr>
            </w:pPr>
            <w:r>
              <w:rPr>
                <w:rFonts w:ascii="Arial" w:cs="Arial" w:eastAsia="Arial" w:hAnsi="Arial"/>
                <w:sz w:val="28"/>
                <w:szCs w:val="28"/>
                <w:color w:val="FFFFFF"/>
              </w:rPr>
              <w:t>$88.6m</w:t>
            </w:r>
          </w:p>
        </w:tc>
        <w:tc>
          <w:tcPr>
            <w:tcW w:w="1840" w:type="dxa"/>
            <w:vAlign w:val="bottom"/>
          </w:tcPr>
          <w:p>
            <w:pPr>
              <w:ind w:left="440"/>
              <w:spacing w:after="0"/>
              <w:rPr>
                <w:sz w:val="20"/>
                <w:szCs w:val="20"/>
                <w:color w:val="auto"/>
              </w:rPr>
            </w:pPr>
            <w:r>
              <w:rPr>
                <w:rFonts w:ascii="Arial" w:cs="Arial" w:eastAsia="Arial" w:hAnsi="Arial"/>
                <w:sz w:val="28"/>
                <w:szCs w:val="28"/>
                <w:color w:val="FFFFFF"/>
              </w:rPr>
              <w:t>$98.6m</w:t>
            </w:r>
          </w:p>
        </w:tc>
        <w:tc>
          <w:tcPr>
            <w:tcW w:w="1540" w:type="dxa"/>
            <w:vAlign w:val="bottom"/>
          </w:tcPr>
          <w:p>
            <w:pPr>
              <w:ind w:left="440"/>
              <w:spacing w:after="0"/>
              <w:rPr>
                <w:sz w:val="20"/>
                <w:szCs w:val="20"/>
                <w:color w:val="auto"/>
              </w:rPr>
            </w:pPr>
            <w:r>
              <w:rPr>
                <w:rFonts w:ascii="Arial" w:cs="Arial" w:eastAsia="Arial" w:hAnsi="Arial"/>
                <w:sz w:val="28"/>
                <w:szCs w:val="28"/>
                <w:color w:val="FFFFFF"/>
                <w:w w:val="99"/>
              </w:rPr>
              <w:t>$117.8m</w:t>
            </w:r>
          </w:p>
        </w:tc>
      </w:tr>
      <w:tr>
        <w:trPr>
          <w:trHeight w:val="379"/>
        </w:trPr>
        <w:tc>
          <w:tcPr>
            <w:tcW w:w="2940" w:type="dxa"/>
            <w:vAlign w:val="bottom"/>
          </w:tcPr>
          <w:p>
            <w:pPr>
              <w:spacing w:after="0"/>
              <w:rPr>
                <w:sz w:val="20"/>
                <w:szCs w:val="20"/>
                <w:color w:val="auto"/>
              </w:rPr>
            </w:pPr>
            <w:r>
              <w:rPr>
                <w:rFonts w:ascii="Arial" w:cs="Arial" w:eastAsia="Arial" w:hAnsi="Arial"/>
                <w:sz w:val="28"/>
                <w:szCs w:val="28"/>
                <w:b w:val="1"/>
                <w:bCs w:val="1"/>
                <w:i w:val="1"/>
                <w:iCs w:val="1"/>
                <w:color w:val="FFFFFF"/>
              </w:rPr>
              <w:t>Borrowing Under</w:t>
            </w:r>
          </w:p>
        </w:tc>
        <w:tc>
          <w:tcPr>
            <w:tcW w:w="3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9"/>
        </w:trPr>
        <w:tc>
          <w:tcPr>
            <w:tcW w:w="2940" w:type="dxa"/>
            <w:vAlign w:val="bottom"/>
          </w:tcPr>
          <w:p>
            <w:pPr>
              <w:ind w:left="660"/>
              <w:spacing w:after="0"/>
              <w:rPr>
                <w:sz w:val="20"/>
                <w:szCs w:val="20"/>
                <w:color w:val="auto"/>
              </w:rPr>
            </w:pPr>
            <w:r>
              <w:rPr>
                <w:rFonts w:ascii="Arial" w:cs="Arial" w:eastAsia="Arial" w:hAnsi="Arial"/>
                <w:sz w:val="28"/>
                <w:szCs w:val="28"/>
                <w:b w:val="1"/>
                <w:bCs w:val="1"/>
                <w:i w:val="1"/>
                <w:iCs w:val="1"/>
                <w:color w:val="FFFFFF"/>
              </w:rPr>
              <w:t>Revolver</w:t>
            </w:r>
          </w:p>
        </w:tc>
        <w:tc>
          <w:tcPr>
            <w:tcW w:w="3040" w:type="dxa"/>
            <w:vAlign w:val="bottom"/>
          </w:tcPr>
          <w:p>
            <w:pPr>
              <w:jc w:val="center"/>
              <w:ind w:left="139"/>
              <w:spacing w:after="0"/>
              <w:rPr>
                <w:sz w:val="20"/>
                <w:szCs w:val="20"/>
                <w:color w:val="auto"/>
              </w:rPr>
            </w:pPr>
            <w:r>
              <w:rPr>
                <w:rFonts w:ascii="Arial" w:cs="Arial" w:eastAsia="Arial" w:hAnsi="Arial"/>
                <w:sz w:val="28"/>
                <w:szCs w:val="28"/>
                <w:color w:val="FFFFFF"/>
              </w:rPr>
              <w:t>$7.5m – $10.0m</w:t>
            </w:r>
          </w:p>
        </w:tc>
        <w:tc>
          <w:tcPr>
            <w:tcW w:w="1840" w:type="dxa"/>
            <w:vAlign w:val="bottom"/>
          </w:tcPr>
          <w:p>
            <w:pPr>
              <w:ind w:left="440"/>
              <w:spacing w:after="0"/>
              <w:rPr>
                <w:sz w:val="20"/>
                <w:szCs w:val="20"/>
                <w:color w:val="auto"/>
              </w:rPr>
            </w:pPr>
            <w:r>
              <w:rPr>
                <w:rFonts w:ascii="Arial" w:cs="Arial" w:eastAsia="Arial" w:hAnsi="Arial"/>
                <w:sz w:val="28"/>
                <w:szCs w:val="28"/>
                <w:color w:val="FFFFFF"/>
              </w:rPr>
              <w:t>$38.7m</w:t>
            </w:r>
          </w:p>
        </w:tc>
        <w:tc>
          <w:tcPr>
            <w:tcW w:w="1540" w:type="dxa"/>
            <w:vAlign w:val="bottom"/>
          </w:tcPr>
          <w:p>
            <w:pPr>
              <w:jc w:val="center"/>
              <w:ind w:left="259"/>
              <w:spacing w:after="0"/>
              <w:rPr>
                <w:sz w:val="20"/>
                <w:szCs w:val="20"/>
                <w:color w:val="auto"/>
              </w:rPr>
            </w:pPr>
            <w:r>
              <w:rPr>
                <w:rFonts w:ascii="Arial" w:cs="Arial" w:eastAsia="Arial" w:hAnsi="Arial"/>
                <w:sz w:val="28"/>
                <w:szCs w:val="28"/>
                <w:color w:val="FFFFFF"/>
              </w:rPr>
              <w:t>$41.0m</w:t>
            </w:r>
          </w:p>
        </w:tc>
      </w:tr>
      <w:tr>
        <w:trPr>
          <w:trHeight w:val="576"/>
        </w:trPr>
        <w:tc>
          <w:tcPr>
            <w:tcW w:w="2940" w:type="dxa"/>
            <w:vAlign w:val="bottom"/>
          </w:tcPr>
          <w:p>
            <w:pPr>
              <w:jc w:val="center"/>
              <w:ind w:right="459"/>
              <w:spacing w:after="0"/>
              <w:rPr>
                <w:sz w:val="20"/>
                <w:szCs w:val="20"/>
                <w:color w:val="auto"/>
              </w:rPr>
            </w:pPr>
            <w:r>
              <w:rPr>
                <w:rFonts w:ascii="Arial" w:cs="Arial" w:eastAsia="Arial" w:hAnsi="Arial"/>
                <w:sz w:val="28"/>
                <w:szCs w:val="28"/>
                <w:b w:val="1"/>
                <w:bCs w:val="1"/>
                <w:i w:val="1"/>
                <w:iCs w:val="1"/>
                <w:color w:val="FFFFFF"/>
              </w:rPr>
              <w:t>Fixed Term Loan</w:t>
            </w:r>
          </w:p>
        </w:tc>
        <w:tc>
          <w:tcPr>
            <w:tcW w:w="3040" w:type="dxa"/>
            <w:vAlign w:val="bottom"/>
          </w:tcPr>
          <w:p>
            <w:pPr>
              <w:jc w:val="center"/>
              <w:ind w:left="139"/>
              <w:spacing w:after="0"/>
              <w:rPr>
                <w:sz w:val="20"/>
                <w:szCs w:val="20"/>
                <w:color w:val="auto"/>
              </w:rPr>
            </w:pPr>
            <w:r>
              <w:rPr>
                <w:rFonts w:ascii="Arial" w:cs="Arial" w:eastAsia="Arial" w:hAnsi="Arial"/>
                <w:sz w:val="28"/>
                <w:szCs w:val="28"/>
                <w:color w:val="FFFFFF"/>
              </w:rPr>
              <w:t>$7.0 - $8.0m</w:t>
            </w:r>
          </w:p>
        </w:tc>
        <w:tc>
          <w:tcPr>
            <w:tcW w:w="1840" w:type="dxa"/>
            <w:vAlign w:val="bottom"/>
          </w:tcPr>
          <w:p>
            <w:pPr>
              <w:jc w:val="center"/>
              <w:ind w:right="39"/>
              <w:spacing w:after="0"/>
              <w:rPr>
                <w:sz w:val="20"/>
                <w:szCs w:val="20"/>
                <w:color w:val="auto"/>
              </w:rPr>
            </w:pPr>
            <w:r>
              <w:rPr>
                <w:rFonts w:ascii="Arial" w:cs="Arial" w:eastAsia="Arial" w:hAnsi="Arial"/>
                <w:sz w:val="28"/>
                <w:szCs w:val="28"/>
                <w:color w:val="FFFFFF"/>
              </w:rPr>
              <w:t>$12.5m</w:t>
            </w:r>
          </w:p>
        </w:tc>
        <w:tc>
          <w:tcPr>
            <w:tcW w:w="1540" w:type="dxa"/>
            <w:vAlign w:val="bottom"/>
          </w:tcPr>
          <w:p>
            <w:pPr>
              <w:jc w:val="center"/>
              <w:ind w:left="259"/>
              <w:spacing w:after="0"/>
              <w:rPr>
                <w:sz w:val="20"/>
                <w:szCs w:val="20"/>
                <w:color w:val="auto"/>
              </w:rPr>
            </w:pPr>
            <w:r>
              <w:rPr>
                <w:rFonts w:ascii="Arial" w:cs="Arial" w:eastAsia="Arial" w:hAnsi="Arial"/>
                <w:sz w:val="28"/>
                <w:szCs w:val="28"/>
                <w:color w:val="FFFFFF"/>
              </w:rPr>
              <w:t>$17.3m</w:t>
            </w:r>
          </w:p>
        </w:tc>
      </w:tr>
    </w:tbl>
    <w:p>
      <w:pPr>
        <w:spacing w:after="0" w:line="200" w:lineRule="exact"/>
        <w:rPr>
          <w:sz w:val="20"/>
          <w:szCs w:val="20"/>
          <w:color w:val="auto"/>
        </w:rPr>
      </w:pPr>
    </w:p>
    <w:p>
      <w:pPr>
        <w:spacing w:after="0" w:line="378" w:lineRule="exact"/>
        <w:rPr>
          <w:sz w:val="20"/>
          <w:szCs w:val="20"/>
          <w:color w:val="auto"/>
        </w:rPr>
      </w:pPr>
    </w:p>
    <w:p>
      <w:pPr>
        <w:ind w:right="2360" w:firstLine="5"/>
        <w:spacing w:after="0" w:line="267" w:lineRule="auto"/>
        <w:tabs>
          <w:tab w:leader="none" w:pos="317" w:val="left"/>
        </w:tabs>
        <w:numPr>
          <w:ilvl w:val="0"/>
          <w:numId w:val="7"/>
        </w:numPr>
        <w:rPr>
          <w:rFonts w:ascii="Arial" w:cs="Arial" w:eastAsia="Arial" w:hAnsi="Arial"/>
          <w:sz w:val="28"/>
          <w:szCs w:val="28"/>
          <w:color w:val="FFFFFF"/>
        </w:rPr>
      </w:pPr>
      <w:r>
        <w:rPr>
          <w:rFonts w:ascii="Arial" w:cs="Arial" w:eastAsia="Arial" w:hAnsi="Arial"/>
          <w:sz w:val="28"/>
          <w:szCs w:val="28"/>
          <w:color w:val="FFFFFF"/>
        </w:rPr>
        <w:t>Projected Borrowing Under Revolver includes the impact from the September 2009 sale of stock from a shelf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6</w:t>
      </w:r>
    </w:p>
    <w:p>
      <w:pPr>
        <w:sectPr>
          <w:pgSz w:w="11900" w:h="16838" w:orient="portrait"/>
          <w:cols w:equalWidth="0" w:num="1">
            <w:col w:w="10400"/>
          </w:cols>
          <w:pgMar w:left="1040" w:top="891" w:right="459" w:bottom="1440" w:gutter="0" w:footer="0" w:header="0"/>
        </w:sectPr>
      </w:pPr>
    </w:p>
    <w:bookmarkStart w:id="9" w:name="page10"/>
    <w:bookmarkEnd w:id="9"/>
    <w:p>
      <w:pPr>
        <w:ind w:left="42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Selected Income Statement Information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3000" w:type="dxa"/>
            <w:vAlign w:val="bottom"/>
          </w:tcPr>
          <w:p>
            <w:pPr>
              <w:spacing w:after="0"/>
              <w:rPr>
                <w:sz w:val="24"/>
                <w:szCs w:val="24"/>
                <w:color w:val="auto"/>
              </w:rPr>
            </w:pPr>
          </w:p>
        </w:tc>
        <w:tc>
          <w:tcPr>
            <w:tcW w:w="3300" w:type="dxa"/>
            <w:vAlign w:val="bottom"/>
            <w:gridSpan w:val="2"/>
          </w:tcPr>
          <w:p>
            <w:pPr>
              <w:jc w:val="center"/>
              <w:ind w:right="79"/>
              <w:spacing w:after="0"/>
              <w:rPr>
                <w:sz w:val="20"/>
                <w:szCs w:val="20"/>
                <w:color w:val="auto"/>
              </w:rPr>
            </w:pPr>
            <w:r>
              <w:rPr>
                <w:rFonts w:ascii="Arial" w:cs="Arial" w:eastAsia="Arial" w:hAnsi="Arial"/>
                <w:sz w:val="28"/>
                <w:szCs w:val="28"/>
                <w:b w:val="1"/>
                <w:bCs w:val="1"/>
                <w:i w:val="1"/>
                <w:iCs w:val="1"/>
                <w:color w:val="FFFFFF"/>
              </w:rPr>
              <w:t>2009 Projected</w:t>
            </w:r>
          </w:p>
        </w:tc>
        <w:tc>
          <w:tcPr>
            <w:tcW w:w="2120" w:type="dxa"/>
            <w:vAlign w:val="bottom"/>
          </w:tcPr>
          <w:p>
            <w:pPr>
              <w:jc w:val="center"/>
              <w:spacing w:after="0"/>
              <w:rPr>
                <w:sz w:val="20"/>
                <w:szCs w:val="20"/>
                <w:color w:val="auto"/>
              </w:rPr>
            </w:pPr>
            <w:r>
              <w:rPr>
                <w:rFonts w:ascii="Arial" w:cs="Arial" w:eastAsia="Arial" w:hAnsi="Arial"/>
                <w:sz w:val="28"/>
                <w:szCs w:val="28"/>
                <w:b w:val="1"/>
                <w:bCs w:val="1"/>
                <w:i w:val="1"/>
                <w:iCs w:val="1"/>
                <w:color w:val="FFFFFF"/>
              </w:rPr>
              <w:t>2008</w:t>
            </w:r>
          </w:p>
        </w:tc>
        <w:tc>
          <w:tcPr>
            <w:tcW w:w="1680" w:type="dxa"/>
            <w:vAlign w:val="bottom"/>
          </w:tcPr>
          <w:p>
            <w:pPr>
              <w:jc w:val="center"/>
              <w:ind w:left="439"/>
              <w:spacing w:after="0"/>
              <w:rPr>
                <w:sz w:val="20"/>
                <w:szCs w:val="20"/>
                <w:color w:val="auto"/>
              </w:rPr>
            </w:pPr>
            <w:r>
              <w:rPr>
                <w:rFonts w:ascii="Arial" w:cs="Arial" w:eastAsia="Arial" w:hAnsi="Arial"/>
                <w:sz w:val="28"/>
                <w:szCs w:val="28"/>
                <w:b w:val="1"/>
                <w:bCs w:val="1"/>
                <w:i w:val="1"/>
                <w:iCs w:val="1"/>
                <w:color w:val="FFFFFF"/>
                <w:w w:val="99"/>
              </w:rPr>
              <w:t>2007</w:t>
            </w:r>
          </w:p>
        </w:tc>
      </w:tr>
      <w:tr>
        <w:trPr>
          <w:trHeight w:val="600"/>
        </w:trPr>
        <w:tc>
          <w:tcPr>
            <w:tcW w:w="3000" w:type="dxa"/>
            <w:vAlign w:val="bottom"/>
          </w:tcPr>
          <w:p>
            <w:pPr>
              <w:ind w:left="1100"/>
              <w:spacing w:after="0"/>
              <w:rPr>
                <w:sz w:val="20"/>
                <w:szCs w:val="20"/>
                <w:color w:val="auto"/>
              </w:rPr>
            </w:pPr>
            <w:r>
              <w:rPr>
                <w:rFonts w:ascii="Arial" w:cs="Arial" w:eastAsia="Arial" w:hAnsi="Arial"/>
                <w:sz w:val="28"/>
                <w:szCs w:val="28"/>
                <w:b w:val="1"/>
                <w:bCs w:val="1"/>
                <w:i w:val="1"/>
                <w:iCs w:val="1"/>
                <w:color w:val="FFFFFF"/>
              </w:rPr>
              <w:t>Sales</w:t>
            </w:r>
          </w:p>
        </w:tc>
        <w:tc>
          <w:tcPr>
            <w:tcW w:w="3300" w:type="dxa"/>
            <w:vAlign w:val="bottom"/>
            <w:gridSpan w:val="2"/>
          </w:tcPr>
          <w:p>
            <w:pPr>
              <w:jc w:val="center"/>
              <w:ind w:right="99"/>
              <w:spacing w:after="0"/>
              <w:rPr>
                <w:sz w:val="20"/>
                <w:szCs w:val="20"/>
                <w:color w:val="auto"/>
              </w:rPr>
            </w:pPr>
            <w:r>
              <w:rPr>
                <w:rFonts w:ascii="Arial" w:cs="Arial" w:eastAsia="Arial" w:hAnsi="Arial"/>
                <w:sz w:val="28"/>
                <w:szCs w:val="28"/>
                <w:color w:val="FFFFFF"/>
              </w:rPr>
              <w:t>-10.0% to -12.0%</w:t>
            </w:r>
          </w:p>
        </w:tc>
        <w:tc>
          <w:tcPr>
            <w:tcW w:w="2120" w:type="dxa"/>
            <w:vAlign w:val="bottom"/>
          </w:tcPr>
          <w:p>
            <w:pPr>
              <w:jc w:val="center"/>
              <w:spacing w:after="0"/>
              <w:rPr>
                <w:sz w:val="20"/>
                <w:szCs w:val="20"/>
                <w:color w:val="auto"/>
              </w:rPr>
            </w:pPr>
            <w:r>
              <w:rPr>
                <w:rFonts w:ascii="Arial" w:cs="Arial" w:eastAsia="Arial" w:hAnsi="Arial"/>
                <w:sz w:val="28"/>
                <w:szCs w:val="28"/>
                <w:color w:val="FFFFFF"/>
              </w:rPr>
              <w:t>$444.2m</w:t>
            </w:r>
          </w:p>
        </w:tc>
        <w:tc>
          <w:tcPr>
            <w:tcW w:w="1680" w:type="dxa"/>
            <w:vAlign w:val="bottom"/>
          </w:tcPr>
          <w:p>
            <w:pPr>
              <w:jc w:val="center"/>
              <w:ind w:left="439"/>
              <w:spacing w:after="0"/>
              <w:rPr>
                <w:sz w:val="20"/>
                <w:szCs w:val="20"/>
                <w:color w:val="auto"/>
              </w:rPr>
            </w:pPr>
            <w:r>
              <w:rPr>
                <w:rFonts w:ascii="Arial" w:cs="Arial" w:eastAsia="Arial" w:hAnsi="Arial"/>
                <w:sz w:val="28"/>
                <w:szCs w:val="28"/>
                <w:color w:val="FFFFFF"/>
              </w:rPr>
              <w:t>$464.1m</w:t>
            </w:r>
          </w:p>
        </w:tc>
      </w:tr>
      <w:tr>
        <w:trPr>
          <w:trHeight w:val="600"/>
        </w:trPr>
        <w:tc>
          <w:tcPr>
            <w:tcW w:w="3000" w:type="dxa"/>
            <w:vAlign w:val="bottom"/>
          </w:tcPr>
          <w:p>
            <w:pPr>
              <w:ind w:left="1060"/>
              <w:spacing w:after="0"/>
              <w:rPr>
                <w:sz w:val="20"/>
                <w:szCs w:val="20"/>
                <w:color w:val="auto"/>
              </w:rPr>
            </w:pPr>
            <w:r>
              <w:rPr>
                <w:rFonts w:ascii="Arial" w:cs="Arial" w:eastAsia="Arial" w:hAnsi="Arial"/>
                <w:sz w:val="28"/>
                <w:szCs w:val="28"/>
                <w:b w:val="1"/>
                <w:bCs w:val="1"/>
                <w:i w:val="1"/>
                <w:iCs w:val="1"/>
                <w:color w:val="FFFFFF"/>
              </w:rPr>
              <w:t>SG&amp;A</w:t>
            </w:r>
          </w:p>
        </w:tc>
        <w:tc>
          <w:tcPr>
            <w:tcW w:w="3300" w:type="dxa"/>
            <w:vAlign w:val="bottom"/>
            <w:gridSpan w:val="2"/>
          </w:tcPr>
          <w:p>
            <w:pPr>
              <w:jc w:val="center"/>
              <w:spacing w:after="0"/>
              <w:rPr>
                <w:sz w:val="20"/>
                <w:szCs w:val="20"/>
                <w:color w:val="auto"/>
              </w:rPr>
            </w:pPr>
            <w:r>
              <w:rPr>
                <w:rFonts w:ascii="Arial" w:cs="Arial" w:eastAsia="Arial" w:hAnsi="Arial"/>
                <w:sz w:val="28"/>
                <w:szCs w:val="28"/>
                <w:color w:val="FFFFFF"/>
              </w:rPr>
              <w:t>$151.0m</w:t>
            </w:r>
          </w:p>
        </w:tc>
        <w:tc>
          <w:tcPr>
            <w:tcW w:w="2120" w:type="dxa"/>
            <w:vAlign w:val="bottom"/>
          </w:tcPr>
          <w:p>
            <w:pPr>
              <w:jc w:val="center"/>
              <w:spacing w:after="0"/>
              <w:rPr>
                <w:sz w:val="20"/>
                <w:szCs w:val="20"/>
                <w:color w:val="auto"/>
              </w:rPr>
            </w:pPr>
            <w:r>
              <w:rPr>
                <w:rFonts w:ascii="Arial" w:cs="Arial" w:eastAsia="Arial" w:hAnsi="Arial"/>
                <w:sz w:val="28"/>
                <w:szCs w:val="28"/>
                <w:color w:val="FFFFFF"/>
              </w:rPr>
              <w:t>$178.1m</w:t>
            </w:r>
          </w:p>
        </w:tc>
        <w:tc>
          <w:tcPr>
            <w:tcW w:w="1680" w:type="dxa"/>
            <w:vAlign w:val="bottom"/>
          </w:tcPr>
          <w:p>
            <w:pPr>
              <w:jc w:val="center"/>
              <w:ind w:left="439"/>
              <w:spacing w:after="0"/>
              <w:rPr>
                <w:sz w:val="20"/>
                <w:szCs w:val="20"/>
                <w:color w:val="auto"/>
              </w:rPr>
            </w:pPr>
            <w:r>
              <w:rPr>
                <w:rFonts w:ascii="Arial" w:cs="Arial" w:eastAsia="Arial" w:hAnsi="Arial"/>
                <w:sz w:val="28"/>
                <w:szCs w:val="28"/>
                <w:color w:val="FFFFFF"/>
              </w:rPr>
              <w:t>$178.1m</w:t>
            </w:r>
          </w:p>
        </w:tc>
      </w:tr>
      <w:tr>
        <w:trPr>
          <w:trHeight w:val="600"/>
        </w:trPr>
        <w:tc>
          <w:tcPr>
            <w:tcW w:w="3000" w:type="dxa"/>
            <w:vAlign w:val="bottom"/>
          </w:tcPr>
          <w:p>
            <w:pPr>
              <w:jc w:val="center"/>
              <w:ind w:right="79"/>
              <w:spacing w:after="0"/>
              <w:rPr>
                <w:sz w:val="20"/>
                <w:szCs w:val="20"/>
                <w:color w:val="auto"/>
              </w:rPr>
            </w:pPr>
            <w:r>
              <w:rPr>
                <w:rFonts w:ascii="Arial" w:cs="Arial" w:eastAsia="Arial" w:hAnsi="Arial"/>
                <w:sz w:val="28"/>
                <w:szCs w:val="28"/>
                <w:b w:val="1"/>
                <w:bCs w:val="1"/>
                <w:i w:val="1"/>
                <w:iCs w:val="1"/>
                <w:color w:val="FFFFFF"/>
              </w:rPr>
              <w:t>Gross Margin</w:t>
            </w:r>
          </w:p>
        </w:tc>
        <w:tc>
          <w:tcPr>
            <w:tcW w:w="1780" w:type="dxa"/>
            <w:vAlign w:val="bottom"/>
          </w:tcPr>
          <w:p>
            <w:pPr>
              <w:jc w:val="right"/>
              <w:spacing w:after="0"/>
              <w:rPr>
                <w:sz w:val="20"/>
                <w:szCs w:val="20"/>
                <w:color w:val="auto"/>
              </w:rPr>
            </w:pPr>
            <w:r>
              <w:rPr>
                <w:rFonts w:ascii="Arial" w:cs="Arial" w:eastAsia="Arial" w:hAnsi="Arial"/>
                <w:sz w:val="28"/>
                <w:szCs w:val="28"/>
                <w:color w:val="FFFFFF"/>
              </w:rPr>
              <w:t>43.7% –</w:t>
            </w:r>
          </w:p>
        </w:tc>
        <w:tc>
          <w:tcPr>
            <w:tcW w:w="1520" w:type="dxa"/>
            <w:vAlign w:val="bottom"/>
          </w:tcPr>
          <w:p>
            <w:pPr>
              <w:ind w:left="160"/>
              <w:spacing w:after="0"/>
              <w:rPr>
                <w:sz w:val="20"/>
                <w:szCs w:val="20"/>
                <w:color w:val="auto"/>
              </w:rPr>
            </w:pPr>
            <w:r>
              <w:rPr>
                <w:rFonts w:ascii="Arial" w:cs="Arial" w:eastAsia="Arial" w:hAnsi="Arial"/>
                <w:sz w:val="28"/>
                <w:szCs w:val="28"/>
                <w:color w:val="FFFFFF"/>
              </w:rPr>
              <w:t>44.2%</w:t>
            </w:r>
          </w:p>
        </w:tc>
        <w:tc>
          <w:tcPr>
            <w:tcW w:w="2120" w:type="dxa"/>
            <w:vAlign w:val="bottom"/>
          </w:tcPr>
          <w:p>
            <w:pPr>
              <w:jc w:val="right"/>
              <w:ind w:right="559"/>
              <w:spacing w:after="0"/>
              <w:rPr>
                <w:sz w:val="20"/>
                <w:szCs w:val="20"/>
                <w:color w:val="auto"/>
              </w:rPr>
            </w:pPr>
            <w:r>
              <w:rPr>
                <w:rFonts w:ascii="Arial" w:cs="Arial" w:eastAsia="Arial" w:hAnsi="Arial"/>
                <w:sz w:val="28"/>
                <w:szCs w:val="28"/>
                <w:color w:val="FFFFFF"/>
              </w:rPr>
              <w:t>42.7%</w:t>
            </w:r>
          </w:p>
        </w:tc>
        <w:tc>
          <w:tcPr>
            <w:tcW w:w="1680" w:type="dxa"/>
            <w:vAlign w:val="bottom"/>
          </w:tcPr>
          <w:p>
            <w:pPr>
              <w:ind w:left="700"/>
              <w:spacing w:after="0"/>
              <w:rPr>
                <w:sz w:val="20"/>
                <w:szCs w:val="20"/>
                <w:color w:val="auto"/>
              </w:rPr>
            </w:pPr>
            <w:r>
              <w:rPr>
                <w:rFonts w:ascii="Arial" w:cs="Arial" w:eastAsia="Arial" w:hAnsi="Arial"/>
                <w:sz w:val="28"/>
                <w:szCs w:val="28"/>
                <w:color w:val="FFFFFF"/>
              </w:rPr>
              <w:t>44.4%</w:t>
            </w:r>
          </w:p>
        </w:tc>
      </w:tr>
      <w:tr>
        <w:trPr>
          <w:trHeight w:val="588"/>
        </w:trPr>
        <w:tc>
          <w:tcPr>
            <w:tcW w:w="3000" w:type="dxa"/>
            <w:vAlign w:val="bottom"/>
          </w:tcPr>
          <w:p>
            <w:pPr>
              <w:jc w:val="center"/>
              <w:ind w:right="279"/>
              <w:spacing w:after="0"/>
              <w:rPr>
                <w:sz w:val="20"/>
                <w:szCs w:val="20"/>
                <w:color w:val="auto"/>
              </w:rPr>
            </w:pPr>
            <w:r>
              <w:rPr>
                <w:rFonts w:ascii="Arial" w:cs="Arial" w:eastAsia="Arial" w:hAnsi="Arial"/>
                <w:sz w:val="28"/>
                <w:szCs w:val="28"/>
                <w:b w:val="1"/>
                <w:bCs w:val="1"/>
                <w:i w:val="1"/>
                <w:iCs w:val="1"/>
                <w:color w:val="FFFFFF"/>
              </w:rPr>
              <w:t>Marketing Expense</w:t>
            </w:r>
          </w:p>
        </w:tc>
        <w:tc>
          <w:tcPr>
            <w:tcW w:w="3300" w:type="dxa"/>
            <w:vAlign w:val="bottom"/>
            <w:gridSpan w:val="2"/>
          </w:tcPr>
          <w:p>
            <w:pPr>
              <w:jc w:val="center"/>
              <w:spacing w:after="0"/>
              <w:rPr>
                <w:sz w:val="20"/>
                <w:szCs w:val="20"/>
                <w:color w:val="auto"/>
              </w:rPr>
            </w:pPr>
            <w:r>
              <w:rPr>
                <w:rFonts w:ascii="Arial" w:cs="Arial" w:eastAsia="Arial" w:hAnsi="Arial"/>
                <w:sz w:val="28"/>
                <w:szCs w:val="28"/>
                <w:color w:val="FFFFFF"/>
              </w:rPr>
              <w:t>$20.0m</w:t>
            </w:r>
          </w:p>
        </w:tc>
        <w:tc>
          <w:tcPr>
            <w:tcW w:w="2120" w:type="dxa"/>
            <w:vAlign w:val="bottom"/>
          </w:tcPr>
          <w:p>
            <w:pPr>
              <w:jc w:val="center"/>
              <w:spacing w:after="0"/>
              <w:rPr>
                <w:sz w:val="20"/>
                <w:szCs w:val="20"/>
                <w:color w:val="auto"/>
              </w:rPr>
            </w:pPr>
            <w:r>
              <w:rPr>
                <w:rFonts w:ascii="Arial" w:cs="Arial" w:eastAsia="Arial" w:hAnsi="Arial"/>
                <w:sz w:val="28"/>
                <w:szCs w:val="28"/>
                <w:color w:val="FFFFFF"/>
              </w:rPr>
              <w:t>$34.1m</w:t>
            </w:r>
          </w:p>
        </w:tc>
        <w:tc>
          <w:tcPr>
            <w:tcW w:w="1680" w:type="dxa"/>
            <w:vAlign w:val="bottom"/>
          </w:tcPr>
          <w:p>
            <w:pPr>
              <w:jc w:val="center"/>
              <w:ind w:left="479"/>
              <w:spacing w:after="0"/>
              <w:rPr>
                <w:sz w:val="20"/>
                <w:szCs w:val="20"/>
                <w:color w:val="auto"/>
              </w:rPr>
            </w:pPr>
            <w:r>
              <w:rPr>
                <w:rFonts w:ascii="Arial" w:cs="Arial" w:eastAsia="Arial" w:hAnsi="Arial"/>
                <w:sz w:val="28"/>
                <w:szCs w:val="28"/>
                <w:color w:val="FFFFFF"/>
              </w:rPr>
              <w:t>$33.9m</w:t>
            </w:r>
          </w:p>
        </w:tc>
      </w:tr>
      <w:tr>
        <w:trPr>
          <w:trHeight w:val="600"/>
        </w:trPr>
        <w:tc>
          <w:tcPr>
            <w:tcW w:w="3000" w:type="dxa"/>
            <w:vAlign w:val="bottom"/>
          </w:tcPr>
          <w:p>
            <w:pPr>
              <w:jc w:val="center"/>
              <w:ind w:right="279"/>
              <w:spacing w:after="0"/>
              <w:rPr>
                <w:sz w:val="20"/>
                <w:szCs w:val="20"/>
                <w:color w:val="auto"/>
              </w:rPr>
            </w:pPr>
            <w:r>
              <w:rPr>
                <w:rFonts w:ascii="Arial" w:cs="Arial" w:eastAsia="Arial" w:hAnsi="Arial"/>
                <w:sz w:val="28"/>
                <w:szCs w:val="28"/>
                <w:b w:val="1"/>
                <w:bCs w:val="1"/>
                <w:i w:val="1"/>
                <w:iCs w:val="1"/>
                <w:color w:val="FFFFFF"/>
              </w:rPr>
              <w:t>Interest Expense</w:t>
            </w:r>
          </w:p>
        </w:tc>
        <w:tc>
          <w:tcPr>
            <w:tcW w:w="3300" w:type="dxa"/>
            <w:vAlign w:val="bottom"/>
            <w:gridSpan w:val="2"/>
          </w:tcPr>
          <w:p>
            <w:pPr>
              <w:jc w:val="center"/>
              <w:spacing w:after="0"/>
              <w:rPr>
                <w:sz w:val="20"/>
                <w:szCs w:val="20"/>
                <w:color w:val="auto"/>
              </w:rPr>
            </w:pPr>
            <w:r>
              <w:rPr>
                <w:rFonts w:ascii="Arial" w:cs="Arial" w:eastAsia="Arial" w:hAnsi="Arial"/>
                <w:sz w:val="28"/>
                <w:szCs w:val="28"/>
                <w:color w:val="FFFFFF"/>
              </w:rPr>
              <w:t>$1.0m</w:t>
            </w:r>
          </w:p>
        </w:tc>
        <w:tc>
          <w:tcPr>
            <w:tcW w:w="2120" w:type="dxa"/>
            <w:vAlign w:val="bottom"/>
          </w:tcPr>
          <w:p>
            <w:pPr>
              <w:ind w:left="640"/>
              <w:spacing w:after="0"/>
              <w:rPr>
                <w:sz w:val="20"/>
                <w:szCs w:val="20"/>
                <w:color w:val="auto"/>
              </w:rPr>
            </w:pPr>
            <w:r>
              <w:rPr>
                <w:rFonts w:ascii="Arial" w:cs="Arial" w:eastAsia="Arial" w:hAnsi="Arial"/>
                <w:sz w:val="28"/>
                <w:szCs w:val="28"/>
                <w:color w:val="FFFFFF"/>
              </w:rPr>
              <w:t>$3.0m</w:t>
            </w:r>
          </w:p>
        </w:tc>
        <w:tc>
          <w:tcPr>
            <w:tcW w:w="1680" w:type="dxa"/>
            <w:vAlign w:val="bottom"/>
          </w:tcPr>
          <w:p>
            <w:pPr>
              <w:jc w:val="center"/>
              <w:ind w:left="519"/>
              <w:spacing w:after="0"/>
              <w:rPr>
                <w:sz w:val="20"/>
                <w:szCs w:val="20"/>
                <w:color w:val="auto"/>
              </w:rPr>
            </w:pPr>
            <w:r>
              <w:rPr>
                <w:rFonts w:ascii="Arial" w:cs="Arial" w:eastAsia="Arial" w:hAnsi="Arial"/>
                <w:sz w:val="28"/>
                <w:szCs w:val="28"/>
                <w:color w:val="FFFFFF"/>
              </w:rPr>
              <w:t>$4.3m</w:t>
            </w:r>
          </w:p>
        </w:tc>
      </w:tr>
      <w:tr>
        <w:trPr>
          <w:trHeight w:val="600"/>
        </w:trPr>
        <w:tc>
          <w:tcPr>
            <w:tcW w:w="3000" w:type="dxa"/>
            <w:vAlign w:val="bottom"/>
          </w:tcPr>
          <w:p>
            <w:pPr>
              <w:jc w:val="center"/>
              <w:ind w:right="159"/>
              <w:spacing w:after="0"/>
              <w:rPr>
                <w:sz w:val="20"/>
                <w:szCs w:val="20"/>
                <w:color w:val="auto"/>
              </w:rPr>
            </w:pPr>
            <w:r>
              <w:rPr>
                <w:rFonts w:ascii="Arial" w:cs="Arial" w:eastAsia="Arial" w:hAnsi="Arial"/>
                <w:sz w:val="28"/>
                <w:szCs w:val="28"/>
                <w:b w:val="1"/>
                <w:bCs w:val="1"/>
                <w:i w:val="1"/>
                <w:iCs w:val="1"/>
                <w:color w:val="FFFFFF"/>
              </w:rPr>
              <w:t>Free Cash Flow</w:t>
            </w:r>
          </w:p>
        </w:tc>
        <w:tc>
          <w:tcPr>
            <w:tcW w:w="1780" w:type="dxa"/>
            <w:vAlign w:val="bottom"/>
          </w:tcPr>
          <w:p>
            <w:pPr>
              <w:jc w:val="right"/>
              <w:ind w:right="19"/>
              <w:spacing w:after="0"/>
              <w:rPr>
                <w:sz w:val="20"/>
                <w:szCs w:val="20"/>
                <w:color w:val="auto"/>
              </w:rPr>
            </w:pPr>
            <w:r>
              <w:rPr>
                <w:rFonts w:ascii="Arial" w:cs="Arial" w:eastAsia="Arial" w:hAnsi="Arial"/>
                <w:sz w:val="28"/>
                <w:szCs w:val="28"/>
                <w:color w:val="FFFFFF"/>
              </w:rPr>
              <w:t>$20.0m -</w:t>
            </w:r>
          </w:p>
        </w:tc>
        <w:tc>
          <w:tcPr>
            <w:tcW w:w="1520" w:type="dxa"/>
            <w:vAlign w:val="bottom"/>
          </w:tcPr>
          <w:p>
            <w:pPr>
              <w:ind w:left="140"/>
              <w:spacing w:after="0"/>
              <w:rPr>
                <w:sz w:val="20"/>
                <w:szCs w:val="20"/>
                <w:color w:val="auto"/>
              </w:rPr>
            </w:pPr>
            <w:r>
              <w:rPr>
                <w:rFonts w:ascii="Arial" w:cs="Arial" w:eastAsia="Arial" w:hAnsi="Arial"/>
                <w:sz w:val="28"/>
                <w:szCs w:val="28"/>
                <w:color w:val="FFFFFF"/>
              </w:rPr>
              <w:t>$25.0m</w:t>
            </w:r>
          </w:p>
        </w:tc>
        <w:tc>
          <w:tcPr>
            <w:tcW w:w="2120" w:type="dxa"/>
            <w:vAlign w:val="bottom"/>
          </w:tcPr>
          <w:p>
            <w:pPr>
              <w:ind w:left="640"/>
              <w:spacing w:after="0"/>
              <w:rPr>
                <w:sz w:val="20"/>
                <w:szCs w:val="20"/>
                <w:color w:val="auto"/>
              </w:rPr>
            </w:pPr>
            <w:r>
              <w:rPr>
                <w:rFonts w:ascii="Arial" w:cs="Arial" w:eastAsia="Arial" w:hAnsi="Arial"/>
                <w:sz w:val="28"/>
                <w:szCs w:val="28"/>
                <w:color w:val="FFFFFF"/>
              </w:rPr>
              <w:t>$7.6m</w:t>
            </w:r>
          </w:p>
        </w:tc>
        <w:tc>
          <w:tcPr>
            <w:tcW w:w="1680" w:type="dxa"/>
            <w:vAlign w:val="bottom"/>
          </w:tcPr>
          <w:p>
            <w:pPr>
              <w:ind w:left="700"/>
              <w:spacing w:after="0"/>
              <w:rPr>
                <w:sz w:val="20"/>
                <w:szCs w:val="20"/>
                <w:color w:val="auto"/>
              </w:rPr>
            </w:pPr>
            <w:r>
              <w:rPr>
                <w:rFonts w:ascii="Arial" w:cs="Arial" w:eastAsia="Arial" w:hAnsi="Arial"/>
                <w:sz w:val="28"/>
                <w:szCs w:val="28"/>
                <w:color w:val="FFFFFF"/>
              </w:rPr>
              <w:t>$-9.6m</w:t>
            </w:r>
          </w:p>
        </w:tc>
      </w:tr>
    </w:tbl>
    <w:p>
      <w:pPr>
        <w:spacing w:after="0" w:line="200" w:lineRule="exact"/>
        <w:rPr>
          <w:sz w:val="20"/>
          <w:szCs w:val="20"/>
          <w:color w:val="auto"/>
        </w:rPr>
      </w:pPr>
    </w:p>
    <w:p>
      <w:pPr>
        <w:spacing w:after="0" w:line="260" w:lineRule="exact"/>
        <w:rPr>
          <w:sz w:val="20"/>
          <w:szCs w:val="20"/>
          <w:color w:val="auto"/>
        </w:rPr>
      </w:pPr>
    </w:p>
    <w:p>
      <w:pPr>
        <w:ind w:left="80" w:right="1540" w:hanging="9"/>
        <w:spacing w:after="0" w:line="267" w:lineRule="auto"/>
        <w:tabs>
          <w:tab w:leader="none" w:pos="398" w:val="left"/>
        </w:tabs>
        <w:numPr>
          <w:ilvl w:val="0"/>
          <w:numId w:val="8"/>
        </w:numPr>
        <w:rPr>
          <w:rFonts w:ascii="Arial" w:cs="Arial" w:eastAsia="Arial" w:hAnsi="Arial"/>
          <w:sz w:val="28"/>
          <w:szCs w:val="28"/>
          <w:color w:val="FFFFFF"/>
        </w:rPr>
      </w:pPr>
      <w:r>
        <w:rPr>
          <w:rFonts w:ascii="Arial" w:cs="Arial" w:eastAsia="Arial" w:hAnsi="Arial"/>
          <w:sz w:val="28"/>
          <w:szCs w:val="28"/>
          <w:color w:val="FFFFFF"/>
        </w:rPr>
        <w:t>Free Cash Flow is defined as cash flow from operating activities, less capital expenditures and discretionary store asset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7</w:t>
      </w:r>
    </w:p>
    <w:p>
      <w:pPr>
        <w:sectPr>
          <w:pgSz w:w="11900" w:h="16838" w:orient="portrait"/>
          <w:cols w:equalWidth="0" w:num="1">
            <w:col w:w="10560"/>
          </w:cols>
          <w:pgMar w:left="880" w:top="891" w:right="459" w:bottom="1440" w:gutter="0" w:footer="0" w:header="0"/>
        </w:sectPr>
      </w:pPr>
    </w:p>
    <w:bookmarkStart w:id="10" w:name="page11"/>
    <w:bookmarkEnd w:id="10"/>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56"/>
          <w:szCs w:val="56"/>
          <w:i w:val="1"/>
          <w:iCs w:val="1"/>
          <w:color w:val="FFFFFF"/>
        </w:rPr>
        <w:t>Our Store Concepts</w:t>
      </w:r>
    </w:p>
    <w:p>
      <w:pPr>
        <w:sectPr>
          <w:pgSz w:w="11900" w:h="16838" w:orient="portrait"/>
          <w:cols w:equalWidth="0" w:num="1">
            <w:col w:w="9019"/>
          </w:cols>
          <w:pgMar w:left="1440" w:top="1440" w:right="1440" w:bottom="1440" w:gutter="0" w:footer="0" w:header="0"/>
        </w:sectPr>
      </w:pPr>
    </w:p>
    <w:bookmarkStart w:id="11" w:name="page12"/>
    <w:bookmarkEnd w:id="11"/>
    <w:p>
      <w:pPr>
        <w:ind w:left="560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Casual Male Stores</w:t>
      </w:r>
    </w:p>
    <w:p>
      <w:pPr>
        <w:spacing w:after="0" w:line="22" w:lineRule="exact"/>
        <w:rPr>
          <w:sz w:val="20"/>
          <w:szCs w:val="20"/>
          <w:color w:val="auto"/>
        </w:rPr>
      </w:pPr>
    </w:p>
    <w:p>
      <w:pPr>
        <w:ind w:left="420" w:right="3460" w:hanging="419"/>
        <w:spacing w:after="0" w:line="236" w:lineRule="auto"/>
        <w:tabs>
          <w:tab w:leader="none" w:pos="420" w:val="left"/>
        </w:tabs>
        <w:numPr>
          <w:ilvl w:val="0"/>
          <w:numId w:val="9"/>
        </w:numPr>
        <w:rPr>
          <w:rFonts w:ascii="Arial" w:cs="Arial" w:eastAsia="Arial" w:hAnsi="Arial"/>
          <w:sz w:val="38"/>
          <w:szCs w:val="38"/>
          <w:color w:val="E75518"/>
        </w:rPr>
      </w:pPr>
      <w:r>
        <w:rPr>
          <w:rFonts w:ascii="Arial" w:cs="Arial" w:eastAsia="Arial" w:hAnsi="Arial"/>
          <w:sz w:val="38"/>
          <w:szCs w:val="38"/>
          <w:color w:val="FFFFFF"/>
        </w:rPr>
        <w:t>Casual Male XL is the nation’s largest specialty retailer of big &amp; tall clothing with 401 full price stores and 65 outlet stores in 47 states</w:t>
      </w: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ind w:left="340"/>
              <w:spacing w:after="0" w:line="203" w:lineRule="exact"/>
              <w:rPr>
                <w:sz w:val="20"/>
                <w:szCs w:val="20"/>
                <w:color w:val="auto"/>
              </w:rPr>
            </w:pPr>
            <w:r>
              <w:rPr>
                <w:rFonts w:ascii="Arial" w:cs="Arial" w:eastAsia="Arial" w:hAnsi="Arial"/>
                <w:sz w:val="19"/>
                <w:szCs w:val="19"/>
                <w:b w:val="1"/>
                <w:bCs w:val="1"/>
                <w:color w:val="FFFFFF"/>
              </w:rPr>
              <w:t>CT-10</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9"/>
                <w:szCs w:val="19"/>
                <w:b w:val="1"/>
                <w:bCs w:val="1"/>
                <w:color w:val="FFFFFF"/>
              </w:rPr>
              <w:t>DE-3</w:t>
            </w:r>
          </w:p>
        </w:tc>
        <w:tc>
          <w:tcPr>
            <w:tcW w:w="0" w:type="dxa"/>
            <w:vAlign w:val="bottom"/>
          </w:tcPr>
          <w:p>
            <w:pPr>
              <w:spacing w:after="0"/>
              <w:rPr>
                <w:sz w:val="1"/>
                <w:szCs w:val="1"/>
                <w:color w:val="auto"/>
              </w:rPr>
            </w:pPr>
          </w:p>
        </w:tc>
      </w:tr>
      <w:tr>
        <w:trPr>
          <w:trHeight w:val="223"/>
        </w:trPr>
        <w:tc>
          <w:tcPr>
            <w:tcW w:w="2760" w:type="dxa"/>
            <w:vAlign w:val="bottom"/>
          </w:tcPr>
          <w:p>
            <w:pPr>
              <w:ind w:left="2480"/>
              <w:spacing w:after="0"/>
              <w:rPr>
                <w:sz w:val="20"/>
                <w:szCs w:val="20"/>
                <w:color w:val="auto"/>
              </w:rPr>
            </w:pPr>
            <w:r>
              <w:rPr>
                <w:rFonts w:ascii="Arial" w:cs="Arial" w:eastAsia="Arial" w:hAnsi="Arial"/>
                <w:sz w:val="15"/>
                <w:szCs w:val="15"/>
                <w:b w:val="1"/>
                <w:bCs w:val="1"/>
                <w:color w:val="FFFFFF"/>
              </w:rPr>
              <w:t>7</w:t>
            </w:r>
          </w:p>
        </w:tc>
        <w:tc>
          <w:tcPr>
            <w:tcW w:w="760" w:type="dxa"/>
            <w:vAlign w:val="bottom"/>
          </w:tcPr>
          <w:p>
            <w:pPr>
              <w:spacing w:after="0"/>
              <w:rPr>
                <w:sz w:val="19"/>
                <w:szCs w:val="19"/>
                <w:color w:val="auto"/>
              </w:rPr>
            </w:pPr>
          </w:p>
        </w:tc>
        <w:tc>
          <w:tcPr>
            <w:tcW w:w="50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FFFFFF"/>
              </w:rPr>
              <w:t>1</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FFFFFF"/>
              </w:rPr>
              <w:t>2</w:t>
            </w:r>
          </w:p>
        </w:tc>
        <w:tc>
          <w:tcPr>
            <w:tcW w:w="900" w:type="dxa"/>
            <w:vAlign w:val="bottom"/>
          </w:tcPr>
          <w:p>
            <w:pPr>
              <w:ind w:left="340"/>
              <w:spacing w:after="0"/>
              <w:rPr>
                <w:sz w:val="20"/>
                <w:szCs w:val="20"/>
                <w:color w:val="auto"/>
              </w:rPr>
            </w:pPr>
            <w:r>
              <w:rPr>
                <w:rFonts w:ascii="Arial" w:cs="Arial" w:eastAsia="Arial" w:hAnsi="Arial"/>
                <w:sz w:val="19"/>
                <w:szCs w:val="19"/>
                <w:b w:val="1"/>
                <w:bCs w:val="1"/>
                <w:color w:val="FFFFFF"/>
              </w:rPr>
              <w:t>RI-1</w:t>
            </w: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00" w:type="dxa"/>
            <w:vAlign w:val="bottom"/>
            <w:vMerge w:val="restart"/>
          </w:tcPr>
          <w:p>
            <w:pPr>
              <w:jc w:val="right"/>
              <w:ind w:right="164"/>
              <w:spacing w:after="0"/>
              <w:rPr>
                <w:sz w:val="20"/>
                <w:szCs w:val="20"/>
                <w:color w:val="auto"/>
              </w:rPr>
            </w:pPr>
            <w:r>
              <w:rPr>
                <w:rFonts w:ascii="Arial" w:cs="Arial" w:eastAsia="Arial" w:hAnsi="Arial"/>
                <w:sz w:val="15"/>
                <w:szCs w:val="15"/>
                <w:b w:val="1"/>
                <w:bCs w:val="1"/>
                <w:color w:val="FFFFFF"/>
              </w:rPr>
              <w:t>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9"/>
                <w:szCs w:val="19"/>
                <w:b w:val="1"/>
                <w:bCs w:val="1"/>
                <w:color w:val="FFFFFF"/>
                <w:w w:val="94"/>
              </w:rPr>
              <w:t>MA-13</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FFFFFF"/>
              </w:rPr>
              <w:t>8</w:t>
            </w: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760" w:type="dxa"/>
            <w:vAlign w:val="bottom"/>
            <w:vMerge w:val="restart"/>
          </w:tcPr>
          <w:p>
            <w:pPr>
              <w:jc w:val="right"/>
              <w:ind w:right="397"/>
              <w:spacing w:after="0"/>
              <w:rPr>
                <w:sz w:val="20"/>
                <w:szCs w:val="20"/>
                <w:color w:val="auto"/>
              </w:rPr>
            </w:pPr>
            <w:r>
              <w:rPr>
                <w:rFonts w:ascii="Arial" w:cs="Arial" w:eastAsia="Arial" w:hAnsi="Arial"/>
                <w:sz w:val="15"/>
                <w:szCs w:val="15"/>
                <w:b w:val="1"/>
                <w:bCs w:val="1"/>
                <w:color w:val="FFFFFF"/>
              </w:rPr>
              <w:t>5</w:t>
            </w: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vMerge w:val="restart"/>
          </w:tcPr>
          <w:p>
            <w:pPr>
              <w:ind w:left="340"/>
              <w:spacing w:after="0" w:line="217" w:lineRule="exact"/>
              <w:rPr>
                <w:sz w:val="20"/>
                <w:szCs w:val="20"/>
                <w:color w:val="auto"/>
              </w:rPr>
            </w:pPr>
            <w:r>
              <w:rPr>
                <w:rFonts w:ascii="Arial" w:cs="Arial" w:eastAsia="Arial" w:hAnsi="Arial"/>
                <w:sz w:val="19"/>
                <w:szCs w:val="19"/>
                <w:b w:val="1"/>
                <w:bCs w:val="1"/>
                <w:color w:val="FFFFFF"/>
                <w:w w:val="94"/>
              </w:rPr>
              <w:t>MD-13</w:t>
            </w:r>
          </w:p>
        </w:tc>
        <w:tc>
          <w:tcPr>
            <w:tcW w:w="0" w:type="dxa"/>
            <w:vAlign w:val="bottom"/>
          </w:tcPr>
          <w:p>
            <w:pPr>
              <w:spacing w:after="0"/>
              <w:rPr>
                <w:sz w:val="1"/>
                <w:szCs w:val="1"/>
                <w:color w:val="auto"/>
              </w:rPr>
            </w:pPr>
          </w:p>
        </w:tc>
      </w:tr>
      <w:tr>
        <w:trPr>
          <w:trHeight w:val="101"/>
        </w:trPr>
        <w:tc>
          <w:tcPr>
            <w:tcW w:w="2760" w:type="dxa"/>
            <w:vAlign w:val="bottom"/>
            <w:vMerge w:val="continue"/>
          </w:tcPr>
          <w:p>
            <w:pPr>
              <w:spacing w:after="0"/>
              <w:rPr>
                <w:sz w:val="8"/>
                <w:szCs w:val="8"/>
                <w:color w:val="auto"/>
              </w:rPr>
            </w:pPr>
          </w:p>
        </w:tc>
        <w:tc>
          <w:tcPr>
            <w:tcW w:w="760" w:type="dxa"/>
            <w:vAlign w:val="bottom"/>
            <w:vMerge w:val="restart"/>
          </w:tcPr>
          <w:p>
            <w:pPr>
              <w:jc w:val="right"/>
              <w:ind w:right="404"/>
              <w:spacing w:after="0"/>
              <w:rPr>
                <w:sz w:val="20"/>
                <w:szCs w:val="20"/>
                <w:color w:val="auto"/>
              </w:rPr>
            </w:pPr>
            <w:r>
              <w:rPr>
                <w:rFonts w:ascii="Arial" w:cs="Arial" w:eastAsia="Arial" w:hAnsi="Arial"/>
                <w:sz w:val="15"/>
                <w:szCs w:val="15"/>
                <w:b w:val="1"/>
                <w:bCs w:val="1"/>
                <w:color w:val="FFFFFF"/>
              </w:rPr>
              <w:t>1</w:t>
            </w: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vMerge w:val="restart"/>
          </w:tcPr>
          <w:p>
            <w:pPr>
              <w:ind w:left="880"/>
              <w:spacing w:after="0"/>
              <w:rPr>
                <w:sz w:val="20"/>
                <w:szCs w:val="20"/>
                <w:color w:val="auto"/>
              </w:rPr>
            </w:pPr>
            <w:r>
              <w:rPr>
                <w:rFonts w:ascii="Arial" w:cs="Arial" w:eastAsia="Arial" w:hAnsi="Arial"/>
                <w:sz w:val="15"/>
                <w:szCs w:val="15"/>
                <w:b w:val="1"/>
                <w:bCs w:val="1"/>
                <w:color w:val="FFFFFF"/>
              </w:rPr>
              <w:t>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jc w:val="right"/>
              <w:ind w:right="284"/>
              <w:spacing w:after="0"/>
              <w:rPr>
                <w:sz w:val="20"/>
                <w:szCs w:val="20"/>
                <w:color w:val="auto"/>
              </w:rPr>
            </w:pPr>
            <w:r>
              <w:rPr>
                <w:rFonts w:ascii="Arial" w:cs="Arial" w:eastAsia="Arial" w:hAnsi="Arial"/>
                <w:sz w:val="15"/>
                <w:szCs w:val="15"/>
                <w:b w:val="1"/>
                <w:bCs w:val="1"/>
                <w:color w:val="FFFFFF"/>
              </w:rPr>
              <w:t>8</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FFFFFF"/>
              </w:rPr>
              <w:t>33</w:t>
            </w:r>
          </w:p>
        </w:tc>
        <w:tc>
          <w:tcPr>
            <w:tcW w:w="700" w:type="dxa"/>
            <w:vAlign w:val="bottom"/>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9"/>
                <w:szCs w:val="19"/>
                <w:b w:val="1"/>
                <w:bCs w:val="1"/>
                <w:color w:val="FFFFFF"/>
              </w:rPr>
              <w:t>NH-3</w:t>
            </w:r>
          </w:p>
        </w:tc>
        <w:tc>
          <w:tcPr>
            <w:tcW w:w="0" w:type="dxa"/>
            <w:vAlign w:val="bottom"/>
          </w:tcPr>
          <w:p>
            <w:pPr>
              <w:spacing w:after="0"/>
              <w:rPr>
                <w:sz w:val="1"/>
                <w:szCs w:val="1"/>
                <w:color w:val="auto"/>
              </w:rPr>
            </w:pPr>
          </w:p>
        </w:tc>
      </w:tr>
      <w:tr>
        <w:trPr>
          <w:trHeight w:val="77"/>
        </w:trPr>
        <w:tc>
          <w:tcPr>
            <w:tcW w:w="2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FFFFFF"/>
                <w:w w:val="95"/>
              </w:rPr>
              <w:t>20</w:t>
            </w:r>
          </w:p>
        </w:tc>
        <w:tc>
          <w:tcPr>
            <w:tcW w:w="12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80" w:type="dxa"/>
            <w:vAlign w:val="bottom"/>
            <w:vMerge w:val="restart"/>
          </w:tcPr>
          <w:p>
            <w:pPr>
              <w:jc w:val="right"/>
              <w:ind w:right="544"/>
              <w:spacing w:after="0"/>
              <w:rPr>
                <w:sz w:val="20"/>
                <w:szCs w:val="20"/>
                <w:color w:val="auto"/>
              </w:rPr>
            </w:pPr>
            <w:r>
              <w:rPr>
                <w:rFonts w:ascii="Arial" w:cs="Arial" w:eastAsia="Arial" w:hAnsi="Arial"/>
                <w:sz w:val="15"/>
                <w:szCs w:val="15"/>
                <w:b w:val="1"/>
                <w:bCs w:val="1"/>
                <w:color w:val="FFFFFF"/>
              </w:rPr>
              <w:t>25</w:t>
            </w:r>
          </w:p>
        </w:tc>
        <w:tc>
          <w:tcPr>
            <w:tcW w:w="700" w:type="dxa"/>
            <w:vAlign w:val="bottom"/>
          </w:tcPr>
          <w:p>
            <w:pPr>
              <w:spacing w:after="0"/>
              <w:rPr>
                <w:sz w:val="19"/>
                <w:szCs w:val="19"/>
                <w:color w:val="auto"/>
              </w:rPr>
            </w:pPr>
          </w:p>
        </w:tc>
        <w:tc>
          <w:tcPr>
            <w:tcW w:w="900" w:type="dxa"/>
            <w:vAlign w:val="bottom"/>
          </w:tcPr>
          <w:p>
            <w:pPr>
              <w:ind w:left="340"/>
              <w:spacing w:after="0"/>
              <w:rPr>
                <w:sz w:val="20"/>
                <w:szCs w:val="20"/>
                <w:color w:val="auto"/>
              </w:rPr>
            </w:pPr>
            <w:r>
              <w:rPr>
                <w:rFonts w:ascii="Arial" w:cs="Arial" w:eastAsia="Arial" w:hAnsi="Arial"/>
                <w:sz w:val="19"/>
                <w:szCs w:val="19"/>
                <w:b w:val="1"/>
                <w:bCs w:val="1"/>
                <w:color w:val="FFFFFF"/>
              </w:rPr>
              <w:t>NJ-20</w:t>
            </w: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vMerge w:val="restart"/>
          </w:tcPr>
          <w:p>
            <w:pPr>
              <w:ind w:left="880"/>
              <w:spacing w:after="0"/>
              <w:rPr>
                <w:sz w:val="20"/>
                <w:szCs w:val="20"/>
                <w:color w:val="auto"/>
              </w:rPr>
            </w:pPr>
            <w:r>
              <w:rPr>
                <w:rFonts w:ascii="Arial" w:cs="Arial" w:eastAsia="Arial" w:hAnsi="Arial"/>
                <w:sz w:val="15"/>
                <w:szCs w:val="15"/>
                <w:b w:val="1"/>
                <w:bCs w:val="1"/>
                <w:color w:val="FFFFFF"/>
              </w:rPr>
              <w:t>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FFFFFF"/>
              </w:rPr>
              <w:t>4</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9"/>
                <w:szCs w:val="19"/>
                <w:b w:val="1"/>
                <w:bCs w:val="1"/>
                <w:color w:val="FFFFFF"/>
              </w:rPr>
              <w:t>VT-1</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480"/>
              <w:spacing w:after="0"/>
              <w:rPr>
                <w:sz w:val="20"/>
                <w:szCs w:val="20"/>
                <w:color w:val="auto"/>
              </w:rPr>
            </w:pPr>
            <w:r>
              <w:rPr>
                <w:rFonts w:ascii="Arial" w:cs="Arial" w:eastAsia="Arial" w:hAnsi="Arial"/>
                <w:sz w:val="15"/>
                <w:szCs w:val="15"/>
                <w:b w:val="1"/>
                <w:bCs w:val="1"/>
                <w:color w:val="FFFFFF"/>
              </w:rPr>
              <w:t>6</w:t>
            </w:r>
          </w:p>
        </w:tc>
        <w:tc>
          <w:tcPr>
            <w:tcW w:w="7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FFFFFF"/>
              </w:rPr>
              <w:t>3</w:t>
            </w:r>
          </w:p>
        </w:tc>
        <w:tc>
          <w:tcPr>
            <w:tcW w:w="5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FFFFFF"/>
              </w:rPr>
              <w:t>23</w:t>
            </w: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12</w:t>
            </w:r>
          </w:p>
        </w:tc>
        <w:tc>
          <w:tcPr>
            <w:tcW w:w="36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19</w:t>
            </w:r>
          </w:p>
        </w:tc>
        <w:tc>
          <w:tcPr>
            <w:tcW w:w="1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7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vMerge w:val="restart"/>
          </w:tcPr>
          <w:p>
            <w:pPr>
              <w:jc w:val="right"/>
              <w:ind w:right="824"/>
              <w:spacing w:after="0"/>
              <w:rPr>
                <w:sz w:val="20"/>
                <w:szCs w:val="20"/>
                <w:color w:val="auto"/>
              </w:rPr>
            </w:pPr>
            <w:r>
              <w:rPr>
                <w:rFonts w:ascii="Arial" w:cs="Arial" w:eastAsia="Arial" w:hAnsi="Arial"/>
                <w:sz w:val="15"/>
                <w:szCs w:val="15"/>
                <w:b w:val="1"/>
                <w:bCs w:val="1"/>
                <w:color w:val="FFFFFF"/>
              </w:rPr>
              <w:t>5</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vMerge w:val="restart"/>
          </w:tcPr>
          <w:p>
            <w:pPr>
              <w:jc w:val="right"/>
              <w:ind w:right="864"/>
              <w:spacing w:after="0"/>
              <w:rPr>
                <w:sz w:val="20"/>
                <w:szCs w:val="20"/>
                <w:color w:val="auto"/>
              </w:rPr>
            </w:pPr>
            <w:r>
              <w:rPr>
                <w:rFonts w:ascii="Arial" w:cs="Arial" w:eastAsia="Arial" w:hAnsi="Arial"/>
                <w:sz w:val="15"/>
                <w:szCs w:val="15"/>
                <w:b w:val="1"/>
                <w:bCs w:val="1"/>
                <w:color w:val="FFFFFF"/>
              </w:rPr>
              <w:t>1</w:t>
            </w: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760" w:type="dxa"/>
            <w:vAlign w:val="bottom"/>
            <w:vMerge w:val="restart"/>
          </w:tcPr>
          <w:p>
            <w:pPr>
              <w:jc w:val="right"/>
              <w:ind w:right="577"/>
              <w:spacing w:after="0"/>
              <w:rPr>
                <w:sz w:val="20"/>
                <w:szCs w:val="20"/>
                <w:color w:val="auto"/>
              </w:rPr>
            </w:pPr>
            <w:r>
              <w:rPr>
                <w:rFonts w:ascii="Arial" w:cs="Arial" w:eastAsia="Arial" w:hAnsi="Arial"/>
                <w:sz w:val="15"/>
                <w:szCs w:val="15"/>
                <w:b w:val="1"/>
                <w:bCs w:val="1"/>
                <w:color w:val="FFFFFF"/>
              </w:rPr>
              <w:t>55</w:t>
            </w: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3</w:t>
            </w: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7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10</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FFFFFF"/>
              </w:rPr>
              <w:t>5</w:t>
            </w:r>
          </w:p>
        </w:tc>
        <w:tc>
          <w:tcPr>
            <w:tcW w:w="1280" w:type="dxa"/>
            <w:vAlign w:val="bottom"/>
          </w:tcPr>
          <w:p>
            <w:pPr>
              <w:jc w:val="right"/>
              <w:ind w:right="544"/>
              <w:spacing w:after="0"/>
              <w:rPr>
                <w:sz w:val="20"/>
                <w:szCs w:val="20"/>
                <w:color w:val="auto"/>
              </w:rPr>
            </w:pPr>
            <w:r>
              <w:rPr>
                <w:rFonts w:ascii="Arial" w:cs="Arial" w:eastAsia="Arial" w:hAnsi="Arial"/>
                <w:sz w:val="15"/>
                <w:szCs w:val="15"/>
                <w:b w:val="1"/>
                <w:bCs w:val="1"/>
                <w:color w:val="FFFFFF"/>
              </w:rPr>
              <w:t>13</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76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FFFFFF"/>
              </w:rPr>
              <w:t>10</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8</w:t>
            </w:r>
          </w:p>
        </w:tc>
        <w:tc>
          <w:tcPr>
            <w:tcW w:w="360" w:type="dxa"/>
            <w:vAlign w:val="bottom"/>
          </w:tcPr>
          <w:p>
            <w:pPr>
              <w:spacing w:after="0"/>
              <w:rPr>
                <w:sz w:val="19"/>
                <w:szCs w:val="19"/>
                <w:color w:val="auto"/>
              </w:rPr>
            </w:pPr>
          </w:p>
        </w:tc>
        <w:tc>
          <w:tcPr>
            <w:tcW w:w="1280" w:type="dxa"/>
            <w:vAlign w:val="bottom"/>
          </w:tcPr>
          <w:p>
            <w:pPr>
              <w:jc w:val="right"/>
              <w:ind w:right="444"/>
              <w:spacing w:after="0"/>
              <w:rPr>
                <w:sz w:val="20"/>
                <w:szCs w:val="20"/>
                <w:color w:val="auto"/>
              </w:rPr>
            </w:pPr>
            <w:r>
              <w:rPr>
                <w:rFonts w:ascii="Arial" w:cs="Arial" w:eastAsia="Arial" w:hAnsi="Arial"/>
                <w:sz w:val="15"/>
                <w:szCs w:val="15"/>
                <w:b w:val="1"/>
                <w:bCs w:val="1"/>
                <w:color w:val="FFFFFF"/>
              </w:rPr>
              <w:t>11</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7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FFFFFF"/>
              </w:rPr>
              <w:t>2</w:t>
            </w: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FFFFFF"/>
                <w:w w:val="71"/>
              </w:rPr>
              <w:t>3</w:t>
            </w: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7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2</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vMerge w:val="restart"/>
          </w:tcPr>
          <w:p>
            <w:pPr>
              <w:jc w:val="right"/>
              <w:ind w:right="684"/>
              <w:spacing w:after="0"/>
              <w:rPr>
                <w:sz w:val="20"/>
                <w:szCs w:val="20"/>
                <w:color w:val="auto"/>
              </w:rPr>
            </w:pPr>
            <w:r>
              <w:rPr>
                <w:rFonts w:ascii="Arial" w:cs="Arial" w:eastAsia="Arial" w:hAnsi="Arial"/>
                <w:sz w:val="15"/>
                <w:szCs w:val="15"/>
                <w:b w:val="1"/>
                <w:bCs w:val="1"/>
                <w:color w:val="FFFFFF"/>
              </w:rPr>
              <w:t>5</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60" w:type="dxa"/>
            <w:vAlign w:val="bottom"/>
            <w:vMerge w:val="restart"/>
          </w:tcPr>
          <w:p>
            <w:pPr>
              <w:spacing w:after="0"/>
              <w:rPr>
                <w:sz w:val="20"/>
                <w:szCs w:val="20"/>
                <w:color w:val="auto"/>
              </w:rPr>
            </w:pPr>
            <w:r>
              <w:rPr>
                <w:rFonts w:ascii="Arial" w:cs="Arial" w:eastAsia="Arial" w:hAnsi="Arial"/>
                <w:sz w:val="22"/>
                <w:szCs w:val="22"/>
                <w:color w:val="FFFFFF"/>
              </w:rPr>
              <w:t>Long term potential –</w:t>
            </w: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vMerge w:val="restart"/>
          </w:tcPr>
          <w:p>
            <w:pPr>
              <w:ind w:left="880"/>
              <w:spacing w:after="0"/>
              <w:rPr>
                <w:sz w:val="20"/>
                <w:szCs w:val="20"/>
                <w:color w:val="auto"/>
              </w:rPr>
            </w:pPr>
            <w:r>
              <w:rPr>
                <w:rFonts w:ascii="Arial" w:cs="Arial" w:eastAsia="Arial" w:hAnsi="Arial"/>
                <w:sz w:val="15"/>
                <w:szCs w:val="15"/>
                <w:b w:val="1"/>
                <w:bCs w:val="1"/>
                <w:color w:val="FFFFFF"/>
              </w:rPr>
              <w:t>39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FFFFFF"/>
              </w:rPr>
              <w:t>2</w:t>
            </w:r>
          </w:p>
        </w:tc>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4</w:t>
            </w:r>
          </w:p>
        </w:tc>
        <w:tc>
          <w:tcPr>
            <w:tcW w:w="360" w:type="dxa"/>
            <w:vAlign w:val="bottom"/>
          </w:tcPr>
          <w:p>
            <w:pPr>
              <w:spacing w:after="0"/>
              <w:rPr>
                <w:sz w:val="19"/>
                <w:szCs w:val="19"/>
                <w:color w:val="auto"/>
              </w:rPr>
            </w:pPr>
          </w:p>
        </w:tc>
        <w:tc>
          <w:tcPr>
            <w:tcW w:w="1280" w:type="dxa"/>
            <w:vAlign w:val="bottom"/>
          </w:tcPr>
          <w:p>
            <w:pPr>
              <w:jc w:val="right"/>
              <w:ind w:right="1004"/>
              <w:spacing w:after="0"/>
              <w:rPr>
                <w:sz w:val="20"/>
                <w:szCs w:val="20"/>
                <w:color w:val="auto"/>
              </w:rPr>
            </w:pPr>
            <w:r>
              <w:rPr>
                <w:rFonts w:ascii="Arial" w:cs="Arial" w:eastAsia="Arial" w:hAnsi="Arial"/>
                <w:sz w:val="15"/>
                <w:szCs w:val="15"/>
                <w:b w:val="1"/>
                <w:bCs w:val="1"/>
                <w:color w:val="FFFFFF"/>
              </w:rPr>
              <w:t>10</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464"/>
              <w:spacing w:after="0"/>
              <w:rPr>
                <w:sz w:val="20"/>
                <w:szCs w:val="20"/>
                <w:color w:val="auto"/>
              </w:rPr>
            </w:pPr>
            <w:r>
              <w:rPr>
                <w:rFonts w:ascii="Arial" w:cs="Arial" w:eastAsia="Arial" w:hAnsi="Arial"/>
                <w:sz w:val="15"/>
                <w:szCs w:val="15"/>
                <w:b w:val="1"/>
                <w:bCs w:val="1"/>
                <w:color w:val="FFFFFF"/>
                <w:w w:val="71"/>
              </w:rPr>
              <w:t>5</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320" w:type="dxa"/>
            <w:vAlign w:val="bottom"/>
          </w:tcPr>
          <w:p>
            <w:pPr>
              <w:spacing w:after="0"/>
              <w:rPr>
                <w:sz w:val="20"/>
                <w:szCs w:val="20"/>
                <w:color w:val="auto"/>
              </w:rPr>
            </w:pPr>
            <w:r>
              <w:rPr>
                <w:rFonts w:ascii="Arial" w:cs="Arial" w:eastAsia="Arial" w:hAnsi="Arial"/>
                <w:sz w:val="22"/>
                <w:szCs w:val="22"/>
                <w:color w:val="FFFFFF"/>
              </w:rPr>
              <w:t>additional 100-130 more stores</w:t>
            </w:r>
          </w:p>
        </w:tc>
        <w:tc>
          <w:tcPr>
            <w:tcW w:w="2700" w:type="dxa"/>
            <w:vAlign w:val="bottom"/>
            <w:vMerge w:val="restart"/>
          </w:tcPr>
          <w:p>
            <w:pPr>
              <w:jc w:val="right"/>
              <w:spacing w:after="0"/>
              <w:rPr>
                <w:sz w:val="20"/>
                <w:szCs w:val="20"/>
                <w:color w:val="auto"/>
              </w:rPr>
            </w:pPr>
            <w:r>
              <w:rPr>
                <w:rFonts w:ascii="Arial" w:cs="Arial" w:eastAsia="Arial" w:hAnsi="Arial"/>
                <w:sz w:val="15"/>
                <w:szCs w:val="15"/>
                <w:b w:val="1"/>
                <w:bCs w:val="1"/>
                <w:color w:val="FFFFFF"/>
              </w:rPr>
              <w:t>29</w:t>
            </w:r>
          </w:p>
        </w:tc>
        <w:tc>
          <w:tcPr>
            <w:tcW w:w="0" w:type="dxa"/>
            <w:vAlign w:val="bottom"/>
          </w:tcPr>
          <w:p>
            <w:pPr>
              <w:spacing w:after="0"/>
              <w:rPr>
                <w:sz w:val="1"/>
                <w:szCs w:val="1"/>
                <w:color w:val="auto"/>
              </w:rPr>
            </w:pPr>
          </w:p>
        </w:tc>
      </w:tr>
      <w:tr>
        <w:trPr>
          <w:trHeight w:val="52"/>
        </w:trPr>
        <w:tc>
          <w:tcPr>
            <w:tcW w:w="5320" w:type="dxa"/>
            <w:vAlign w:val="bottom"/>
          </w:tcPr>
          <w:p>
            <w:pPr>
              <w:spacing w:after="0"/>
              <w:rPr>
                <w:sz w:val="4"/>
                <w:szCs w:val="4"/>
                <w:color w:val="auto"/>
              </w:rPr>
            </w:pPr>
          </w:p>
        </w:tc>
        <w:tc>
          <w:tcPr>
            <w:tcW w:w="2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9</w:t>
      </w:r>
    </w:p>
    <w:p>
      <w:pPr>
        <w:sectPr>
          <w:pgSz w:w="11900" w:h="16838" w:orient="portrait"/>
          <w:cols w:equalWidth="0" w:num="1">
            <w:col w:w="10960"/>
          </w:cols>
          <w:pgMar w:left="480" w:top="850" w:right="4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37" w:right="220" w:hanging="337"/>
        <w:spacing w:after="0" w:line="267" w:lineRule="auto"/>
        <w:tabs>
          <w:tab w:leader="none" w:pos="337" w:val="left"/>
        </w:tabs>
        <w:numPr>
          <w:ilvl w:val="0"/>
          <w:numId w:val="10"/>
        </w:numPr>
        <w:rPr>
          <w:rFonts w:ascii="Arial" w:cs="Arial" w:eastAsia="Arial" w:hAnsi="Arial"/>
          <w:sz w:val="28"/>
          <w:szCs w:val="28"/>
          <w:color w:val="E75518"/>
        </w:rPr>
      </w:pPr>
      <w:r>
        <w:rPr>
          <w:rFonts w:ascii="Arial" w:cs="Arial" w:eastAsia="Arial" w:hAnsi="Arial"/>
          <w:sz w:val="28"/>
          <w:szCs w:val="28"/>
          <w:color w:val="FFFFFF"/>
        </w:rPr>
        <w:t>Targets the higher income consumer within the big and tall market</w:t>
      </w:r>
    </w:p>
    <w:p>
      <w:pPr>
        <w:spacing w:after="0" w:line="24" w:lineRule="exact"/>
        <w:rPr>
          <w:rFonts w:ascii="Arial" w:cs="Arial" w:eastAsia="Arial" w:hAnsi="Arial"/>
          <w:sz w:val="28"/>
          <w:szCs w:val="28"/>
          <w:color w:val="E75518"/>
        </w:rPr>
      </w:pPr>
    </w:p>
    <w:p>
      <w:pPr>
        <w:ind w:left="337"/>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$100,000 per year average salary</w:t>
      </w:r>
    </w:p>
    <w:p>
      <w:pPr>
        <w:spacing w:after="0" w:line="89" w:lineRule="exact"/>
        <w:rPr>
          <w:rFonts w:ascii="Arial" w:cs="Arial" w:eastAsia="Arial" w:hAnsi="Arial"/>
          <w:sz w:val="28"/>
          <w:szCs w:val="28"/>
          <w:color w:val="E75518"/>
        </w:rPr>
      </w:pPr>
    </w:p>
    <w:p>
      <w:pPr>
        <w:ind w:left="337" w:right="920" w:hanging="337"/>
        <w:spacing w:after="0" w:line="260" w:lineRule="auto"/>
        <w:tabs>
          <w:tab w:leader="none" w:pos="337" w:val="left"/>
        </w:tabs>
        <w:numPr>
          <w:ilvl w:val="0"/>
          <w:numId w:val="10"/>
        </w:numPr>
        <w:rPr>
          <w:rFonts w:ascii="Arial" w:cs="Arial" w:eastAsia="Arial" w:hAnsi="Arial"/>
          <w:sz w:val="28"/>
          <w:szCs w:val="28"/>
          <w:color w:val="E75518"/>
        </w:rPr>
      </w:pPr>
      <w:r>
        <w:rPr>
          <w:rFonts w:ascii="Arial" w:cs="Arial" w:eastAsia="Arial" w:hAnsi="Arial"/>
          <w:sz w:val="28"/>
          <w:szCs w:val="28"/>
          <w:color w:val="FFFFFF"/>
        </w:rPr>
        <w:t>22 store locations in downtown major metropolitan areas and upscale suburbs</w:t>
      </w:r>
    </w:p>
    <w:p>
      <w:pPr>
        <w:spacing w:after="0" w:line="35" w:lineRule="exact"/>
        <w:rPr>
          <w:rFonts w:ascii="Arial" w:cs="Arial" w:eastAsia="Arial" w:hAnsi="Arial"/>
          <w:sz w:val="28"/>
          <w:szCs w:val="28"/>
          <w:color w:val="E75518"/>
        </w:rPr>
      </w:pPr>
    </w:p>
    <w:p>
      <w:pPr>
        <w:ind w:left="337" w:hanging="337"/>
        <w:spacing w:after="0"/>
        <w:tabs>
          <w:tab w:leader="none" w:pos="337" w:val="left"/>
        </w:tabs>
        <w:numPr>
          <w:ilvl w:val="0"/>
          <w:numId w:val="10"/>
        </w:numPr>
        <w:rPr>
          <w:rFonts w:ascii="Arial" w:cs="Arial" w:eastAsia="Arial" w:hAnsi="Arial"/>
          <w:sz w:val="28"/>
          <w:szCs w:val="28"/>
          <w:color w:val="E75518"/>
        </w:rPr>
      </w:pPr>
      <w:r>
        <w:rPr>
          <w:rFonts w:ascii="Arial" w:cs="Arial" w:eastAsia="Arial" w:hAnsi="Arial"/>
          <w:sz w:val="28"/>
          <w:szCs w:val="28"/>
          <w:color w:val="FFFFFF"/>
        </w:rPr>
        <w:t>Average store size: 8,156 square ft</w:t>
      </w:r>
    </w:p>
    <w:p>
      <w:pPr>
        <w:spacing w:after="0" w:line="89" w:lineRule="exact"/>
        <w:rPr>
          <w:rFonts w:ascii="Arial" w:cs="Arial" w:eastAsia="Arial" w:hAnsi="Arial"/>
          <w:sz w:val="28"/>
          <w:szCs w:val="28"/>
          <w:color w:val="E75518"/>
        </w:rPr>
      </w:pPr>
    </w:p>
    <w:p>
      <w:pPr>
        <w:ind w:left="337" w:hanging="337"/>
        <w:spacing w:after="0"/>
        <w:tabs>
          <w:tab w:leader="none" w:pos="337" w:val="left"/>
        </w:tabs>
        <w:numPr>
          <w:ilvl w:val="0"/>
          <w:numId w:val="10"/>
        </w:numPr>
        <w:rPr>
          <w:rFonts w:ascii="Arial" w:cs="Arial" w:eastAsia="Arial" w:hAnsi="Arial"/>
          <w:sz w:val="28"/>
          <w:szCs w:val="28"/>
          <w:color w:val="E75518"/>
        </w:rPr>
      </w:pPr>
      <w:r>
        <w:rPr>
          <w:rFonts w:ascii="Arial" w:cs="Arial" w:eastAsia="Arial" w:hAnsi="Arial"/>
          <w:sz w:val="28"/>
          <w:szCs w:val="28"/>
          <w:color w:val="FFFFFF"/>
        </w:rPr>
        <w:t>Average sales / square foot: $256</w:t>
      </w:r>
    </w:p>
    <w:p>
      <w:pPr>
        <w:spacing w:after="0" w:line="89" w:lineRule="exact"/>
        <w:rPr>
          <w:rFonts w:ascii="Arial" w:cs="Arial" w:eastAsia="Arial" w:hAnsi="Arial"/>
          <w:sz w:val="28"/>
          <w:szCs w:val="28"/>
          <w:color w:val="E75518"/>
        </w:rPr>
      </w:pPr>
    </w:p>
    <w:p>
      <w:pPr>
        <w:ind w:left="677" w:right="340" w:hanging="341"/>
        <w:spacing w:after="0" w:line="258" w:lineRule="auto"/>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Stores carry higher-end designer</w:t>
      </w:r>
      <w:r>
        <w:rPr>
          <w:rFonts w:ascii="Arial" w:cs="Arial" w:eastAsia="Arial" w:hAnsi="Arial"/>
          <w:sz w:val="28"/>
          <w:szCs w:val="28"/>
          <w:color w:val="E75518"/>
        </w:rPr>
        <w:t xml:space="preserve"> </w:t>
      </w:r>
      <w:r>
        <w:rPr>
          <w:rFonts w:ascii="Arial" w:cs="Arial" w:eastAsia="Arial" w:hAnsi="Arial"/>
          <w:sz w:val="28"/>
          <w:szCs w:val="28"/>
          <w:color w:val="FFFFFF"/>
        </w:rPr>
        <w:t>product</w:t>
      </w:r>
    </w:p>
    <w:p>
      <w:pPr>
        <w:spacing w:after="0" w:line="48" w:lineRule="exact"/>
        <w:rPr>
          <w:rFonts w:ascii="Arial" w:cs="Arial" w:eastAsia="Arial" w:hAnsi="Arial"/>
          <w:sz w:val="28"/>
          <w:szCs w:val="28"/>
          <w:color w:val="E75518"/>
        </w:rPr>
      </w:pPr>
    </w:p>
    <w:p>
      <w:pPr>
        <w:ind w:left="337"/>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Average transaction size: $300</w:t>
      </w:r>
    </w:p>
    <w:p>
      <w:pPr>
        <w:spacing w:after="0" w:line="20" w:lineRule="exact"/>
        <w:rPr>
          <w:sz w:val="20"/>
          <w:szCs w:val="20"/>
          <w:color w:val="auto"/>
        </w:rPr>
      </w:pPr>
      <w:r>
        <w:rPr>
          <w:sz w:val="20"/>
          <w:szCs w:val="20"/>
          <w:color w:val="auto"/>
        </w:rPr>
        <w:br w:type="column"/>
      </w:r>
    </w:p>
    <w:p>
      <w:pPr>
        <w:ind w:left="2080"/>
        <w:spacing w:after="0"/>
        <w:rPr>
          <w:sz w:val="20"/>
          <w:szCs w:val="20"/>
          <w:color w:val="auto"/>
        </w:rPr>
      </w:pPr>
      <w:r>
        <w:rPr>
          <w:rFonts w:ascii="Arial" w:cs="Arial" w:eastAsia="Arial" w:hAnsi="Arial"/>
          <w:sz w:val="56"/>
          <w:szCs w:val="56"/>
          <w:color w:val="FFFFFF"/>
        </w:rPr>
        <w:t>Rochester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60" w:type="dxa"/>
        <w:tblCellMar>
          <w:top w:w="0" w:type="dxa"/>
          <w:left w:w="0" w:type="dxa"/>
          <w:bottom w:w="0" w:type="dxa"/>
          <w:right w:w="0" w:type="dxa"/>
        </w:tblCellMar>
      </w:tblPr>
      <w:tr>
        <w:trPr>
          <w:trHeight w:val="327"/>
        </w:trPr>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00" w:type="dxa"/>
            <w:vAlign w:val="bottom"/>
          </w:tcPr>
          <w:p>
            <w:pPr>
              <w:ind w:left="1140"/>
              <w:spacing w:after="0"/>
              <w:rPr>
                <w:sz w:val="20"/>
                <w:szCs w:val="20"/>
                <w:color w:val="auto"/>
              </w:rPr>
            </w:pPr>
            <w:r>
              <w:rPr>
                <w:rFonts w:ascii="Arial" w:cs="Arial" w:eastAsia="Arial" w:hAnsi="Arial"/>
                <w:sz w:val="25"/>
                <w:szCs w:val="25"/>
                <w:b w:val="1"/>
                <w:bCs w:val="1"/>
                <w:color w:val="FF6600"/>
                <w:w w:val="96"/>
              </w:rPr>
              <w:t>Locations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1320" w:type="dxa"/>
            <w:vAlign w:val="bottom"/>
          </w:tcPr>
          <w:p>
            <w:pPr>
              <w:jc w:val="right"/>
              <w:ind w:right="1064"/>
              <w:spacing w:after="0"/>
              <w:rPr>
                <w:sz w:val="20"/>
                <w:szCs w:val="20"/>
                <w:color w:val="auto"/>
              </w:rPr>
            </w:pPr>
            <w:r>
              <w:rPr>
                <w:rFonts w:ascii="Arial" w:cs="Arial" w:eastAsia="Arial" w:hAnsi="Arial"/>
                <w:sz w:val="15"/>
                <w:szCs w:val="15"/>
                <w:color w:val="auto"/>
              </w:rPr>
              <w:t>1</w:t>
            </w: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jc w:val="right"/>
              <w:ind w:right="666"/>
              <w:spacing w:after="0"/>
              <w:rPr>
                <w:sz w:val="20"/>
                <w:szCs w:val="20"/>
                <w:color w:val="auto"/>
              </w:rPr>
            </w:pPr>
            <w:r>
              <w:rPr>
                <w:rFonts w:ascii="Arial" w:cs="Arial" w:eastAsia="Arial" w:hAnsi="Arial"/>
                <w:sz w:val="15"/>
                <w:szCs w:val="15"/>
                <w:color w:val="auto"/>
                <w:w w:val="71"/>
              </w:rPr>
              <w:t>3</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300" w:type="dxa"/>
            <w:vAlign w:val="bottom"/>
          </w:tcPr>
          <w:p>
            <w:pPr>
              <w:jc w:val="right"/>
              <w:ind w:right="52"/>
              <w:spacing w:after="0"/>
              <w:rPr>
                <w:sz w:val="20"/>
                <w:szCs w:val="20"/>
                <w:color w:val="auto"/>
              </w:rPr>
            </w:pPr>
            <w:r>
              <w:rPr>
                <w:rFonts w:ascii="Arial" w:cs="Arial" w:eastAsia="Arial" w:hAnsi="Arial"/>
                <w:sz w:val="13"/>
                <w:szCs w:val="13"/>
                <w:color w:val="auto"/>
              </w:rPr>
              <w:t>1</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320" w:type="dxa"/>
            <w:vAlign w:val="bottom"/>
          </w:tcPr>
          <w:p>
            <w:pPr>
              <w:jc w:val="right"/>
              <w:ind w:right="1084"/>
              <w:spacing w:after="0"/>
              <w:rPr>
                <w:sz w:val="20"/>
                <w:szCs w:val="20"/>
                <w:color w:val="auto"/>
              </w:rPr>
            </w:pPr>
            <w:r>
              <w:rPr>
                <w:rFonts w:ascii="Arial" w:cs="Arial" w:eastAsia="Arial" w:hAnsi="Arial"/>
                <w:sz w:val="15"/>
                <w:szCs w:val="15"/>
                <w:color w:val="auto"/>
              </w:rPr>
              <w:t>1</w:t>
            </w:r>
          </w:p>
        </w:tc>
        <w:tc>
          <w:tcPr>
            <w:tcW w:w="2300" w:type="dxa"/>
            <w:vAlign w:val="bottom"/>
            <w:vMerge w:val="restart"/>
          </w:tcPr>
          <w:p>
            <w:pPr>
              <w:ind w:left="1140"/>
              <w:spacing w:after="0"/>
              <w:rPr>
                <w:sz w:val="20"/>
                <w:szCs w:val="20"/>
                <w:color w:val="auto"/>
              </w:rPr>
            </w:pPr>
            <w:r>
              <w:rPr>
                <w:rFonts w:ascii="Arial" w:cs="Arial" w:eastAsia="Arial" w:hAnsi="Arial"/>
                <w:sz w:val="15"/>
                <w:szCs w:val="15"/>
                <w:color w:val="auto"/>
              </w:rPr>
              <w:t>1</w:t>
            </w:r>
          </w:p>
        </w:tc>
        <w:tc>
          <w:tcPr>
            <w:tcW w:w="840" w:type="dxa"/>
            <w:vAlign w:val="bottom"/>
            <w:vMerge w:val="restart"/>
          </w:tcPr>
          <w:p>
            <w:pPr>
              <w:jc w:val="right"/>
              <w:spacing w:after="0"/>
              <w:rPr>
                <w:sz w:val="20"/>
                <w:szCs w:val="20"/>
                <w:color w:val="auto"/>
              </w:rPr>
            </w:pPr>
            <w:r>
              <w:rPr>
                <w:rFonts w:ascii="Arial" w:cs="Arial" w:eastAsia="Arial" w:hAnsi="Arial"/>
                <w:sz w:val="22"/>
                <w:szCs w:val="22"/>
                <w:color w:val="FFFFFF"/>
              </w:rPr>
              <w:t>Ma-1</w:t>
            </w:r>
          </w:p>
        </w:tc>
        <w:tc>
          <w:tcPr>
            <w:tcW w:w="0" w:type="dxa"/>
            <w:vAlign w:val="bottom"/>
          </w:tcPr>
          <w:p>
            <w:pPr>
              <w:spacing w:after="0"/>
              <w:rPr>
                <w:sz w:val="1"/>
                <w:szCs w:val="1"/>
                <w:color w:val="auto"/>
              </w:rPr>
            </w:pPr>
          </w:p>
        </w:tc>
      </w:tr>
      <w:tr>
        <w:trPr>
          <w:trHeight w:val="71"/>
        </w:trPr>
        <w:tc>
          <w:tcPr>
            <w:tcW w:w="160" w:type="dxa"/>
            <w:vAlign w:val="bottom"/>
            <w:vMerge w:val="restart"/>
          </w:tcPr>
          <w:p>
            <w:pPr>
              <w:jc w:val="right"/>
              <w:ind w:right="51"/>
              <w:spacing w:after="0"/>
              <w:rPr>
                <w:sz w:val="20"/>
                <w:szCs w:val="20"/>
                <w:color w:val="auto"/>
              </w:rPr>
            </w:pPr>
            <w:r>
              <w:rPr>
                <w:rFonts w:ascii="Arial" w:cs="Arial" w:eastAsia="Arial" w:hAnsi="Arial"/>
                <w:sz w:val="10"/>
                <w:szCs w:val="10"/>
                <w:color w:val="auto"/>
                <w:w w:val="71"/>
              </w:rPr>
              <w:t>5</w:t>
            </w:r>
          </w:p>
        </w:tc>
        <w:tc>
          <w:tcPr>
            <w:tcW w:w="1320" w:type="dxa"/>
            <w:vAlign w:val="bottom"/>
          </w:tcPr>
          <w:p>
            <w:pPr>
              <w:spacing w:after="0"/>
              <w:rPr>
                <w:sz w:val="6"/>
                <w:szCs w:val="6"/>
                <w:color w:val="auto"/>
              </w:rPr>
            </w:pPr>
          </w:p>
        </w:tc>
        <w:tc>
          <w:tcPr>
            <w:tcW w:w="23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400"/>
        <w:spacing w:after="0"/>
        <w:rPr>
          <w:sz w:val="20"/>
          <w:szCs w:val="20"/>
          <w:color w:val="auto"/>
        </w:rPr>
      </w:pPr>
      <w:r>
        <w:rPr>
          <w:rFonts w:ascii="Arial" w:cs="Arial" w:eastAsia="Arial" w:hAnsi="Arial"/>
          <w:sz w:val="21"/>
          <w:szCs w:val="21"/>
          <w:color w:val="FFFFFF"/>
        </w:rPr>
        <w:t>CT-1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1160" w:type="dxa"/>
            <w:vAlign w:val="bottom"/>
            <w:vMerge w:val="restart"/>
          </w:tcPr>
          <w:p>
            <w:pPr>
              <w:jc w:val="right"/>
              <w:spacing w:after="0"/>
              <w:rPr>
                <w:sz w:val="20"/>
                <w:szCs w:val="20"/>
                <w:color w:val="auto"/>
              </w:rPr>
            </w:pPr>
            <w:r>
              <w:rPr>
                <w:rFonts w:ascii="Arial" w:cs="Arial" w:eastAsia="Arial" w:hAnsi="Arial"/>
                <w:sz w:val="22"/>
                <w:szCs w:val="22"/>
                <w:color w:val="FFFFFF"/>
              </w:rPr>
              <w:t>DC-1</w:t>
            </w: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1020" w:type="dxa"/>
            <w:vAlign w:val="bottom"/>
            <w:vMerge w:val="restart"/>
          </w:tcPr>
          <w:p>
            <w:pPr>
              <w:jc w:val="right"/>
              <w:ind w:right="644"/>
              <w:spacing w:after="0"/>
              <w:rPr>
                <w:sz w:val="20"/>
                <w:szCs w:val="20"/>
                <w:color w:val="auto"/>
              </w:rPr>
            </w:pPr>
            <w:r>
              <w:rPr>
                <w:rFonts w:ascii="Arial" w:cs="Arial" w:eastAsia="Arial" w:hAnsi="Arial"/>
                <w:sz w:val="15"/>
                <w:szCs w:val="15"/>
                <w:color w:val="auto"/>
              </w:rPr>
              <w:t>2</w:t>
            </w:r>
          </w:p>
        </w:tc>
        <w:tc>
          <w:tcPr>
            <w:tcW w:w="84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8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60" w:type="dxa"/>
            <w:vAlign w:val="bottom"/>
            <w:vMerge w:val="restart"/>
          </w:tcPr>
          <w:p>
            <w:pPr>
              <w:spacing w:after="0"/>
              <w:rPr>
                <w:sz w:val="20"/>
                <w:szCs w:val="20"/>
                <w:color w:val="auto"/>
              </w:rPr>
            </w:pPr>
            <w:r>
              <w:rPr>
                <w:rFonts w:ascii="Arial" w:cs="Arial" w:eastAsia="Arial" w:hAnsi="Arial"/>
                <w:sz w:val="13"/>
                <w:szCs w:val="13"/>
                <w:color w:val="FFFFFF"/>
              </w:rPr>
              <w:t>Rochester</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jc w:val="right"/>
              <w:ind w:right="946"/>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9"/>
        </w:trPr>
        <w:tc>
          <w:tcPr>
            <w:tcW w:w="18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860" w:type="dxa"/>
            <w:vAlign w:val="bottom"/>
          </w:tcPr>
          <w:p>
            <w:pPr>
              <w:spacing w:after="0"/>
              <w:rPr>
                <w:sz w:val="20"/>
                <w:szCs w:val="20"/>
                <w:color w:val="auto"/>
              </w:rPr>
            </w:pPr>
            <w:r>
              <w:rPr>
                <w:rFonts w:ascii="Arial" w:cs="Arial" w:eastAsia="Arial" w:hAnsi="Arial"/>
                <w:sz w:val="13"/>
                <w:szCs w:val="13"/>
                <w:color w:val="FFFFFF"/>
              </w:rPr>
              <w:t>* 1 London, United Kingdom</w:t>
            </w: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20"/>
        <w:spacing w:after="0"/>
        <w:rPr>
          <w:sz w:val="20"/>
          <w:szCs w:val="20"/>
          <w:color w:val="auto"/>
        </w:rPr>
      </w:pPr>
      <w:r>
        <w:rPr>
          <w:rFonts w:ascii="Arial" w:cs="Arial" w:eastAsia="Arial" w:hAnsi="Arial"/>
          <w:sz w:val="19"/>
          <w:szCs w:val="19"/>
          <w:color w:val="003366"/>
        </w:rPr>
        <w:t>10</w:t>
      </w:r>
    </w:p>
    <w:p>
      <w:pPr>
        <w:sectPr>
          <w:pgSz w:w="11900" w:h="16838" w:orient="portrait"/>
          <w:cols w:equalWidth="0" w:num="2">
            <w:col w:w="5117" w:space="720"/>
            <w:col w:w="4880"/>
          </w:cols>
          <w:pgMar w:left="763" w:top="850" w:right="41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780"/>
        <w:spacing w:after="0"/>
        <w:rPr>
          <w:sz w:val="20"/>
          <w:szCs w:val="20"/>
          <w:color w:val="auto"/>
        </w:rPr>
      </w:pPr>
      <w:r>
        <w:rPr>
          <w:rFonts w:ascii="Arial" w:cs="Arial" w:eastAsia="Arial" w:hAnsi="Arial"/>
          <w:sz w:val="75"/>
          <w:szCs w:val="75"/>
          <w:b w:val="1"/>
          <w:bCs w:val="1"/>
          <w:i w:val="1"/>
          <w:iCs w:val="1"/>
          <w:color w:val="FFFFFF"/>
        </w:rPr>
        <w:t>Hybrid Stores</w:t>
      </w:r>
    </w:p>
    <w:p>
      <w:pPr>
        <w:sectPr>
          <w:pgSz w:w="11900" w:h="16838" w:orient="portrait"/>
          <w:cols w:equalWidth="0" w:num="1">
            <w:col w:w="9019"/>
          </w:cols>
          <w:pgMar w:left="1440" w:top="1440" w:right="1440" w:bottom="1440" w:gutter="0" w:footer="0" w:header="0"/>
        </w:sectPr>
      </w:pPr>
    </w:p>
    <w:bookmarkStart w:id="14" w:name="page15"/>
    <w:bookmarkEnd w:id="14"/>
    <w:p>
      <w:pPr>
        <w:ind w:left="836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Concept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140"/>
        <w:spacing w:after="0" w:line="232" w:lineRule="auto"/>
        <w:rPr>
          <w:sz w:val="20"/>
          <w:szCs w:val="20"/>
          <w:color w:val="auto"/>
        </w:rPr>
      </w:pPr>
      <w:r>
        <w:rPr>
          <w:rFonts w:ascii="Arial" w:cs="Arial" w:eastAsia="Arial" w:hAnsi="Arial"/>
          <w:sz w:val="37"/>
          <w:szCs w:val="37"/>
          <w:color w:val="FFFFFF"/>
        </w:rPr>
        <w:t>The Hybrid store, as conceived, is a combination Casual Male, Rochester store featuring the lifestyle sportswear apparel wardrobe needs offered by Casual Male, but with an added lifestyle of higher end fashion apparel offered by Rochester and an enhanced Clothing section featuring the quality and fashion of Rochester Clothing and the price points of Casual Male clothing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12</w:t>
      </w:r>
    </w:p>
    <w:p>
      <w:pPr>
        <w:sectPr>
          <w:pgSz w:w="11900" w:h="16838" w:orient="portrait"/>
          <w:cols w:equalWidth="0" w:num="1">
            <w:col w:w="10540"/>
          </w:cols>
          <w:pgMar w:left="900" w:top="891" w:right="459" w:bottom="1440" w:gutter="0" w:footer="0" w:header="0"/>
        </w:sectPr>
      </w:pPr>
    </w:p>
    <w:bookmarkStart w:id="15" w:name="page16"/>
    <w:bookmarkEnd w:id="15"/>
    <w:p>
      <w:pPr>
        <w:ind w:left="886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Hybrids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0" w:right="2340" w:hanging="419"/>
        <w:spacing w:after="0" w:line="227" w:lineRule="auto"/>
        <w:tabs>
          <w:tab w:leader="none" w:pos="420" w:val="left"/>
        </w:tabs>
        <w:numPr>
          <w:ilvl w:val="0"/>
          <w:numId w:val="11"/>
        </w:numPr>
        <w:rPr>
          <w:rFonts w:ascii="Arial" w:cs="Arial" w:eastAsia="Arial" w:hAnsi="Arial"/>
          <w:sz w:val="28"/>
          <w:szCs w:val="28"/>
          <w:color w:val="E75518"/>
        </w:rPr>
      </w:pPr>
      <w:r>
        <w:rPr>
          <w:rFonts w:ascii="Arial" w:cs="Arial" w:eastAsia="Arial" w:hAnsi="Arial"/>
          <w:sz w:val="28"/>
          <w:szCs w:val="28"/>
          <w:color w:val="FFFFFF"/>
        </w:rPr>
        <w:t>Eliminated duplicative accessories/furnishings between combined Rochester and Casual Male.</w:t>
      </w:r>
    </w:p>
    <w:p>
      <w:pPr>
        <w:spacing w:after="0" w:line="343" w:lineRule="exact"/>
        <w:rPr>
          <w:rFonts w:ascii="Arial" w:cs="Arial" w:eastAsia="Arial" w:hAnsi="Arial"/>
          <w:sz w:val="28"/>
          <w:szCs w:val="28"/>
          <w:color w:val="E75518"/>
        </w:rPr>
      </w:pPr>
    </w:p>
    <w:p>
      <w:pPr>
        <w:ind w:left="420" w:right="2660" w:hanging="419"/>
        <w:spacing w:after="0" w:line="227" w:lineRule="auto"/>
        <w:tabs>
          <w:tab w:leader="none" w:pos="420" w:val="left"/>
        </w:tabs>
        <w:numPr>
          <w:ilvl w:val="0"/>
          <w:numId w:val="11"/>
        </w:numPr>
        <w:rPr>
          <w:rFonts w:ascii="Arial" w:cs="Arial" w:eastAsia="Arial" w:hAnsi="Arial"/>
          <w:sz w:val="28"/>
          <w:szCs w:val="28"/>
          <w:color w:val="E75518"/>
        </w:rPr>
      </w:pPr>
      <w:r>
        <w:rPr>
          <w:rFonts w:ascii="Arial" w:cs="Arial" w:eastAsia="Arial" w:hAnsi="Arial"/>
          <w:sz w:val="28"/>
          <w:szCs w:val="28"/>
          <w:color w:val="FFFFFF"/>
        </w:rPr>
        <w:t>Good, better, best tiered offering with most of best coming from Rochester’s good and better assortment.</w:t>
      </w:r>
    </w:p>
    <w:p>
      <w:pPr>
        <w:spacing w:after="0" w:line="331" w:lineRule="exact"/>
        <w:rPr>
          <w:rFonts w:ascii="Arial" w:cs="Arial" w:eastAsia="Arial" w:hAnsi="Arial"/>
          <w:sz w:val="28"/>
          <w:szCs w:val="28"/>
          <w:color w:val="E75518"/>
        </w:rPr>
      </w:pPr>
    </w:p>
    <w:p>
      <w:pPr>
        <w:ind w:left="420" w:right="1740" w:hanging="419"/>
        <w:spacing w:after="0" w:line="218" w:lineRule="auto"/>
        <w:tabs>
          <w:tab w:leader="none" w:pos="420" w:val="left"/>
        </w:tabs>
        <w:numPr>
          <w:ilvl w:val="0"/>
          <w:numId w:val="11"/>
        </w:numPr>
        <w:rPr>
          <w:rFonts w:ascii="Arial" w:cs="Arial" w:eastAsia="Arial" w:hAnsi="Arial"/>
          <w:sz w:val="28"/>
          <w:szCs w:val="28"/>
          <w:color w:val="E75518"/>
        </w:rPr>
      </w:pPr>
      <w:r>
        <w:rPr>
          <w:rFonts w:ascii="Arial" w:cs="Arial" w:eastAsia="Arial" w:hAnsi="Arial"/>
          <w:sz w:val="28"/>
          <w:szCs w:val="28"/>
          <w:color w:val="FFFFFF"/>
        </w:rPr>
        <w:t>Edited assortment for brands carried in both companies i.e. Polo, CK Jeans. Assortment will be merged presenting a broader range of price points and looks without duplication</w:t>
      </w:r>
    </w:p>
    <w:p>
      <w:pPr>
        <w:spacing w:after="0" w:line="345" w:lineRule="exact"/>
        <w:rPr>
          <w:rFonts w:ascii="Arial" w:cs="Arial" w:eastAsia="Arial" w:hAnsi="Arial"/>
          <w:sz w:val="28"/>
          <w:szCs w:val="28"/>
          <w:color w:val="E75518"/>
        </w:rPr>
      </w:pPr>
    </w:p>
    <w:p>
      <w:pPr>
        <w:ind w:left="420" w:hanging="419"/>
        <w:spacing w:after="0"/>
        <w:tabs>
          <w:tab w:leader="none" w:pos="420" w:val="left"/>
        </w:tabs>
        <w:numPr>
          <w:ilvl w:val="0"/>
          <w:numId w:val="11"/>
        </w:numPr>
        <w:rPr>
          <w:rFonts w:ascii="Arial" w:cs="Arial" w:eastAsia="Arial" w:hAnsi="Arial"/>
          <w:sz w:val="28"/>
          <w:szCs w:val="28"/>
          <w:color w:val="E75518"/>
        </w:rPr>
      </w:pPr>
      <w:r>
        <w:rPr>
          <w:rFonts w:ascii="Arial" w:cs="Arial" w:eastAsia="Arial" w:hAnsi="Arial"/>
          <w:sz w:val="28"/>
          <w:szCs w:val="28"/>
          <w:color w:val="FFFFFF"/>
        </w:rPr>
        <w:t>Store will be merchandised separately by brand except:</w:t>
      </w:r>
    </w:p>
    <w:p>
      <w:pPr>
        <w:spacing w:after="0" w:line="18" w:lineRule="exact"/>
        <w:rPr>
          <w:rFonts w:ascii="Arial" w:cs="Arial" w:eastAsia="Arial" w:hAnsi="Arial"/>
          <w:sz w:val="28"/>
          <w:szCs w:val="28"/>
          <w:color w:val="E75518"/>
        </w:rPr>
      </w:pPr>
    </w:p>
    <w:p>
      <w:pPr>
        <w:ind w:left="560"/>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Denim will be presented as a combined shop</w:t>
      </w:r>
    </w:p>
    <w:p>
      <w:pPr>
        <w:spacing w:after="0" w:line="18" w:lineRule="exact"/>
        <w:rPr>
          <w:rFonts w:ascii="Arial" w:cs="Arial" w:eastAsia="Arial" w:hAnsi="Arial"/>
          <w:sz w:val="28"/>
          <w:szCs w:val="28"/>
          <w:color w:val="E75518"/>
        </w:rPr>
      </w:pPr>
    </w:p>
    <w:p>
      <w:pPr>
        <w:ind w:left="560"/>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Sportswear will be presented by Brand</w:t>
      </w:r>
    </w:p>
    <w:p>
      <w:pPr>
        <w:spacing w:after="0" w:line="7" w:lineRule="exact"/>
        <w:rPr>
          <w:rFonts w:ascii="Arial" w:cs="Arial" w:eastAsia="Arial" w:hAnsi="Arial"/>
          <w:sz w:val="28"/>
          <w:szCs w:val="28"/>
          <w:color w:val="E75518"/>
        </w:rPr>
      </w:pPr>
    </w:p>
    <w:p>
      <w:pPr>
        <w:ind w:left="560"/>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Clothing/Furnishings will be merchandised as a combined shop</w:t>
      </w:r>
    </w:p>
    <w:p>
      <w:pPr>
        <w:spacing w:after="0" w:line="18" w:lineRule="exact"/>
        <w:rPr>
          <w:rFonts w:ascii="Arial" w:cs="Arial" w:eastAsia="Arial" w:hAnsi="Arial"/>
          <w:sz w:val="28"/>
          <w:szCs w:val="28"/>
          <w:color w:val="E75518"/>
        </w:rPr>
      </w:pPr>
    </w:p>
    <w:p>
      <w:pPr>
        <w:ind w:left="560"/>
        <w:spacing w:after="0"/>
        <w:rPr>
          <w:rFonts w:ascii="Arial" w:cs="Arial" w:eastAsia="Arial" w:hAnsi="Arial"/>
          <w:sz w:val="28"/>
          <w:szCs w:val="28"/>
          <w:color w:val="E75518"/>
        </w:rPr>
      </w:pPr>
      <w:r>
        <w:rPr>
          <w:rFonts w:ascii="Arial" w:cs="Arial" w:eastAsia="Arial" w:hAnsi="Arial"/>
          <w:sz w:val="28"/>
          <w:szCs w:val="28"/>
          <w:color w:val="E75518"/>
        </w:rPr>
        <w:t xml:space="preserve">–  </w:t>
      </w:r>
      <w:r>
        <w:rPr>
          <w:rFonts w:ascii="Arial" w:cs="Arial" w:eastAsia="Arial" w:hAnsi="Arial"/>
          <w:sz w:val="28"/>
          <w:szCs w:val="28"/>
          <w:color w:val="FFFFFF"/>
        </w:rPr>
        <w:t>Shoes will be set up as a service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13</w:t>
      </w:r>
    </w:p>
    <w:p>
      <w:pPr>
        <w:sectPr>
          <w:pgSz w:w="11900" w:h="16838" w:orient="portrait"/>
          <w:cols w:equalWidth="0" w:num="1">
            <w:col w:w="10960"/>
          </w:cols>
          <w:pgMar w:left="480" w:top="850" w:right="459" w:bottom="1440" w:gutter="0" w:footer="0" w:header="0"/>
        </w:sectPr>
      </w:pPr>
    </w:p>
    <w:bookmarkStart w:id="16" w:name="page17"/>
    <w:bookmarkEnd w:id="16"/>
    <w:p>
      <w:pPr>
        <w:ind w:left="416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OPERATIONAL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23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Arial" w:cs="Arial" w:eastAsia="Arial" w:hAnsi="Arial"/>
                <w:sz w:val="28"/>
                <w:szCs w:val="28"/>
                <w:b w:val="1"/>
                <w:bCs w:val="1"/>
                <w:i w:val="1"/>
                <w:iCs w:val="1"/>
                <w:color w:val="auto"/>
              </w:rPr>
              <w:t>Casual Male</w:t>
            </w:r>
          </w:p>
        </w:tc>
        <w:tc>
          <w:tcPr>
            <w:tcW w:w="2160" w:type="dxa"/>
            <w:vAlign w:val="bottom"/>
          </w:tcPr>
          <w:p>
            <w:pPr>
              <w:ind w:left="420"/>
              <w:spacing w:after="0"/>
              <w:rPr>
                <w:sz w:val="20"/>
                <w:szCs w:val="20"/>
                <w:color w:val="auto"/>
              </w:rPr>
            </w:pPr>
            <w:r>
              <w:rPr>
                <w:rFonts w:ascii="Arial" w:cs="Arial" w:eastAsia="Arial" w:hAnsi="Arial"/>
                <w:sz w:val="28"/>
                <w:szCs w:val="28"/>
                <w:b w:val="1"/>
                <w:bCs w:val="1"/>
                <w:i w:val="1"/>
                <w:iCs w:val="1"/>
                <w:color w:val="auto"/>
              </w:rPr>
              <w:t>Rochester</w:t>
            </w:r>
          </w:p>
        </w:tc>
        <w:tc>
          <w:tcPr>
            <w:tcW w:w="2500" w:type="dxa"/>
            <w:vAlign w:val="bottom"/>
          </w:tcPr>
          <w:p>
            <w:pPr>
              <w:ind w:left="540"/>
              <w:spacing w:after="0"/>
              <w:rPr>
                <w:sz w:val="20"/>
                <w:szCs w:val="20"/>
                <w:color w:val="auto"/>
              </w:rPr>
            </w:pPr>
            <w:r>
              <w:rPr>
                <w:rFonts w:ascii="Arial" w:cs="Arial" w:eastAsia="Arial" w:hAnsi="Arial"/>
                <w:sz w:val="28"/>
                <w:szCs w:val="28"/>
                <w:b w:val="1"/>
                <w:bCs w:val="1"/>
                <w:i w:val="1"/>
                <w:iCs w:val="1"/>
                <w:color w:val="auto"/>
              </w:rPr>
              <w:t>Hybrid Store</w:t>
            </w:r>
          </w:p>
        </w:tc>
      </w:tr>
      <w:tr>
        <w:trPr>
          <w:trHeight w:val="519"/>
        </w:trPr>
        <w:tc>
          <w:tcPr>
            <w:tcW w:w="2300" w:type="dxa"/>
            <w:vAlign w:val="bottom"/>
          </w:tcPr>
          <w:p>
            <w:pPr>
              <w:jc w:val="center"/>
              <w:ind w:right="317"/>
              <w:spacing w:after="0"/>
              <w:rPr>
                <w:sz w:val="20"/>
                <w:szCs w:val="20"/>
                <w:color w:val="auto"/>
              </w:rPr>
            </w:pPr>
            <w:r>
              <w:rPr>
                <w:rFonts w:ascii="Arial" w:cs="Arial" w:eastAsia="Arial" w:hAnsi="Arial"/>
                <w:sz w:val="25"/>
                <w:szCs w:val="25"/>
                <w:b w:val="1"/>
                <w:bCs w:val="1"/>
                <w:i w:val="1"/>
                <w:iCs w:val="1"/>
                <w:color w:val="FFFFFF"/>
                <w:w w:val="98"/>
              </w:rPr>
              <w:t>Square Footage</w:t>
            </w:r>
          </w:p>
        </w:tc>
        <w:tc>
          <w:tcPr>
            <w:tcW w:w="2800" w:type="dxa"/>
            <w:vAlign w:val="bottom"/>
          </w:tcPr>
          <w:p>
            <w:pPr>
              <w:jc w:val="center"/>
              <w:ind w:left="44"/>
              <w:spacing w:after="0"/>
              <w:rPr>
                <w:sz w:val="20"/>
                <w:szCs w:val="20"/>
                <w:color w:val="auto"/>
              </w:rPr>
            </w:pPr>
            <w:r>
              <w:rPr>
                <w:rFonts w:ascii="Arial" w:cs="Arial" w:eastAsia="Arial" w:hAnsi="Arial"/>
                <w:sz w:val="22"/>
                <w:szCs w:val="22"/>
                <w:color w:val="auto"/>
              </w:rPr>
              <w:t>3,515</w:t>
            </w:r>
          </w:p>
        </w:tc>
        <w:tc>
          <w:tcPr>
            <w:tcW w:w="2160" w:type="dxa"/>
            <w:vAlign w:val="bottom"/>
          </w:tcPr>
          <w:p>
            <w:pPr>
              <w:jc w:val="center"/>
              <w:ind w:left="44"/>
              <w:spacing w:after="0"/>
              <w:rPr>
                <w:sz w:val="20"/>
                <w:szCs w:val="20"/>
                <w:color w:val="auto"/>
              </w:rPr>
            </w:pPr>
            <w:r>
              <w:rPr>
                <w:rFonts w:ascii="Arial" w:cs="Arial" w:eastAsia="Arial" w:hAnsi="Arial"/>
                <w:sz w:val="22"/>
                <w:szCs w:val="22"/>
                <w:color w:val="auto"/>
              </w:rPr>
              <w:t>8,156</w:t>
            </w:r>
          </w:p>
        </w:tc>
        <w:tc>
          <w:tcPr>
            <w:tcW w:w="2500" w:type="dxa"/>
            <w:vAlign w:val="bottom"/>
          </w:tcPr>
          <w:p>
            <w:pPr>
              <w:jc w:val="center"/>
              <w:ind w:left="384"/>
              <w:spacing w:after="0"/>
              <w:rPr>
                <w:sz w:val="20"/>
                <w:szCs w:val="20"/>
                <w:color w:val="auto"/>
              </w:rPr>
            </w:pPr>
            <w:r>
              <w:rPr>
                <w:rFonts w:ascii="Arial" w:cs="Arial" w:eastAsia="Arial" w:hAnsi="Arial"/>
                <w:sz w:val="22"/>
                <w:szCs w:val="22"/>
                <w:color w:val="auto"/>
              </w:rPr>
              <w:t>9,045</w:t>
            </w:r>
          </w:p>
        </w:tc>
      </w:tr>
      <w:tr>
        <w:trPr>
          <w:trHeight w:val="506"/>
        </w:trPr>
        <w:tc>
          <w:tcPr>
            <w:tcW w:w="2300" w:type="dxa"/>
            <w:vAlign w:val="bottom"/>
          </w:tcPr>
          <w:p>
            <w:pPr>
              <w:jc w:val="center"/>
              <w:ind w:right="117"/>
              <w:spacing w:after="0"/>
              <w:rPr>
                <w:sz w:val="20"/>
                <w:szCs w:val="20"/>
                <w:color w:val="auto"/>
              </w:rPr>
            </w:pPr>
            <w:r>
              <w:rPr>
                <w:rFonts w:ascii="Arial" w:cs="Arial" w:eastAsia="Arial" w:hAnsi="Arial"/>
                <w:sz w:val="25"/>
                <w:szCs w:val="25"/>
                <w:b w:val="1"/>
                <w:bCs w:val="1"/>
                <w:i w:val="1"/>
                <w:iCs w:val="1"/>
                <w:color w:val="FFFFFF"/>
                <w:w w:val="96"/>
              </w:rPr>
              <w:t>Pricing</w:t>
            </w:r>
          </w:p>
        </w:tc>
        <w:tc>
          <w:tcPr>
            <w:tcW w:w="2800" w:type="dxa"/>
            <w:vAlign w:val="bottom"/>
          </w:tcPr>
          <w:p>
            <w:pPr>
              <w:jc w:val="center"/>
              <w:ind w:left="24"/>
              <w:spacing w:after="0"/>
              <w:rPr>
                <w:sz w:val="20"/>
                <w:szCs w:val="20"/>
                <w:color w:val="auto"/>
              </w:rPr>
            </w:pPr>
            <w:r>
              <w:rPr>
                <w:rFonts w:ascii="Arial" w:cs="Arial" w:eastAsia="Arial" w:hAnsi="Arial"/>
                <w:sz w:val="22"/>
                <w:szCs w:val="22"/>
                <w:color w:val="auto"/>
              </w:rPr>
              <w:t>Moderate</w:t>
            </w:r>
          </w:p>
        </w:tc>
        <w:tc>
          <w:tcPr>
            <w:tcW w:w="2160" w:type="dxa"/>
            <w:vAlign w:val="bottom"/>
          </w:tcPr>
          <w:p>
            <w:pPr>
              <w:jc w:val="center"/>
              <w:ind w:left="44"/>
              <w:spacing w:after="0"/>
              <w:rPr>
                <w:sz w:val="20"/>
                <w:szCs w:val="20"/>
                <w:color w:val="auto"/>
              </w:rPr>
            </w:pPr>
            <w:r>
              <w:rPr>
                <w:rFonts w:ascii="Arial" w:cs="Arial" w:eastAsia="Arial" w:hAnsi="Arial"/>
                <w:sz w:val="22"/>
                <w:szCs w:val="22"/>
                <w:color w:val="auto"/>
              </w:rPr>
              <w:t>High End</w:t>
            </w:r>
          </w:p>
        </w:tc>
        <w:tc>
          <w:tcPr>
            <w:tcW w:w="2500" w:type="dxa"/>
            <w:vAlign w:val="bottom"/>
          </w:tcPr>
          <w:p>
            <w:pPr>
              <w:jc w:val="center"/>
              <w:ind w:left="284"/>
              <w:spacing w:after="0"/>
              <w:rPr>
                <w:sz w:val="20"/>
                <w:szCs w:val="20"/>
                <w:color w:val="auto"/>
              </w:rPr>
            </w:pPr>
            <w:r>
              <w:rPr>
                <w:rFonts w:ascii="Arial" w:cs="Arial" w:eastAsia="Arial" w:hAnsi="Arial"/>
                <w:sz w:val="22"/>
                <w:szCs w:val="22"/>
                <w:color w:val="auto"/>
              </w:rPr>
              <w:t>Mid-High Moderate</w:t>
            </w:r>
          </w:p>
        </w:tc>
      </w:tr>
      <w:tr>
        <w:trPr>
          <w:trHeight w:val="449"/>
        </w:trPr>
        <w:tc>
          <w:tcPr>
            <w:tcW w:w="2300" w:type="dxa"/>
            <w:vAlign w:val="bottom"/>
          </w:tcPr>
          <w:p>
            <w:pPr>
              <w:jc w:val="center"/>
              <w:ind w:right="277"/>
              <w:spacing w:after="0"/>
              <w:rPr>
                <w:sz w:val="20"/>
                <w:szCs w:val="20"/>
                <w:color w:val="auto"/>
              </w:rPr>
            </w:pPr>
            <w:r>
              <w:rPr>
                <w:rFonts w:ascii="Arial" w:cs="Arial" w:eastAsia="Arial" w:hAnsi="Arial"/>
                <w:sz w:val="25"/>
                <w:szCs w:val="25"/>
                <w:b w:val="1"/>
                <w:bCs w:val="1"/>
                <w:i w:val="1"/>
                <w:iCs w:val="1"/>
                <w:color w:val="FFFFFF"/>
                <w:w w:val="99"/>
              </w:rPr>
              <w:t>Average Unit</w:t>
            </w:r>
          </w:p>
        </w:tc>
        <w:tc>
          <w:tcPr>
            <w:tcW w:w="2800" w:type="dxa"/>
            <w:vAlign w:val="bottom"/>
          </w:tcPr>
          <w:p>
            <w:pPr>
              <w:jc w:val="center"/>
              <w:ind w:left="44"/>
              <w:spacing w:after="0"/>
              <w:rPr>
                <w:sz w:val="20"/>
                <w:szCs w:val="20"/>
                <w:color w:val="auto"/>
              </w:rPr>
            </w:pPr>
            <w:r>
              <w:rPr>
                <w:rFonts w:ascii="Arial" w:cs="Arial" w:eastAsia="Arial" w:hAnsi="Arial"/>
                <w:sz w:val="22"/>
                <w:szCs w:val="22"/>
                <w:color w:val="auto"/>
              </w:rPr>
              <w:t>$32.10</w:t>
            </w:r>
          </w:p>
        </w:tc>
        <w:tc>
          <w:tcPr>
            <w:tcW w:w="2160" w:type="dxa"/>
            <w:vAlign w:val="bottom"/>
          </w:tcPr>
          <w:p>
            <w:pPr>
              <w:jc w:val="center"/>
              <w:ind w:left="44"/>
              <w:spacing w:after="0"/>
              <w:rPr>
                <w:sz w:val="20"/>
                <w:szCs w:val="20"/>
                <w:color w:val="auto"/>
              </w:rPr>
            </w:pPr>
            <w:r>
              <w:rPr>
                <w:rFonts w:ascii="Arial" w:cs="Arial" w:eastAsia="Arial" w:hAnsi="Arial"/>
                <w:sz w:val="22"/>
                <w:szCs w:val="22"/>
                <w:color w:val="auto"/>
              </w:rPr>
              <w:t>$74.90</w:t>
            </w:r>
          </w:p>
        </w:tc>
        <w:tc>
          <w:tcPr>
            <w:tcW w:w="2500" w:type="dxa"/>
            <w:vAlign w:val="bottom"/>
          </w:tcPr>
          <w:p>
            <w:pPr>
              <w:jc w:val="center"/>
              <w:ind w:left="384"/>
              <w:spacing w:after="0"/>
              <w:rPr>
                <w:sz w:val="20"/>
                <w:szCs w:val="20"/>
                <w:color w:val="auto"/>
              </w:rPr>
            </w:pPr>
            <w:r>
              <w:rPr>
                <w:rFonts w:ascii="Arial" w:cs="Arial" w:eastAsia="Arial" w:hAnsi="Arial"/>
                <w:sz w:val="22"/>
                <w:szCs w:val="22"/>
                <w:color w:val="auto"/>
              </w:rPr>
              <w:t>$45.00</w:t>
            </w:r>
          </w:p>
        </w:tc>
      </w:tr>
      <w:tr>
        <w:trPr>
          <w:trHeight w:val="327"/>
        </w:trPr>
        <w:tc>
          <w:tcPr>
            <w:tcW w:w="2300" w:type="dxa"/>
            <w:vAlign w:val="bottom"/>
          </w:tcPr>
          <w:p>
            <w:pPr>
              <w:jc w:val="center"/>
              <w:ind w:right="117"/>
              <w:spacing w:after="0"/>
              <w:rPr>
                <w:sz w:val="20"/>
                <w:szCs w:val="20"/>
                <w:color w:val="auto"/>
              </w:rPr>
            </w:pPr>
            <w:r>
              <w:rPr>
                <w:rFonts w:ascii="Arial" w:cs="Arial" w:eastAsia="Arial" w:hAnsi="Arial"/>
                <w:sz w:val="25"/>
                <w:szCs w:val="25"/>
                <w:b w:val="1"/>
                <w:bCs w:val="1"/>
                <w:i w:val="1"/>
                <w:iCs w:val="1"/>
                <w:color w:val="FFFFFF"/>
                <w:w w:val="96"/>
              </w:rPr>
              <w:t>Retail</w:t>
            </w:r>
          </w:p>
        </w:tc>
        <w:tc>
          <w:tcPr>
            <w:tcW w:w="2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500"/>
        </w:trPr>
        <w:tc>
          <w:tcPr>
            <w:tcW w:w="2300" w:type="dxa"/>
            <w:vAlign w:val="bottom"/>
          </w:tcPr>
          <w:p>
            <w:pPr>
              <w:jc w:val="center"/>
              <w:ind w:right="137"/>
              <w:spacing w:after="0"/>
              <w:rPr>
                <w:sz w:val="20"/>
                <w:szCs w:val="20"/>
                <w:color w:val="auto"/>
              </w:rPr>
            </w:pPr>
            <w:r>
              <w:rPr>
                <w:rFonts w:ascii="Arial" w:cs="Arial" w:eastAsia="Arial" w:hAnsi="Arial"/>
                <w:sz w:val="25"/>
                <w:szCs w:val="25"/>
                <w:b w:val="1"/>
                <w:bCs w:val="1"/>
                <w:i w:val="1"/>
                <w:iCs w:val="1"/>
                <w:color w:val="FFFFFF"/>
                <w:w w:val="98"/>
              </w:rPr>
              <w:t>Service</w:t>
            </w:r>
          </w:p>
        </w:tc>
        <w:tc>
          <w:tcPr>
            <w:tcW w:w="2800" w:type="dxa"/>
            <w:vAlign w:val="bottom"/>
          </w:tcPr>
          <w:p>
            <w:pPr>
              <w:jc w:val="center"/>
              <w:spacing w:after="0"/>
              <w:rPr>
                <w:sz w:val="20"/>
                <w:szCs w:val="20"/>
                <w:color w:val="auto"/>
              </w:rPr>
            </w:pPr>
            <w:r>
              <w:rPr>
                <w:rFonts w:ascii="Arial" w:cs="Arial" w:eastAsia="Arial" w:hAnsi="Arial"/>
                <w:sz w:val="22"/>
                <w:szCs w:val="22"/>
                <w:color w:val="auto"/>
              </w:rPr>
              <w:t>Semi Self Service</w:t>
            </w:r>
          </w:p>
        </w:tc>
        <w:tc>
          <w:tcPr>
            <w:tcW w:w="2160" w:type="dxa"/>
            <w:vAlign w:val="bottom"/>
          </w:tcPr>
          <w:p>
            <w:pPr>
              <w:jc w:val="center"/>
              <w:ind w:left="24"/>
              <w:spacing w:after="0"/>
              <w:rPr>
                <w:sz w:val="20"/>
                <w:szCs w:val="20"/>
                <w:color w:val="auto"/>
              </w:rPr>
            </w:pPr>
            <w:r>
              <w:rPr>
                <w:rFonts w:ascii="Arial" w:cs="Arial" w:eastAsia="Arial" w:hAnsi="Arial"/>
                <w:sz w:val="22"/>
                <w:szCs w:val="22"/>
                <w:color w:val="auto"/>
              </w:rPr>
              <w:t>Full Service</w:t>
            </w:r>
          </w:p>
        </w:tc>
        <w:tc>
          <w:tcPr>
            <w:tcW w:w="2500" w:type="dxa"/>
            <w:vAlign w:val="bottom"/>
          </w:tcPr>
          <w:p>
            <w:pPr>
              <w:jc w:val="center"/>
              <w:ind w:left="264"/>
              <w:spacing w:after="0"/>
              <w:rPr>
                <w:sz w:val="20"/>
                <w:szCs w:val="20"/>
                <w:color w:val="auto"/>
              </w:rPr>
            </w:pPr>
            <w:r>
              <w:rPr>
                <w:rFonts w:ascii="Arial" w:cs="Arial" w:eastAsia="Arial" w:hAnsi="Arial"/>
                <w:sz w:val="22"/>
                <w:szCs w:val="22"/>
                <w:color w:val="auto"/>
              </w:rPr>
              <w:t>Leaning Towards Full</w:t>
            </w:r>
          </w:p>
        </w:tc>
      </w:tr>
      <w:tr>
        <w:trPr>
          <w:trHeight w:val="268"/>
        </w:trPr>
        <w:tc>
          <w:tcPr>
            <w:tcW w:w="23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500" w:type="dxa"/>
            <w:vAlign w:val="bottom"/>
          </w:tcPr>
          <w:p>
            <w:pPr>
              <w:jc w:val="center"/>
              <w:ind w:left="404"/>
              <w:spacing w:after="0"/>
              <w:rPr>
                <w:sz w:val="20"/>
                <w:szCs w:val="20"/>
                <w:color w:val="auto"/>
              </w:rPr>
            </w:pPr>
            <w:r>
              <w:rPr>
                <w:rFonts w:ascii="Arial" w:cs="Arial" w:eastAsia="Arial" w:hAnsi="Arial"/>
                <w:sz w:val="22"/>
                <w:szCs w:val="22"/>
                <w:color w:val="auto"/>
              </w:rPr>
              <w:t>Service</w:t>
            </w:r>
          </w:p>
        </w:tc>
      </w:tr>
      <w:tr>
        <w:trPr>
          <w:trHeight w:val="543"/>
        </w:trPr>
        <w:tc>
          <w:tcPr>
            <w:tcW w:w="2300" w:type="dxa"/>
            <w:vAlign w:val="bottom"/>
          </w:tcPr>
          <w:p>
            <w:pPr>
              <w:jc w:val="center"/>
              <w:ind w:right="177"/>
              <w:spacing w:after="0"/>
              <w:rPr>
                <w:sz w:val="20"/>
                <w:szCs w:val="20"/>
                <w:color w:val="auto"/>
              </w:rPr>
            </w:pPr>
            <w:r>
              <w:rPr>
                <w:rFonts w:ascii="Arial" w:cs="Arial" w:eastAsia="Arial" w:hAnsi="Arial"/>
                <w:sz w:val="25"/>
                <w:szCs w:val="25"/>
                <w:b w:val="1"/>
                <w:bCs w:val="1"/>
                <w:i w:val="1"/>
                <w:iCs w:val="1"/>
                <w:color w:val="FFFFFF"/>
                <w:w w:val="98"/>
              </w:rPr>
              <w:t>Tailoring</w:t>
            </w:r>
          </w:p>
        </w:tc>
        <w:tc>
          <w:tcPr>
            <w:tcW w:w="2800" w:type="dxa"/>
            <w:vAlign w:val="bottom"/>
          </w:tcPr>
          <w:p>
            <w:pPr>
              <w:jc w:val="center"/>
              <w:spacing w:after="0"/>
              <w:rPr>
                <w:sz w:val="20"/>
                <w:szCs w:val="20"/>
                <w:color w:val="auto"/>
              </w:rPr>
            </w:pPr>
            <w:r>
              <w:rPr>
                <w:rFonts w:ascii="Arial" w:cs="Arial" w:eastAsia="Arial" w:hAnsi="Arial"/>
                <w:sz w:val="22"/>
                <w:szCs w:val="22"/>
                <w:color w:val="auto"/>
                <w:w w:val="99"/>
              </w:rPr>
              <w:t>No Tailoring Service</w:t>
            </w:r>
          </w:p>
        </w:tc>
        <w:tc>
          <w:tcPr>
            <w:tcW w:w="2160" w:type="dxa"/>
            <w:vAlign w:val="bottom"/>
          </w:tcPr>
          <w:p>
            <w:pPr>
              <w:jc w:val="center"/>
              <w:ind w:left="24"/>
              <w:spacing w:after="0"/>
              <w:rPr>
                <w:sz w:val="20"/>
                <w:szCs w:val="20"/>
                <w:color w:val="auto"/>
              </w:rPr>
            </w:pPr>
            <w:r>
              <w:rPr>
                <w:rFonts w:ascii="Arial" w:cs="Arial" w:eastAsia="Arial" w:hAnsi="Arial"/>
                <w:sz w:val="22"/>
                <w:szCs w:val="22"/>
                <w:color w:val="auto"/>
              </w:rPr>
              <w:t>Full Service</w:t>
            </w:r>
          </w:p>
        </w:tc>
        <w:tc>
          <w:tcPr>
            <w:tcW w:w="2500" w:type="dxa"/>
            <w:vAlign w:val="bottom"/>
          </w:tcPr>
          <w:p>
            <w:pPr>
              <w:jc w:val="center"/>
              <w:ind w:left="244"/>
              <w:spacing w:after="0"/>
              <w:rPr>
                <w:sz w:val="20"/>
                <w:szCs w:val="20"/>
                <w:color w:val="auto"/>
              </w:rPr>
            </w:pPr>
            <w:r>
              <w:rPr>
                <w:rFonts w:ascii="Arial" w:cs="Arial" w:eastAsia="Arial" w:hAnsi="Arial"/>
                <w:sz w:val="22"/>
                <w:szCs w:val="22"/>
                <w:color w:val="auto"/>
              </w:rPr>
              <w:t>Full Service Tailoring</w:t>
            </w:r>
          </w:p>
        </w:tc>
      </w:tr>
      <w:tr>
        <w:trPr>
          <w:trHeight w:val="268"/>
        </w:trPr>
        <w:tc>
          <w:tcPr>
            <w:tcW w:w="2300" w:type="dxa"/>
            <w:vAlign w:val="bottom"/>
          </w:tcPr>
          <w:p>
            <w:pPr>
              <w:spacing w:after="0"/>
              <w:rPr>
                <w:sz w:val="23"/>
                <w:szCs w:val="23"/>
                <w:color w:val="auto"/>
              </w:rPr>
            </w:pPr>
          </w:p>
        </w:tc>
        <w:tc>
          <w:tcPr>
            <w:tcW w:w="2800" w:type="dxa"/>
            <w:vAlign w:val="bottom"/>
          </w:tcPr>
          <w:p>
            <w:pPr>
              <w:jc w:val="center"/>
              <w:ind w:left="64"/>
              <w:spacing w:after="0"/>
              <w:rPr>
                <w:sz w:val="20"/>
                <w:szCs w:val="20"/>
                <w:color w:val="auto"/>
              </w:rPr>
            </w:pPr>
            <w:r>
              <w:rPr>
                <w:rFonts w:ascii="Arial" w:cs="Arial" w:eastAsia="Arial" w:hAnsi="Arial"/>
                <w:sz w:val="22"/>
                <w:szCs w:val="22"/>
                <w:color w:val="auto"/>
              </w:rPr>
              <w:t>Offered</w:t>
            </w:r>
          </w:p>
        </w:tc>
        <w:tc>
          <w:tcPr>
            <w:tcW w:w="2160" w:type="dxa"/>
            <w:vAlign w:val="bottom"/>
          </w:tcPr>
          <w:p>
            <w:pPr>
              <w:jc w:val="center"/>
              <w:ind w:left="24"/>
              <w:spacing w:after="0"/>
              <w:rPr>
                <w:sz w:val="20"/>
                <w:szCs w:val="20"/>
                <w:color w:val="auto"/>
              </w:rPr>
            </w:pPr>
            <w:r>
              <w:rPr>
                <w:rFonts w:ascii="Arial" w:cs="Arial" w:eastAsia="Arial" w:hAnsi="Arial"/>
                <w:sz w:val="22"/>
                <w:szCs w:val="22"/>
                <w:color w:val="auto"/>
                <w:w w:val="97"/>
              </w:rPr>
              <w:t>Tailoring</w:t>
            </w:r>
          </w:p>
        </w:tc>
        <w:tc>
          <w:tcPr>
            <w:tcW w:w="25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14</w:t>
      </w:r>
    </w:p>
    <w:p>
      <w:pPr>
        <w:sectPr>
          <w:pgSz w:w="11900" w:h="16838" w:orient="portrait"/>
          <w:cols w:equalWidth="0" w:num="1">
            <w:col w:w="10360"/>
          </w:cols>
          <w:pgMar w:left="1080" w:top="809" w:right="4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80"/>
        <w:spacing w:after="0"/>
        <w:rPr>
          <w:sz w:val="20"/>
          <w:szCs w:val="20"/>
          <w:color w:val="auto"/>
        </w:rPr>
      </w:pPr>
      <w:r>
        <w:rPr>
          <w:rFonts w:ascii="Arial" w:cs="Arial" w:eastAsia="Arial" w:hAnsi="Arial"/>
          <w:sz w:val="25"/>
          <w:szCs w:val="25"/>
          <w:color w:val="FFFFFF"/>
        </w:rPr>
        <w:t>OAKBROOK, IL •Existing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15</w:t>
      </w:r>
    </w:p>
    <w:p>
      <w:pPr>
        <w:sectPr>
          <w:pgSz w:w="11900" w:h="16838" w:orient="portrait"/>
          <w:cols w:equalWidth="0" w:num="1">
            <w:col w:w="10000"/>
          </w:cols>
          <w:pgMar w:left="1440" w:top="1440" w:right="4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40"/>
        <w:spacing w:after="0"/>
        <w:rPr>
          <w:sz w:val="20"/>
          <w:szCs w:val="20"/>
          <w:color w:val="auto"/>
        </w:rPr>
      </w:pPr>
      <w:r>
        <w:rPr>
          <w:rFonts w:ascii="Arial" w:cs="Arial" w:eastAsia="Arial" w:hAnsi="Arial"/>
          <w:sz w:val="25"/>
          <w:szCs w:val="25"/>
          <w:color w:val="FFFFFF"/>
        </w:rPr>
        <w:t>OAKBROOK, IL •Hybrid Store Front</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16</w:t>
      </w:r>
    </w:p>
    <w:p>
      <w:pPr>
        <w:sectPr>
          <w:pgSz w:w="11900" w:h="16838" w:orient="portrait"/>
          <w:cols w:equalWidth="0" w:num="1">
            <w:col w:w="10000"/>
          </w:cols>
          <w:pgMar w:left="1440" w:top="1440" w:right="4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720"/>
        <w:spacing w:after="0"/>
        <w:rPr>
          <w:sz w:val="20"/>
          <w:szCs w:val="20"/>
          <w:color w:val="auto"/>
        </w:rPr>
      </w:pPr>
      <w:r>
        <w:rPr>
          <w:rFonts w:ascii="Arial" w:cs="Arial" w:eastAsia="Arial" w:hAnsi="Arial"/>
          <w:sz w:val="25"/>
          <w:szCs w:val="25"/>
          <w:color w:val="FFFFFF"/>
        </w:rPr>
        <w:t>TYPICAL HYBRID STORE LAYOUT PROPOSAL</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17</w:t>
      </w:r>
    </w:p>
    <w:p>
      <w:pPr>
        <w:sectPr>
          <w:pgSz w:w="11900" w:h="16838" w:orient="portrait"/>
          <w:cols w:equalWidth="0" w:num="1">
            <w:col w:w="10000"/>
          </w:cols>
          <w:pgMar w:left="1440" w:top="1440" w:right="4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780"/>
        <w:spacing w:after="0"/>
        <w:rPr>
          <w:sz w:val="20"/>
          <w:szCs w:val="20"/>
          <w:color w:val="auto"/>
        </w:rPr>
      </w:pPr>
      <w:r>
        <w:rPr>
          <w:rFonts w:ascii="Arial" w:cs="Arial" w:eastAsia="Arial" w:hAnsi="Arial"/>
          <w:sz w:val="25"/>
          <w:szCs w:val="25"/>
          <w:color w:val="FFFFFF"/>
        </w:rPr>
        <w:t>TYPICAL HYBRID STORE SHOP IDENTITY</w:t>
      </w:r>
    </w:p>
    <w:p>
      <w:pPr>
        <w:spacing w:after="0" w:line="18" w:lineRule="exact"/>
        <w:rPr>
          <w:sz w:val="20"/>
          <w:szCs w:val="20"/>
          <w:color w:val="auto"/>
        </w:rPr>
      </w:pPr>
    </w:p>
    <w:p>
      <w:pPr>
        <w:ind w:left="3320"/>
        <w:spacing w:after="0"/>
        <w:rPr>
          <w:sz w:val="20"/>
          <w:szCs w:val="20"/>
          <w:color w:val="auto"/>
        </w:rPr>
      </w:pPr>
      <w:r>
        <w:rPr>
          <w:rFonts w:ascii="Arial" w:cs="Arial" w:eastAsia="Arial" w:hAnsi="Arial"/>
          <w:sz w:val="25"/>
          <w:szCs w:val="25"/>
          <w:color w:val="FFFFFF"/>
        </w:rPr>
        <w:t>LIGHT WOOD vs. DARK WOOD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18</w:t>
      </w:r>
    </w:p>
    <w:p>
      <w:pPr>
        <w:sectPr>
          <w:pgSz w:w="11900" w:h="16838" w:orient="portrait"/>
          <w:cols w:equalWidth="0" w:num="1">
            <w:col w:w="10000"/>
          </w:cols>
          <w:pgMar w:left="1440" w:top="1440" w:right="459" w:bottom="1440" w:gutter="0" w:footer="0" w:header="0"/>
        </w:sectPr>
      </w:pPr>
    </w:p>
    <w:bookmarkStart w:id="21" w:name="page22"/>
    <w:bookmarkEnd w:id="21"/>
    <w:p>
      <w:pPr>
        <w:ind w:left="222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CMRG Comparable Sales Trend</w:t>
      </w:r>
    </w:p>
    <w:p>
      <w:pPr>
        <w:spacing w:after="0" w:line="200" w:lineRule="exact"/>
        <w:rPr>
          <w:sz w:val="20"/>
          <w:szCs w:val="20"/>
          <w:color w:val="auto"/>
        </w:rPr>
      </w:pPr>
    </w:p>
    <w:p>
      <w:pPr>
        <w:spacing w:after="0" w:line="255" w:lineRule="exact"/>
        <w:rPr>
          <w:sz w:val="20"/>
          <w:szCs w:val="20"/>
          <w:color w:val="auto"/>
        </w:rPr>
      </w:pPr>
    </w:p>
    <w:p>
      <w:pPr>
        <w:ind w:left="740"/>
        <w:spacing w:after="0"/>
        <w:rPr>
          <w:sz w:val="20"/>
          <w:szCs w:val="20"/>
          <w:color w:val="auto"/>
        </w:rPr>
      </w:pPr>
      <w:r>
        <w:rPr>
          <w:rFonts w:ascii="Arial" w:cs="Arial" w:eastAsia="Arial" w:hAnsi="Arial"/>
          <w:sz w:val="19"/>
          <w:szCs w:val="19"/>
          <w:color w:val="FFFFFF"/>
        </w:rPr>
        <w:t>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Arial" w:cs="Arial" w:eastAsia="Arial" w:hAnsi="Arial"/>
          <w:sz w:val="19"/>
          <w:szCs w:val="19"/>
          <w:color w:val="FFFFFF"/>
        </w:rPr>
        <w:t>0.05</w:t>
      </w:r>
    </w:p>
    <w:p>
      <w:pPr>
        <w:spacing w:after="0" w:line="200" w:lineRule="exact"/>
        <w:rPr>
          <w:sz w:val="20"/>
          <w:szCs w:val="20"/>
          <w:color w:val="auto"/>
        </w:rPr>
      </w:pPr>
    </w:p>
    <w:p>
      <w:pPr>
        <w:spacing w:after="0" w:line="252" w:lineRule="exact"/>
        <w:rPr>
          <w:sz w:val="20"/>
          <w:szCs w:val="20"/>
          <w:color w:val="auto"/>
        </w:rPr>
      </w:pPr>
    </w:p>
    <w:p>
      <w:pPr>
        <w:ind w:left="6960"/>
        <w:spacing w:after="0"/>
        <w:rPr>
          <w:sz w:val="20"/>
          <w:szCs w:val="20"/>
          <w:color w:val="auto"/>
        </w:rPr>
      </w:pPr>
      <w:r>
        <w:rPr>
          <w:rFonts w:ascii="Arial" w:cs="Arial" w:eastAsia="Arial" w:hAnsi="Arial"/>
          <w:sz w:val="19"/>
          <w:szCs w:val="19"/>
          <w:color w:val="FFFFFF"/>
        </w:rPr>
        <w:t>2009</w:t>
      </w:r>
    </w:p>
    <w:p>
      <w:pPr>
        <w:spacing w:after="0" w:line="170" w:lineRule="exact"/>
        <w:rPr>
          <w:sz w:val="20"/>
          <w:szCs w:val="20"/>
          <w:color w:val="auto"/>
        </w:rPr>
      </w:pPr>
    </w:p>
    <w:p>
      <w:pPr>
        <w:ind w:left="940"/>
        <w:spacing w:after="0"/>
        <w:rPr>
          <w:sz w:val="20"/>
          <w:szCs w:val="20"/>
          <w:color w:val="auto"/>
        </w:rPr>
      </w:pPr>
      <w:r>
        <w:rPr>
          <w:rFonts w:ascii="Arial" w:cs="Arial" w:eastAsia="Arial" w:hAnsi="Arial"/>
          <w:sz w:val="19"/>
          <w:szCs w:val="19"/>
          <w:color w:val="FFFFFF"/>
        </w:rPr>
        <w:t>0</w:t>
      </w:r>
    </w:p>
    <w:p>
      <w:pPr>
        <w:spacing w:after="0" w:line="64" w:lineRule="exact"/>
        <w:rPr>
          <w:sz w:val="20"/>
          <w:szCs w:val="20"/>
          <w:color w:val="auto"/>
        </w:rPr>
      </w:pPr>
    </w:p>
    <w:p>
      <w:pPr>
        <w:ind w:left="1560"/>
        <w:spacing w:after="0"/>
        <w:tabs>
          <w:tab w:leader="none" w:pos="2740" w:val="left"/>
          <w:tab w:leader="none" w:pos="3960" w:val="left"/>
          <w:tab w:leader="none" w:pos="5160" w:val="left"/>
          <w:tab w:leader="none" w:pos="6480" w:val="left"/>
          <w:tab w:leader="none" w:pos="7680" w:val="left"/>
        </w:tabs>
        <w:rPr>
          <w:sz w:val="20"/>
          <w:szCs w:val="20"/>
          <w:color w:val="auto"/>
        </w:rPr>
      </w:pPr>
      <w:r>
        <w:rPr>
          <w:rFonts w:ascii="Arial" w:cs="Arial" w:eastAsia="Arial" w:hAnsi="Arial"/>
          <w:sz w:val="19"/>
          <w:szCs w:val="19"/>
          <w:color w:val="FFFFFF"/>
        </w:rPr>
        <w:t>2005</w:t>
      </w:r>
      <w:r>
        <w:rPr>
          <w:sz w:val="20"/>
          <w:szCs w:val="20"/>
          <w:color w:val="auto"/>
        </w:rPr>
        <w:tab/>
      </w:r>
      <w:r>
        <w:rPr>
          <w:rFonts w:ascii="Arial" w:cs="Arial" w:eastAsia="Arial" w:hAnsi="Arial"/>
          <w:sz w:val="19"/>
          <w:szCs w:val="19"/>
          <w:color w:val="FFFFFF"/>
        </w:rPr>
        <w:t>2006</w:t>
      </w:r>
      <w:r>
        <w:rPr>
          <w:sz w:val="20"/>
          <w:szCs w:val="20"/>
          <w:color w:val="auto"/>
        </w:rPr>
        <w:tab/>
      </w:r>
      <w:r>
        <w:rPr>
          <w:rFonts w:ascii="Arial" w:cs="Arial" w:eastAsia="Arial" w:hAnsi="Arial"/>
          <w:sz w:val="19"/>
          <w:szCs w:val="19"/>
          <w:color w:val="FFFFFF"/>
        </w:rPr>
        <w:t>2007</w:t>
      </w:r>
      <w:r>
        <w:rPr>
          <w:sz w:val="20"/>
          <w:szCs w:val="20"/>
          <w:color w:val="auto"/>
        </w:rPr>
        <w:tab/>
      </w:r>
      <w:r>
        <w:rPr>
          <w:rFonts w:ascii="Arial" w:cs="Arial" w:eastAsia="Arial" w:hAnsi="Arial"/>
          <w:sz w:val="19"/>
          <w:szCs w:val="19"/>
          <w:color w:val="FFFFFF"/>
        </w:rPr>
        <w:t>2008</w:t>
      </w:r>
      <w:r>
        <w:rPr>
          <w:sz w:val="20"/>
          <w:szCs w:val="20"/>
          <w:color w:val="auto"/>
        </w:rPr>
        <w:tab/>
      </w:r>
      <w:r>
        <w:rPr>
          <w:rFonts w:ascii="Arial" w:cs="Arial" w:eastAsia="Arial" w:hAnsi="Arial"/>
          <w:sz w:val="19"/>
          <w:szCs w:val="19"/>
          <w:color w:val="FFFFFF"/>
        </w:rPr>
        <w:t>Q1</w:t>
      </w:r>
      <w:r>
        <w:rPr>
          <w:sz w:val="20"/>
          <w:szCs w:val="20"/>
          <w:color w:val="auto"/>
        </w:rPr>
        <w:tab/>
      </w:r>
      <w:r>
        <w:rPr>
          <w:rFonts w:ascii="Arial" w:cs="Arial" w:eastAsia="Arial" w:hAnsi="Arial"/>
          <w:sz w:val="19"/>
          <w:szCs w:val="19"/>
          <w:color w:val="FFFFFF"/>
        </w:rPr>
        <w:t>Q2</w:t>
      </w:r>
    </w:p>
    <w:p>
      <w:pPr>
        <w:spacing w:after="0" w:line="200" w:lineRule="exact"/>
        <w:rPr>
          <w:sz w:val="20"/>
          <w:szCs w:val="20"/>
          <w:color w:val="auto"/>
        </w:rPr>
      </w:pPr>
    </w:p>
    <w:p>
      <w:pPr>
        <w:spacing w:after="0" w:line="357" w:lineRule="exact"/>
        <w:rPr>
          <w:sz w:val="20"/>
          <w:szCs w:val="20"/>
          <w:color w:val="auto"/>
        </w:rPr>
      </w:pPr>
    </w:p>
    <w:p>
      <w:pPr>
        <w:ind w:left="520"/>
        <w:spacing w:after="0"/>
        <w:rPr>
          <w:sz w:val="20"/>
          <w:szCs w:val="20"/>
          <w:color w:val="auto"/>
        </w:rPr>
      </w:pPr>
      <w:r>
        <w:rPr>
          <w:rFonts w:ascii="Arial" w:cs="Arial" w:eastAsia="Arial" w:hAnsi="Arial"/>
          <w:sz w:val="19"/>
          <w:szCs w:val="19"/>
          <w:color w:val="FFFFFF"/>
        </w:rPr>
        <w:t>-0.05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9"/>
          <w:szCs w:val="19"/>
          <w:color w:val="FFFFFF"/>
        </w:rPr>
        <w:t>-0.1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
        <w:spacing w:after="0"/>
        <w:rPr>
          <w:sz w:val="20"/>
          <w:szCs w:val="20"/>
          <w:color w:val="auto"/>
        </w:rPr>
      </w:pPr>
      <w:r>
        <w:rPr>
          <w:rFonts w:ascii="Arial" w:cs="Arial" w:eastAsia="Arial" w:hAnsi="Arial"/>
          <w:sz w:val="19"/>
          <w:szCs w:val="19"/>
          <w:color w:val="FFFFFF"/>
        </w:rPr>
        <w:t>-0.15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19</w:t>
      </w:r>
    </w:p>
    <w:p>
      <w:pPr>
        <w:sectPr>
          <w:pgSz w:w="11900" w:h="16838" w:orient="portrait"/>
          <w:cols w:equalWidth="0" w:num="1">
            <w:col w:w="10000"/>
          </w:cols>
          <w:pgMar w:left="1440" w:top="797" w:right="459" w:bottom="1440" w:gutter="0" w:footer="0" w:header="0"/>
        </w:sectPr>
      </w:pPr>
    </w:p>
    <w:bookmarkStart w:id="22" w:name="page23"/>
    <w:bookmarkEnd w:id="22"/>
    <w:p>
      <w:pPr>
        <w:ind w:left="56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Our Direct to Consumer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780"/>
        <w:spacing w:after="0"/>
        <w:rPr>
          <w:sz w:val="20"/>
          <w:szCs w:val="20"/>
          <w:color w:val="auto"/>
        </w:rPr>
      </w:pPr>
      <w:r>
        <w:rPr>
          <w:rFonts w:ascii="Arial" w:cs="Arial" w:eastAsia="Arial" w:hAnsi="Arial"/>
          <w:sz w:val="38"/>
          <w:szCs w:val="38"/>
          <w:b w:val="1"/>
          <w:bCs w:val="1"/>
          <w:color w:val="FFFFFF"/>
        </w:rPr>
        <w:t>CasualmaleXL.com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40" w:val="left"/>
        </w:tabs>
        <w:rPr>
          <w:sz w:val="20"/>
          <w:szCs w:val="20"/>
          <w:color w:val="auto"/>
        </w:rPr>
      </w:pPr>
      <w:r>
        <w:rPr>
          <w:rFonts w:ascii="Arial" w:cs="Arial" w:eastAsia="Arial" w:hAnsi="Arial"/>
          <w:sz w:val="38"/>
          <w:szCs w:val="38"/>
          <w:b w:val="1"/>
          <w:bCs w:val="1"/>
          <w:color w:val="FFFFFF"/>
        </w:rPr>
        <w:t>Rochesterclothing.com</w:t>
      </w:r>
      <w:r>
        <w:rPr>
          <w:sz w:val="20"/>
          <w:szCs w:val="20"/>
          <w:color w:val="auto"/>
        </w:rPr>
        <w:tab/>
      </w:r>
      <w:r>
        <w:rPr>
          <w:rFonts w:ascii="Arial" w:cs="Arial" w:eastAsia="Arial" w:hAnsi="Arial"/>
          <w:sz w:val="75"/>
          <w:szCs w:val="75"/>
          <w:b w:val="1"/>
          <w:bCs w:val="1"/>
          <w:color w:val="FFFFFF"/>
          <w:vertAlign w:val="superscript"/>
        </w:rPr>
        <w:t>Livingxl.com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80"/>
        <w:spacing w:after="0"/>
        <w:rPr>
          <w:sz w:val="20"/>
          <w:szCs w:val="20"/>
          <w:color w:val="auto"/>
        </w:rPr>
      </w:pPr>
      <w:r>
        <w:rPr>
          <w:rFonts w:ascii="Arial" w:cs="Arial" w:eastAsia="Arial" w:hAnsi="Arial"/>
          <w:sz w:val="38"/>
          <w:szCs w:val="38"/>
          <w:b w:val="1"/>
          <w:bCs w:val="1"/>
          <w:color w:val="FFFFFF"/>
        </w:rPr>
        <w:t>ShoesXL.com</w:t>
      </w:r>
    </w:p>
    <w:p>
      <w:pPr>
        <w:spacing w:after="0" w:line="64" w:lineRule="exact"/>
        <w:rPr>
          <w:sz w:val="20"/>
          <w:szCs w:val="20"/>
          <w:color w:val="auto"/>
        </w:rPr>
      </w:pPr>
    </w:p>
    <w:p>
      <w:pPr>
        <w:ind w:left="7120"/>
        <w:spacing w:after="0"/>
        <w:rPr>
          <w:sz w:val="20"/>
          <w:szCs w:val="20"/>
          <w:color w:val="auto"/>
        </w:rPr>
      </w:pPr>
      <w:r>
        <w:rPr>
          <w:rFonts w:ascii="Arial" w:cs="Arial" w:eastAsia="Arial" w:hAnsi="Arial"/>
          <w:sz w:val="38"/>
          <w:szCs w:val="38"/>
          <w:b w:val="1"/>
          <w:bCs w:val="1"/>
          <w:color w:val="FFFFFF"/>
        </w:rPr>
        <w:t>BTDirect.com</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20</w:t>
      </w:r>
    </w:p>
    <w:p>
      <w:pPr>
        <w:sectPr>
          <w:pgSz w:w="11900" w:h="16838" w:orient="portrait"/>
          <w:cols w:equalWidth="0" w:num="1">
            <w:col w:w="10280"/>
          </w:cols>
          <w:pgMar w:left="1160" w:top="1009" w:right="459" w:bottom="1440" w:gutter="0" w:footer="0" w:header="0"/>
        </w:sectPr>
      </w:pPr>
    </w:p>
    <w:bookmarkStart w:id="23" w:name="page24"/>
    <w:bookmarkEnd w:id="23"/>
    <w:p>
      <w:pPr>
        <w:ind w:left="178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CMRG Internet Sales by Year</w:t>
      </w:r>
    </w:p>
    <w:p>
      <w:pPr>
        <w:spacing w:after="0" w:line="200" w:lineRule="exact"/>
        <w:rPr>
          <w:sz w:val="20"/>
          <w:szCs w:val="20"/>
          <w:color w:val="auto"/>
        </w:rPr>
      </w:pPr>
    </w:p>
    <w:p>
      <w:pPr>
        <w:spacing w:after="0" w:line="35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$60,000,000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$50,000,000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$40,000,000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$30,000,000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$20,000,000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FFFFFF"/>
        </w:rPr>
        <w:t>$10,000,000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520"/>
        <w:spacing w:after="0"/>
        <w:rPr>
          <w:sz w:val="20"/>
          <w:szCs w:val="20"/>
          <w:color w:val="auto"/>
        </w:rPr>
      </w:pPr>
      <w:r>
        <w:rPr>
          <w:rFonts w:ascii="Arial" w:cs="Arial" w:eastAsia="Arial" w:hAnsi="Arial"/>
          <w:sz w:val="19"/>
          <w:szCs w:val="19"/>
          <w:b w:val="1"/>
          <w:bCs w:val="1"/>
          <w:color w:val="FFFFFF"/>
        </w:rPr>
        <w:t>$0</w:t>
      </w:r>
    </w:p>
    <w:p>
      <w:pPr>
        <w:spacing w:after="0" w:line="64" w:lineRule="exact"/>
        <w:rPr>
          <w:sz w:val="20"/>
          <w:szCs w:val="20"/>
          <w:color w:val="auto"/>
        </w:rPr>
      </w:pPr>
    </w:p>
    <w:p>
      <w:pPr>
        <w:ind w:left="2260"/>
        <w:spacing w:after="0"/>
        <w:tabs>
          <w:tab w:leader="none" w:pos="3220" w:val="left"/>
          <w:tab w:leader="none" w:pos="4220" w:val="left"/>
          <w:tab w:leader="none" w:pos="5200" w:val="left"/>
          <w:tab w:leader="none" w:pos="6180" w:val="left"/>
          <w:tab w:leader="none" w:pos="7180" w:val="left"/>
          <w:tab w:leader="none" w:pos="8160" w:val="left"/>
        </w:tabs>
        <w:rPr>
          <w:sz w:val="20"/>
          <w:szCs w:val="20"/>
          <w:color w:val="auto"/>
        </w:rPr>
      </w:pPr>
      <w:r>
        <w:rPr>
          <w:rFonts w:ascii="Arial" w:cs="Arial" w:eastAsia="Arial" w:hAnsi="Arial"/>
          <w:sz w:val="21"/>
          <w:szCs w:val="21"/>
          <w:b w:val="1"/>
          <w:bCs w:val="1"/>
          <w:color w:val="FFFFFF"/>
        </w:rPr>
        <w:t>2002</w:t>
      </w:r>
      <w:r>
        <w:rPr>
          <w:sz w:val="20"/>
          <w:szCs w:val="20"/>
          <w:color w:val="auto"/>
        </w:rPr>
        <w:tab/>
      </w:r>
      <w:r>
        <w:rPr>
          <w:rFonts w:ascii="Arial" w:cs="Arial" w:eastAsia="Arial" w:hAnsi="Arial"/>
          <w:sz w:val="21"/>
          <w:szCs w:val="21"/>
          <w:b w:val="1"/>
          <w:bCs w:val="1"/>
          <w:color w:val="FFFFFF"/>
        </w:rPr>
        <w:t>2003</w:t>
      </w:r>
      <w:r>
        <w:rPr>
          <w:sz w:val="20"/>
          <w:szCs w:val="20"/>
          <w:color w:val="auto"/>
        </w:rPr>
        <w:tab/>
      </w:r>
      <w:r>
        <w:rPr>
          <w:rFonts w:ascii="Arial" w:cs="Arial" w:eastAsia="Arial" w:hAnsi="Arial"/>
          <w:sz w:val="21"/>
          <w:szCs w:val="21"/>
          <w:b w:val="1"/>
          <w:bCs w:val="1"/>
          <w:color w:val="FFFFFF"/>
        </w:rPr>
        <w:t>2004</w:t>
      </w:r>
      <w:r>
        <w:rPr>
          <w:sz w:val="20"/>
          <w:szCs w:val="20"/>
          <w:color w:val="auto"/>
        </w:rPr>
        <w:tab/>
      </w:r>
      <w:r>
        <w:rPr>
          <w:rFonts w:ascii="Arial" w:cs="Arial" w:eastAsia="Arial" w:hAnsi="Arial"/>
          <w:sz w:val="21"/>
          <w:szCs w:val="21"/>
          <w:b w:val="1"/>
          <w:bCs w:val="1"/>
          <w:color w:val="FFFFFF"/>
        </w:rPr>
        <w:t>2005</w:t>
      </w:r>
      <w:r>
        <w:rPr>
          <w:sz w:val="20"/>
          <w:szCs w:val="20"/>
          <w:color w:val="auto"/>
        </w:rPr>
        <w:tab/>
      </w:r>
      <w:r>
        <w:rPr>
          <w:rFonts w:ascii="Arial" w:cs="Arial" w:eastAsia="Arial" w:hAnsi="Arial"/>
          <w:sz w:val="21"/>
          <w:szCs w:val="21"/>
          <w:b w:val="1"/>
          <w:bCs w:val="1"/>
          <w:color w:val="FFFFFF"/>
        </w:rPr>
        <w:t>2006</w:t>
      </w:r>
      <w:r>
        <w:rPr>
          <w:sz w:val="20"/>
          <w:szCs w:val="20"/>
          <w:color w:val="auto"/>
        </w:rPr>
        <w:tab/>
      </w:r>
      <w:r>
        <w:rPr>
          <w:rFonts w:ascii="Arial" w:cs="Arial" w:eastAsia="Arial" w:hAnsi="Arial"/>
          <w:sz w:val="21"/>
          <w:szCs w:val="21"/>
          <w:b w:val="1"/>
          <w:bCs w:val="1"/>
          <w:color w:val="FFFFFF"/>
        </w:rPr>
        <w:t>2007</w:t>
      </w:r>
      <w:r>
        <w:rPr>
          <w:sz w:val="20"/>
          <w:szCs w:val="20"/>
          <w:color w:val="auto"/>
        </w:rPr>
        <w:tab/>
      </w:r>
      <w:r>
        <w:rPr>
          <w:rFonts w:ascii="Arial" w:cs="Arial" w:eastAsia="Arial" w:hAnsi="Arial"/>
          <w:sz w:val="20"/>
          <w:szCs w:val="20"/>
          <w:b w:val="1"/>
          <w:bCs w:val="1"/>
          <w:color w:val="FFFFFF"/>
        </w:rPr>
        <w:t>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21</w:t>
      </w:r>
    </w:p>
    <w:p>
      <w:pPr>
        <w:sectPr>
          <w:pgSz w:w="11900" w:h="16838" w:orient="portrait"/>
          <w:cols w:equalWidth="0" w:num="1">
            <w:col w:w="10000"/>
          </w:cols>
          <w:pgMar w:left="1440" w:top="850" w:right="45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780"/>
        <w:spacing w:after="0"/>
        <w:rPr>
          <w:sz w:val="20"/>
          <w:szCs w:val="20"/>
          <w:color w:val="auto"/>
        </w:rPr>
      </w:pPr>
      <w:r>
        <w:rPr>
          <w:rFonts w:ascii="Arial" w:cs="Arial" w:eastAsia="Arial" w:hAnsi="Arial"/>
          <w:sz w:val="19"/>
          <w:szCs w:val="19"/>
          <w:color w:val="003366"/>
        </w:rPr>
        <w:t>22</w:t>
      </w:r>
    </w:p>
    <w:p>
      <w:pPr>
        <w:sectPr>
          <w:pgSz w:w="11900" w:h="16838" w:orient="portrait"/>
          <w:cols w:equalWidth="0" w:num="1">
            <w:col w:w="10000"/>
          </w:cols>
          <w:pgMar w:left="1440" w:top="1440" w:right="4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780"/>
        <w:spacing w:after="0"/>
        <w:rPr>
          <w:sz w:val="20"/>
          <w:szCs w:val="20"/>
          <w:color w:val="auto"/>
        </w:rPr>
      </w:pPr>
      <w:r>
        <w:rPr>
          <w:rFonts w:ascii="Arial" w:cs="Arial" w:eastAsia="Arial" w:hAnsi="Arial"/>
          <w:sz w:val="19"/>
          <w:szCs w:val="19"/>
          <w:color w:val="003366"/>
        </w:rPr>
        <w:t>23</w:t>
      </w:r>
    </w:p>
    <w:p>
      <w:pPr>
        <w:sectPr>
          <w:pgSz w:w="11900" w:h="16838" w:orient="portrait"/>
          <w:cols w:equalWidth="0" w:num="1">
            <w:col w:w="10000"/>
          </w:cols>
          <w:pgMar w:left="1440" w:top="1440" w:right="4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780"/>
        <w:spacing w:after="0"/>
        <w:rPr>
          <w:sz w:val="20"/>
          <w:szCs w:val="20"/>
          <w:color w:val="auto"/>
        </w:rPr>
      </w:pPr>
      <w:r>
        <w:rPr>
          <w:rFonts w:ascii="Arial" w:cs="Arial" w:eastAsia="Arial" w:hAnsi="Arial"/>
          <w:sz w:val="19"/>
          <w:szCs w:val="19"/>
          <w:color w:val="003366"/>
        </w:rPr>
        <w:t>24</w:t>
      </w:r>
    </w:p>
    <w:p>
      <w:pPr>
        <w:sectPr>
          <w:pgSz w:w="11900" w:h="16838" w:orient="portrait"/>
          <w:cols w:equalWidth="0" w:num="1">
            <w:col w:w="10000"/>
          </w:cols>
          <w:pgMar w:left="1440" w:top="1440" w:right="4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780"/>
        <w:spacing w:after="0"/>
        <w:rPr>
          <w:sz w:val="20"/>
          <w:szCs w:val="20"/>
          <w:color w:val="auto"/>
        </w:rPr>
      </w:pPr>
      <w:r>
        <w:rPr>
          <w:rFonts w:ascii="Arial" w:cs="Arial" w:eastAsia="Arial" w:hAnsi="Arial"/>
          <w:sz w:val="19"/>
          <w:szCs w:val="19"/>
          <w:color w:val="003366"/>
        </w:rPr>
        <w:t>25</w:t>
      </w:r>
    </w:p>
    <w:p>
      <w:pPr>
        <w:sectPr>
          <w:pgSz w:w="11900" w:h="16838" w:orient="portrait"/>
          <w:cols w:equalWidth="0" w:num="1">
            <w:col w:w="10000"/>
          </w:cols>
          <w:pgMar w:left="1440" w:top="1440" w:right="45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780"/>
        <w:spacing w:after="0"/>
        <w:rPr>
          <w:sz w:val="20"/>
          <w:szCs w:val="20"/>
          <w:color w:val="auto"/>
        </w:rPr>
      </w:pPr>
      <w:r>
        <w:rPr>
          <w:rFonts w:ascii="Arial" w:cs="Arial" w:eastAsia="Arial" w:hAnsi="Arial"/>
          <w:sz w:val="19"/>
          <w:szCs w:val="19"/>
          <w:color w:val="003366"/>
        </w:rPr>
        <w:t>26</w:t>
      </w:r>
    </w:p>
    <w:p>
      <w:pPr>
        <w:sectPr>
          <w:pgSz w:w="11900" w:h="16838" w:orient="portrait"/>
          <w:cols w:equalWidth="0" w:num="1">
            <w:col w:w="10000"/>
          </w:cols>
          <w:pgMar w:left="1440" w:top="1440" w:right="45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780"/>
        <w:spacing w:after="0"/>
        <w:rPr>
          <w:sz w:val="20"/>
          <w:szCs w:val="20"/>
          <w:color w:val="auto"/>
        </w:rPr>
      </w:pPr>
      <w:r>
        <w:rPr>
          <w:rFonts w:ascii="Arial" w:cs="Arial" w:eastAsia="Arial" w:hAnsi="Arial"/>
          <w:sz w:val="19"/>
          <w:szCs w:val="19"/>
          <w:color w:val="003366"/>
        </w:rPr>
        <w:t>27</w:t>
      </w:r>
    </w:p>
    <w:p>
      <w:pPr>
        <w:sectPr>
          <w:pgSz w:w="11900" w:h="16838" w:orient="portrait"/>
          <w:cols w:equalWidth="0" w:num="1">
            <w:col w:w="10000"/>
          </w:cols>
          <w:pgMar w:left="1440" w:top="1440" w:right="459" w:bottom="1440" w:gutter="0" w:footer="0" w:header="0"/>
        </w:sectPr>
      </w:pPr>
    </w:p>
    <w:bookmarkStart w:id="30" w:name="page31"/>
    <w:bookmarkEnd w:id="30"/>
    <w:p>
      <w:pPr>
        <w:ind w:left="5980"/>
        <w:spacing w:after="0"/>
        <w:rPr>
          <w:sz w:val="20"/>
          <w:szCs w:val="20"/>
          <w:color w:val="auto"/>
        </w:rPr>
      </w:pPr>
      <w:r>
        <w:rPr>
          <w:rFonts w:ascii="Arial" w:cs="Arial" w:eastAsia="Arial" w:hAnsi="Arial"/>
          <w:sz w:val="56"/>
          <w:szCs w:val="56"/>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Obesity in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 w:hanging="419"/>
        <w:spacing w:after="0"/>
        <w:tabs>
          <w:tab w:leader="none" w:pos="420" w:val="left"/>
        </w:tabs>
        <w:numPr>
          <w:ilvl w:val="0"/>
          <w:numId w:val="12"/>
        </w:numPr>
        <w:rPr>
          <w:rFonts w:ascii="Arial" w:cs="Arial" w:eastAsia="Arial" w:hAnsi="Arial"/>
          <w:sz w:val="38"/>
          <w:szCs w:val="38"/>
          <w:color w:val="E75518"/>
        </w:rPr>
      </w:pPr>
      <w:r>
        <w:rPr>
          <w:rFonts w:ascii="Arial" w:cs="Arial" w:eastAsia="Arial" w:hAnsi="Arial"/>
          <w:sz w:val="38"/>
          <w:szCs w:val="38"/>
          <w:color w:val="FFFFFF"/>
        </w:rPr>
        <w:t>135 million adults are affected by obesity</w:t>
      </w:r>
    </w:p>
    <w:p>
      <w:pPr>
        <w:spacing w:after="0" w:line="103" w:lineRule="exact"/>
        <w:rPr>
          <w:rFonts w:ascii="Arial" w:cs="Arial" w:eastAsia="Arial" w:hAnsi="Arial"/>
          <w:sz w:val="38"/>
          <w:szCs w:val="38"/>
          <w:color w:val="E75518"/>
        </w:rPr>
      </w:pPr>
    </w:p>
    <w:p>
      <w:pPr>
        <w:ind w:left="420" w:right="1720" w:hanging="419"/>
        <w:spacing w:after="0" w:line="260" w:lineRule="auto"/>
        <w:tabs>
          <w:tab w:leader="none" w:pos="420" w:val="left"/>
        </w:tabs>
        <w:numPr>
          <w:ilvl w:val="0"/>
          <w:numId w:val="12"/>
        </w:numPr>
        <w:rPr>
          <w:rFonts w:ascii="Arial" w:cs="Arial" w:eastAsia="Arial" w:hAnsi="Arial"/>
          <w:sz w:val="38"/>
          <w:szCs w:val="38"/>
          <w:color w:val="E75518"/>
        </w:rPr>
      </w:pPr>
      <w:r>
        <w:rPr>
          <w:rFonts w:ascii="Arial" w:cs="Arial" w:eastAsia="Arial" w:hAnsi="Arial"/>
          <w:sz w:val="38"/>
          <w:szCs w:val="38"/>
          <w:color w:val="FFFFFF"/>
        </w:rPr>
        <w:t>Many countries more than half the adult population is overweight and 30% defined as clinically obese</w:t>
      </w:r>
    </w:p>
    <w:p>
      <w:pPr>
        <w:spacing w:after="0" w:line="52" w:lineRule="exact"/>
        <w:rPr>
          <w:rFonts w:ascii="Arial" w:cs="Arial" w:eastAsia="Arial" w:hAnsi="Arial"/>
          <w:sz w:val="38"/>
          <w:szCs w:val="38"/>
          <w:color w:val="E75518"/>
        </w:rPr>
      </w:pPr>
    </w:p>
    <w:p>
      <w:pPr>
        <w:ind w:left="420" w:right="1720" w:hanging="419"/>
        <w:spacing w:after="0" w:line="253" w:lineRule="auto"/>
        <w:tabs>
          <w:tab w:leader="none" w:pos="420" w:val="left"/>
        </w:tabs>
        <w:numPr>
          <w:ilvl w:val="0"/>
          <w:numId w:val="12"/>
        </w:numPr>
        <w:rPr>
          <w:rFonts w:ascii="Arial" w:cs="Arial" w:eastAsia="Arial" w:hAnsi="Arial"/>
          <w:sz w:val="38"/>
          <w:szCs w:val="38"/>
          <w:color w:val="E75518"/>
        </w:rPr>
      </w:pPr>
      <w:r>
        <w:rPr>
          <w:rFonts w:ascii="Arial" w:cs="Arial" w:eastAsia="Arial" w:hAnsi="Arial"/>
          <w:sz w:val="38"/>
          <w:szCs w:val="38"/>
          <w:color w:val="FFFFFF"/>
        </w:rPr>
        <w:t>In most European countries 1 in 4 children are obese which is over 80 million children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28</w:t>
      </w:r>
    </w:p>
    <w:p>
      <w:pPr>
        <w:sectPr>
          <w:pgSz w:w="11900" w:h="16838" w:orient="portrait"/>
          <w:cols w:equalWidth="0" w:num="1">
            <w:col w:w="10960"/>
          </w:cols>
          <w:pgMar w:left="480" w:top="849" w:right="459" w:bottom="1440" w:gutter="0" w:footer="0" w:header="0"/>
        </w:sectPr>
      </w:pPr>
    </w:p>
    <w:bookmarkStart w:id="31" w:name="page32"/>
    <w:bookmarkEnd w:id="31"/>
    <w:p>
      <w:pPr>
        <w:ind w:left="540"/>
        <w:spacing w:after="0"/>
        <w:rPr>
          <w:sz w:val="20"/>
          <w:szCs w:val="20"/>
          <w:color w:val="auto"/>
        </w:rPr>
      </w:pPr>
      <w:r>
        <w:rPr>
          <w:rFonts w:ascii="Arial" w:cs="Arial" w:eastAsia="Arial" w:hAnsi="Arial"/>
          <w:sz w:val="51"/>
          <w:szCs w:val="51"/>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Casual Male XL Loyalty Program Rewards</w:t>
      </w:r>
    </w:p>
    <w:p>
      <w:pPr>
        <w:spacing w:after="0" w:line="191" w:lineRule="exact"/>
        <w:rPr>
          <w:sz w:val="20"/>
          <w:szCs w:val="20"/>
          <w:color w:val="auto"/>
        </w:rPr>
      </w:pPr>
    </w:p>
    <w:p>
      <w:pPr>
        <w:spacing w:after="0"/>
        <w:rPr>
          <w:sz w:val="20"/>
          <w:szCs w:val="20"/>
          <w:color w:val="auto"/>
        </w:rPr>
      </w:pPr>
      <w:r>
        <w:rPr>
          <w:rFonts w:ascii="Arial" w:cs="Arial" w:eastAsia="Arial" w:hAnsi="Arial"/>
          <w:sz w:val="38"/>
          <w:szCs w:val="38"/>
          <w:color w:val="FFFFFF"/>
        </w:rPr>
        <w:t>Current Program Performance:</w:t>
      </w:r>
    </w:p>
    <w:p>
      <w:pPr>
        <w:spacing w:after="0" w:line="104" w:lineRule="exact"/>
        <w:rPr>
          <w:sz w:val="20"/>
          <w:szCs w:val="20"/>
          <w:color w:val="auto"/>
        </w:rPr>
      </w:pPr>
    </w:p>
    <w:p>
      <w:pPr>
        <w:ind w:left="420" w:hanging="419"/>
        <w:spacing w:after="0"/>
        <w:tabs>
          <w:tab w:leader="none" w:pos="420" w:val="left"/>
        </w:tabs>
        <w:numPr>
          <w:ilvl w:val="0"/>
          <w:numId w:val="13"/>
        </w:numPr>
        <w:rPr>
          <w:rFonts w:ascii="Arial" w:cs="Arial" w:eastAsia="Arial" w:hAnsi="Arial"/>
          <w:sz w:val="38"/>
          <w:szCs w:val="38"/>
          <w:color w:val="E75518"/>
        </w:rPr>
      </w:pPr>
      <w:r>
        <w:rPr>
          <w:rFonts w:ascii="Arial" w:cs="Arial" w:eastAsia="Arial" w:hAnsi="Arial"/>
          <w:sz w:val="38"/>
          <w:szCs w:val="38"/>
          <w:color w:val="FFFFFF"/>
        </w:rPr>
        <w:t>2.2MM customers have been enrolled to date</w:t>
      </w:r>
    </w:p>
    <w:p>
      <w:pPr>
        <w:spacing w:after="0" w:line="103" w:lineRule="exact"/>
        <w:rPr>
          <w:rFonts w:ascii="Arial" w:cs="Arial" w:eastAsia="Arial" w:hAnsi="Arial"/>
          <w:sz w:val="38"/>
          <w:szCs w:val="38"/>
          <w:color w:val="E75518"/>
        </w:rPr>
      </w:pPr>
    </w:p>
    <w:p>
      <w:pPr>
        <w:ind w:left="420" w:right="2400" w:hanging="419"/>
        <w:spacing w:after="0" w:line="260" w:lineRule="auto"/>
        <w:tabs>
          <w:tab w:leader="none" w:pos="420" w:val="left"/>
        </w:tabs>
        <w:numPr>
          <w:ilvl w:val="0"/>
          <w:numId w:val="13"/>
        </w:numPr>
        <w:rPr>
          <w:rFonts w:ascii="Arial" w:cs="Arial" w:eastAsia="Arial" w:hAnsi="Arial"/>
          <w:sz w:val="38"/>
          <w:szCs w:val="38"/>
          <w:color w:val="E75518"/>
        </w:rPr>
      </w:pPr>
      <w:r>
        <w:rPr>
          <w:rFonts w:ascii="Arial" w:cs="Arial" w:eastAsia="Arial" w:hAnsi="Arial"/>
          <w:sz w:val="38"/>
          <w:szCs w:val="38"/>
          <w:color w:val="FFFFFF"/>
        </w:rPr>
        <w:t>Of the 1.43MM retail customers, 1.18 or 83% are enrolled</w:t>
      </w:r>
    </w:p>
    <w:p>
      <w:pPr>
        <w:spacing w:after="0" w:line="52" w:lineRule="exact"/>
        <w:rPr>
          <w:rFonts w:ascii="Arial" w:cs="Arial" w:eastAsia="Arial" w:hAnsi="Arial"/>
          <w:sz w:val="38"/>
          <w:szCs w:val="38"/>
          <w:color w:val="E75518"/>
        </w:rPr>
      </w:pPr>
    </w:p>
    <w:p>
      <w:pPr>
        <w:ind w:left="420" w:right="2200" w:hanging="419"/>
        <w:spacing w:after="0" w:line="253" w:lineRule="auto"/>
        <w:tabs>
          <w:tab w:leader="none" w:pos="420" w:val="left"/>
        </w:tabs>
        <w:numPr>
          <w:ilvl w:val="0"/>
          <w:numId w:val="13"/>
        </w:numPr>
        <w:rPr>
          <w:rFonts w:ascii="Arial" w:cs="Arial" w:eastAsia="Arial" w:hAnsi="Arial"/>
          <w:sz w:val="38"/>
          <w:szCs w:val="38"/>
          <w:color w:val="E75518"/>
        </w:rPr>
      </w:pPr>
      <w:r>
        <w:rPr>
          <w:rFonts w:ascii="Arial" w:cs="Arial" w:eastAsia="Arial" w:hAnsi="Arial"/>
          <w:sz w:val="38"/>
          <w:szCs w:val="38"/>
          <w:color w:val="FFFFFF"/>
        </w:rPr>
        <w:t>83% of new customers captured in POS are being enrolled</w:t>
      </w:r>
    </w:p>
    <w:p>
      <w:pPr>
        <w:spacing w:after="0" w:line="66" w:lineRule="exact"/>
        <w:rPr>
          <w:rFonts w:ascii="Arial" w:cs="Arial" w:eastAsia="Arial" w:hAnsi="Arial"/>
          <w:sz w:val="38"/>
          <w:szCs w:val="38"/>
          <w:color w:val="E75518"/>
        </w:rPr>
      </w:pPr>
    </w:p>
    <w:p>
      <w:pPr>
        <w:ind w:left="420" w:hanging="419"/>
        <w:spacing w:after="0"/>
        <w:tabs>
          <w:tab w:leader="none" w:pos="420" w:val="left"/>
        </w:tabs>
        <w:numPr>
          <w:ilvl w:val="0"/>
          <w:numId w:val="13"/>
        </w:numPr>
        <w:rPr>
          <w:rFonts w:ascii="Arial" w:cs="Arial" w:eastAsia="Arial" w:hAnsi="Arial"/>
          <w:sz w:val="38"/>
          <w:szCs w:val="38"/>
          <w:color w:val="E75518"/>
        </w:rPr>
      </w:pPr>
      <w:r>
        <w:rPr>
          <w:rFonts w:ascii="Arial" w:cs="Arial" w:eastAsia="Arial" w:hAnsi="Arial"/>
          <w:sz w:val="38"/>
          <w:szCs w:val="38"/>
          <w:color w:val="FFFFFF"/>
        </w:rPr>
        <w:t>88% of transactions involved an XL Rewards member</w:t>
      </w:r>
    </w:p>
    <w:p>
      <w:pPr>
        <w:spacing w:after="0" w:line="103" w:lineRule="exact"/>
        <w:rPr>
          <w:rFonts w:ascii="Arial" w:cs="Arial" w:eastAsia="Arial" w:hAnsi="Arial"/>
          <w:sz w:val="38"/>
          <w:szCs w:val="38"/>
          <w:color w:val="E75518"/>
        </w:rPr>
      </w:pPr>
    </w:p>
    <w:p>
      <w:pPr>
        <w:ind w:left="420" w:right="2100" w:hanging="419"/>
        <w:spacing w:after="0" w:line="253" w:lineRule="auto"/>
        <w:tabs>
          <w:tab w:leader="none" w:pos="420" w:val="left"/>
        </w:tabs>
        <w:numPr>
          <w:ilvl w:val="0"/>
          <w:numId w:val="13"/>
        </w:numPr>
        <w:rPr>
          <w:rFonts w:ascii="Arial" w:cs="Arial" w:eastAsia="Arial" w:hAnsi="Arial"/>
          <w:sz w:val="38"/>
          <w:szCs w:val="38"/>
          <w:color w:val="E75518"/>
        </w:rPr>
      </w:pPr>
      <w:r>
        <w:rPr>
          <w:rFonts w:ascii="Arial" w:cs="Arial" w:eastAsia="Arial" w:hAnsi="Arial"/>
          <w:sz w:val="38"/>
          <w:szCs w:val="38"/>
          <w:color w:val="FFFFFF"/>
        </w:rPr>
        <w:t>Loyalty members average spend per transaction is 17% or $15 higher than non-members</w:t>
      </w:r>
    </w:p>
    <w:p>
      <w:pPr>
        <w:spacing w:after="0" w:line="66" w:lineRule="exact"/>
        <w:rPr>
          <w:rFonts w:ascii="Arial" w:cs="Arial" w:eastAsia="Arial" w:hAnsi="Arial"/>
          <w:sz w:val="38"/>
          <w:szCs w:val="38"/>
          <w:color w:val="E75518"/>
        </w:rPr>
      </w:pPr>
    </w:p>
    <w:p>
      <w:pPr>
        <w:ind w:left="420" w:right="1440" w:hanging="419"/>
        <w:spacing w:after="0" w:line="273" w:lineRule="auto"/>
        <w:tabs>
          <w:tab w:leader="none" w:pos="420" w:val="left"/>
        </w:tabs>
        <w:numPr>
          <w:ilvl w:val="0"/>
          <w:numId w:val="13"/>
        </w:numPr>
        <w:rPr>
          <w:rFonts w:ascii="Arial" w:cs="Arial" w:eastAsia="Arial" w:hAnsi="Arial"/>
          <w:sz w:val="37"/>
          <w:szCs w:val="37"/>
          <w:color w:val="E75518"/>
        </w:rPr>
      </w:pPr>
      <w:r>
        <w:rPr>
          <w:rFonts w:ascii="Arial" w:cs="Arial" w:eastAsia="Arial" w:hAnsi="Arial"/>
          <w:sz w:val="37"/>
          <w:szCs w:val="37"/>
          <w:color w:val="FFFFFF"/>
        </w:rPr>
        <w:t>March 2009 Launched Prestige XL rewards for highest spending customers, spend over $1,000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29</w:t>
      </w:r>
    </w:p>
    <w:p>
      <w:pPr>
        <w:sectPr>
          <w:pgSz w:w="11900" w:h="16838" w:orient="portrait"/>
          <w:cols w:equalWidth="0" w:num="1">
            <w:col w:w="10960"/>
          </w:cols>
          <w:pgMar w:left="480" w:top="891" w:right="459" w:bottom="1440" w:gutter="0" w:footer="0" w:header="0"/>
        </w:sectPr>
      </w:pPr>
    </w:p>
    <w:bookmarkStart w:id="32" w:name="page33"/>
    <w:bookmarkEnd w:id="32"/>
    <w:p>
      <w:pPr>
        <w:spacing w:after="0"/>
        <w:rPr>
          <w:sz w:val="20"/>
          <w:szCs w:val="20"/>
          <w:color w:val="auto"/>
        </w:rPr>
      </w:pPr>
      <w:r>
        <w:rPr>
          <w:rFonts w:ascii="Arial" w:cs="Arial" w:eastAsia="Arial" w:hAnsi="Arial"/>
          <w:sz w:val="38"/>
          <w:szCs w:val="38"/>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Forward Looking Statements: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24"/>
          <w:szCs w:val="24"/>
          <w:color w:val="FFFFFF"/>
        </w:rPr>
        <w:t>This presentation contains certain forward-looking statements concerning the</w:t>
      </w:r>
    </w:p>
    <w:p>
      <w:pPr>
        <w:ind w:left="60" w:right="1120"/>
        <w:spacing w:after="0" w:line="199" w:lineRule="auto"/>
        <w:rPr>
          <w:sz w:val="20"/>
          <w:szCs w:val="20"/>
          <w:color w:val="auto"/>
        </w:rPr>
      </w:pPr>
      <w:r>
        <w:rPr>
          <w:rFonts w:ascii="Arial" w:cs="Arial" w:eastAsia="Arial" w:hAnsi="Arial"/>
          <w:sz w:val="24"/>
          <w:szCs w:val="24"/>
          <w:color w:val="FFFFFF"/>
        </w:rPr>
        <w:t>Company's operations, performance, and financial condition. Such forward-looking statements are subject to various risks and uncertainties that could cause actual results</w:t>
      </w:r>
    </w:p>
    <w:p>
      <w:pPr>
        <w:spacing w:after="0" w:line="1" w:lineRule="exact"/>
        <w:rPr>
          <w:sz w:val="20"/>
          <w:szCs w:val="20"/>
          <w:color w:val="auto"/>
        </w:rPr>
      </w:pPr>
    </w:p>
    <w:p>
      <w:pPr>
        <w:ind w:left="60" w:right="1520"/>
        <w:spacing w:after="0" w:line="213" w:lineRule="auto"/>
        <w:rPr>
          <w:sz w:val="20"/>
          <w:szCs w:val="20"/>
          <w:color w:val="auto"/>
        </w:rPr>
      </w:pPr>
      <w:r>
        <w:rPr>
          <w:rFonts w:ascii="Arial" w:cs="Arial" w:eastAsia="Arial" w:hAnsi="Arial"/>
          <w:sz w:val="22"/>
          <w:szCs w:val="22"/>
          <w:color w:val="FFFFFF"/>
        </w:rPr>
        <w:t>to differ materially from those indicated. Such risks and uncertainties may include, but are not limited to: the failure to implement the Company's business plan for increased profitability and growth in the Company's retail stores sales and direct-to-consumer segments, the failure of management to develop the Company’s new direct to consumer businesses, the failure of changes in management to achieve improvement in the Company's competitive position, adverse changes in costs vital to catalog operations,</w:t>
      </w:r>
    </w:p>
    <w:p>
      <w:pPr>
        <w:spacing w:after="0" w:line="5" w:lineRule="exact"/>
        <w:rPr>
          <w:sz w:val="20"/>
          <w:szCs w:val="20"/>
          <w:color w:val="auto"/>
        </w:rPr>
      </w:pPr>
    </w:p>
    <w:p>
      <w:pPr>
        <w:ind w:left="60" w:right="1480"/>
        <w:spacing w:after="0" w:line="213" w:lineRule="auto"/>
        <w:rPr>
          <w:sz w:val="20"/>
          <w:szCs w:val="20"/>
          <w:color w:val="auto"/>
        </w:rPr>
      </w:pPr>
      <w:r>
        <w:rPr>
          <w:rFonts w:ascii="Arial" w:cs="Arial" w:eastAsia="Arial" w:hAnsi="Arial"/>
          <w:sz w:val="22"/>
          <w:szCs w:val="22"/>
          <w:color w:val="FFFFFF"/>
        </w:rPr>
        <w:t>such as postage, paper and acquisition of prospects, declining response rates to catalog offerings, failure to maintain efficient and uninterrupted order-taking and fulfillment in our direct-to-consumer business, changes in or miscalculation of fashion trends, extreme or unseasonable weather conditions, economic downturns, escalation of energy costs, a weakness in overall consumer demand, increases in wage rates, the ability to hire and train associates, trade and security restrictions and political or financial</w:t>
      </w:r>
    </w:p>
    <w:p>
      <w:pPr>
        <w:spacing w:after="0" w:line="5" w:lineRule="exact"/>
        <w:rPr>
          <w:sz w:val="20"/>
          <w:szCs w:val="20"/>
          <w:color w:val="auto"/>
        </w:rPr>
      </w:pPr>
    </w:p>
    <w:p>
      <w:pPr>
        <w:ind w:left="60" w:right="800"/>
        <w:spacing w:after="0" w:line="194" w:lineRule="auto"/>
        <w:rPr>
          <w:sz w:val="20"/>
          <w:szCs w:val="20"/>
          <w:color w:val="auto"/>
        </w:rPr>
      </w:pPr>
      <w:r>
        <w:rPr>
          <w:rFonts w:ascii="Arial" w:cs="Arial" w:eastAsia="Arial" w:hAnsi="Arial"/>
          <w:sz w:val="24"/>
          <w:szCs w:val="24"/>
          <w:color w:val="FFFFFF"/>
        </w:rPr>
        <w:t>instability in countries where goods are manufactured, increases in raw material costs from inflation and other factors, the interruption of merchandise flow from the</w:t>
      </w:r>
    </w:p>
    <w:p>
      <w:pPr>
        <w:spacing w:after="0" w:line="1" w:lineRule="exact"/>
        <w:rPr>
          <w:sz w:val="20"/>
          <w:szCs w:val="20"/>
          <w:color w:val="auto"/>
        </w:rPr>
      </w:pPr>
    </w:p>
    <w:p>
      <w:pPr>
        <w:ind w:left="60" w:right="1760"/>
        <w:spacing w:after="0" w:line="214" w:lineRule="auto"/>
        <w:rPr>
          <w:sz w:val="20"/>
          <w:szCs w:val="20"/>
          <w:color w:val="auto"/>
        </w:rPr>
      </w:pPr>
      <w:r>
        <w:rPr>
          <w:rFonts w:ascii="Arial" w:cs="Arial" w:eastAsia="Arial" w:hAnsi="Arial"/>
          <w:sz w:val="22"/>
          <w:szCs w:val="22"/>
          <w:color w:val="FFFFFF"/>
        </w:rPr>
        <w:t>Company's centralized distribution facilities, competitive pressures, and the adverse effects of natural disasters, war, acts of terrorism or threats of either, or other armed conflict, on the United States and international economies. These, and other risks and uncertainties, are detailed in the Company's filings with the Securities and Exchange</w:t>
      </w:r>
    </w:p>
    <w:p>
      <w:pPr>
        <w:ind w:left="60"/>
        <w:spacing w:after="0" w:line="196" w:lineRule="auto"/>
        <w:rPr>
          <w:sz w:val="20"/>
          <w:szCs w:val="20"/>
          <w:color w:val="auto"/>
        </w:rPr>
      </w:pPr>
      <w:r>
        <w:rPr>
          <w:rFonts w:ascii="Arial" w:cs="Arial" w:eastAsia="Arial" w:hAnsi="Arial"/>
          <w:sz w:val="24"/>
          <w:szCs w:val="24"/>
          <w:color w:val="FFFFFF"/>
        </w:rPr>
        <w:t>Commission, including the Company's Annual Report on Form 10-K for the fiscal year</w:t>
      </w:r>
    </w:p>
    <w:p>
      <w:pPr>
        <w:spacing w:after="0" w:line="1" w:lineRule="exact"/>
        <w:rPr>
          <w:sz w:val="20"/>
          <w:szCs w:val="20"/>
          <w:color w:val="auto"/>
        </w:rPr>
      </w:pPr>
    </w:p>
    <w:p>
      <w:pPr>
        <w:ind w:left="60" w:right="920"/>
        <w:spacing w:after="0" w:line="194" w:lineRule="auto"/>
        <w:rPr>
          <w:sz w:val="20"/>
          <w:szCs w:val="20"/>
          <w:color w:val="auto"/>
        </w:rPr>
      </w:pPr>
      <w:r>
        <w:rPr>
          <w:rFonts w:ascii="Arial" w:cs="Arial" w:eastAsia="Arial" w:hAnsi="Arial"/>
          <w:sz w:val="24"/>
          <w:szCs w:val="24"/>
          <w:color w:val="FFFFFF"/>
        </w:rPr>
        <w:t>ended January 31, 2009 filed on March 23, 2009 and other Company filings with the Securities and Exchange Commission. Casual Male assumes no duty to update or revise</w:t>
      </w:r>
    </w:p>
    <w:p>
      <w:pPr>
        <w:spacing w:after="0" w:line="1" w:lineRule="exact"/>
        <w:rPr>
          <w:sz w:val="20"/>
          <w:szCs w:val="20"/>
          <w:color w:val="auto"/>
        </w:rPr>
      </w:pPr>
    </w:p>
    <w:p>
      <w:pPr>
        <w:ind w:left="60" w:right="1820"/>
        <w:spacing w:after="0" w:line="220" w:lineRule="auto"/>
        <w:rPr>
          <w:sz w:val="20"/>
          <w:szCs w:val="20"/>
          <w:color w:val="auto"/>
        </w:rPr>
      </w:pPr>
      <w:r>
        <w:rPr>
          <w:rFonts w:ascii="Arial" w:cs="Arial" w:eastAsia="Arial" w:hAnsi="Arial"/>
          <w:sz w:val="24"/>
          <w:szCs w:val="24"/>
          <w:color w:val="FFFFFF"/>
        </w:rPr>
        <w:t>its forward-looking statements even if experience or future changes make it clear that any projected results expressed or implied therein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9"/>
          <w:szCs w:val="19"/>
          <w:color w:val="003366"/>
        </w:rPr>
        <w:t>30</w:t>
      </w:r>
    </w:p>
    <w:sectPr>
      <w:pgSz w:w="11900" w:h="16838" w:orient="portrait"/>
      <w:cols w:equalWidth="0" w:num="1">
        <w:col w:w="10740"/>
      </w:cols>
      <w:pgMar w:left="700" w:top="76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endash "/>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lvl w:ilvl="1">
      <w:lvlJc w:val="left"/>
      <w:lvlText w:val="\endash "/>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2019-12-10T07:03:07Z</dcterms:created>
  <dcterms:modified xsi:type="dcterms:W3CDTF">2019-12-10T07:03:07Z</dcterms:modified>
</cp:coreProperties>
</file>