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175260</wp:posOffset>
            </wp:positionV>
            <wp:extent cx="717740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186690</wp:posOffset>
            </wp:positionV>
            <wp:extent cx="717740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7405" cy="5715"/>
                    </a:xfrm>
                    <a:prstGeom prst="rect">
                      <a:avLst/>
                    </a:prstGeom>
                    <a:noFill/>
                  </pic:spPr>
                </pic:pic>
              </a:graphicData>
            </a:graphic>
          </wp:anchor>
        </w:drawing>
        <w:t>UNITED STATES</w:t>
      </w:r>
    </w:p>
    <w:p>
      <w:pPr>
        <w:spacing w:after="0" w:line="8"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4376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174"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4376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189" w:lineRule="exact"/>
        <w:rPr>
          <w:sz w:val="24"/>
          <w:szCs w:val="24"/>
          <w:color w:val="auto"/>
        </w:rPr>
      </w:pPr>
    </w:p>
    <w:p>
      <w:pPr>
        <w:ind w:left="8"/>
        <w:spacing w:after="0"/>
        <w:rPr>
          <w:sz w:val="20"/>
          <w:szCs w:val="20"/>
          <w:color w:val="auto"/>
        </w:rPr>
      </w:pPr>
      <w:r>
        <w:rPr>
          <w:rFonts w:ascii="Arial" w:cs="Arial" w:eastAsia="Arial" w:hAnsi="Arial"/>
          <w:sz w:val="10"/>
          <w:szCs w:val="10"/>
          <w:b w:val="1"/>
          <w:bCs w:val="1"/>
          <w:color w:val="auto"/>
        </w:rPr>
        <w:t>(Mark One)</w:t>
      </w:r>
    </w:p>
    <w:p>
      <w:pPr>
        <w:ind w:left="4508" w:right="4520" w:hanging="4508"/>
        <w:spacing w:after="0" w:line="403" w:lineRule="auto"/>
        <w:tabs>
          <w:tab w:leader="none" w:pos="411" w:val="left"/>
        </w:tabs>
        <w:numPr>
          <w:ilvl w:val="0"/>
          <w:numId w:val="1"/>
        </w:numPr>
        <w:rPr>
          <w:rFonts w:ascii="MS PGothic" w:cs="MS PGothic" w:eastAsia="MS PGothic" w:hAnsi="MS PGothic"/>
          <w:sz w:val="11"/>
          <w:szCs w:val="11"/>
          <w:color w:val="auto"/>
          <w:highlight w:val="black"/>
        </w:rPr>
      </w:pPr>
      <w:r>
        <w:rPr>
          <w:rFonts w:ascii="Arial" w:cs="Arial" w:eastAsia="Arial" w:hAnsi="Arial"/>
          <w:sz w:val="11"/>
          <w:szCs w:val="11"/>
          <w:b w:val="1"/>
          <w:bCs w:val="1"/>
          <w:color w:val="auto"/>
        </w:rPr>
        <w:t>QUARTERLY REPORT PURSUANT TO SECTION 13 OR 15(d) OF THE SECURITIES EXCHANGE ACT OF 1934 For the quarterly period ended May 1, 2021</w:t>
      </w:r>
    </w:p>
    <w:p>
      <w:pPr>
        <w:ind w:left="5568"/>
        <w:spacing w:after="0"/>
        <w:rPr>
          <w:rFonts w:ascii="MS PGothic" w:cs="MS PGothic" w:eastAsia="MS PGothic" w:hAnsi="MS PGothic"/>
          <w:sz w:val="11"/>
          <w:szCs w:val="11"/>
          <w:color w:val="auto"/>
          <w:highlight w:val="black"/>
        </w:rPr>
      </w:pPr>
      <w:r>
        <w:rPr>
          <w:rFonts w:ascii="Arial" w:cs="Arial" w:eastAsia="Arial" w:hAnsi="Arial"/>
          <w:sz w:val="12"/>
          <w:szCs w:val="12"/>
          <w:b w:val="1"/>
          <w:bCs w:val="1"/>
          <w:color w:val="auto"/>
        </w:rPr>
        <w:t>OR</w:t>
      </w:r>
    </w:p>
    <w:p>
      <w:pPr>
        <w:spacing w:after="0" w:line="79" w:lineRule="exact"/>
        <w:rPr>
          <w:sz w:val="24"/>
          <w:szCs w:val="24"/>
          <w:color w:val="auto"/>
        </w:rPr>
      </w:pPr>
    </w:p>
    <w:p>
      <w:pPr>
        <w:jc w:val="right"/>
        <w:ind w:left="4728" w:right="4700" w:hanging="4728"/>
        <w:spacing w:after="0" w:line="471" w:lineRule="auto"/>
        <w:tabs>
          <w:tab w:leader="none" w:pos="413" w:val="left"/>
        </w:tabs>
        <w:numPr>
          <w:ilvl w:val="0"/>
          <w:numId w:val="2"/>
        </w:numPr>
        <w:rPr>
          <w:rFonts w:ascii="MS PGothic" w:cs="MS PGothic" w:eastAsia="MS PGothic" w:hAnsi="MS PGothic"/>
          <w:sz w:val="11"/>
          <w:szCs w:val="11"/>
          <w:color w:val="auto"/>
          <w:highlight w:val="black"/>
        </w:rPr>
      </w:pPr>
      <w:r>
        <w:rPr>
          <w:rFonts w:ascii="Arial" w:cs="Arial" w:eastAsia="Arial" w:hAnsi="Arial"/>
          <w:sz w:val="11"/>
          <w:szCs w:val="11"/>
          <w:b w:val="1"/>
          <w:bCs w:val="1"/>
          <w:color w:val="auto"/>
        </w:rPr>
        <w:t>TRANSITION REPORT PURSUANT TO SECTION 13 OR 15(d) OF THE SECURITIES EXCHANGE ACT OF 1934 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3810</wp:posOffset>
            </wp:positionV>
            <wp:extent cx="14376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112" w:lineRule="exact"/>
        <w:rPr>
          <w:sz w:val="24"/>
          <w:szCs w:val="24"/>
          <w:color w:val="auto"/>
        </w:rPr>
      </w:pPr>
    </w:p>
    <w:tbl>
      <w:tblPr>
        <w:tblLayout w:type="fixed"/>
        <w:tblInd w:w="8" w:type="dxa"/>
        <w:tblCellMar>
          <w:top w:w="0" w:type="dxa"/>
          <w:left w:w="0" w:type="dxa"/>
          <w:bottom w:w="0" w:type="dxa"/>
          <w:right w:w="0" w:type="dxa"/>
        </w:tblCellMar>
      </w:tblPr>
      <w:tr>
        <w:trPr>
          <w:trHeight w:val="350"/>
        </w:trPr>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440" w:type="dxa"/>
            <w:vAlign w:val="bottom"/>
            <w:gridSpan w:val="5"/>
          </w:tcPr>
          <w:p>
            <w:pPr>
              <w:jc w:val="center"/>
              <w:spacing w:after="0"/>
              <w:rPr>
                <w:sz w:val="20"/>
                <w:szCs w:val="20"/>
                <w:color w:val="auto"/>
              </w:rPr>
            </w:pPr>
            <w:r>
              <w:rPr>
                <w:rFonts w:ascii="Arial" w:cs="Arial" w:eastAsia="Arial" w:hAnsi="Arial"/>
                <w:sz w:val="29"/>
                <w:szCs w:val="29"/>
                <w:b w:val="1"/>
                <w:bCs w:val="1"/>
                <w:color w:val="auto"/>
              </w:rPr>
              <w:t>DESTINATION XL GROUP, INC.</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4440" w:type="dxa"/>
            <w:vAlign w:val="bottom"/>
            <w:gridSpan w:val="5"/>
          </w:tcPr>
          <w:p>
            <w:pPr>
              <w:jc w:val="center"/>
              <w:spacing w:after="0"/>
              <w:rPr>
                <w:sz w:val="20"/>
                <w:szCs w:val="20"/>
                <w:color w:val="auto"/>
              </w:rPr>
            </w:pPr>
            <w:r>
              <w:rPr>
                <w:rFonts w:ascii="Arial" w:cs="Arial" w:eastAsia="Arial" w:hAnsi="Arial"/>
                <w:sz w:val="12"/>
                <w:szCs w:val="12"/>
                <w:b w:val="1"/>
                <w:bCs w:val="1"/>
                <w:color w:val="auto"/>
                <w:w w:val="91"/>
              </w:rPr>
              <w:t>(Exact Name of Registrant as Specified in its Charter)</w:t>
            </w:r>
          </w:p>
        </w:tc>
        <w:tc>
          <w:tcPr>
            <w:tcW w:w="3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20" w:type="dxa"/>
            <w:vAlign w:val="bottom"/>
          </w:tcPr>
          <w:p>
            <w:pPr>
              <w:spacing w:after="0"/>
              <w:rPr>
                <w:sz w:val="11"/>
                <w:szCs w:val="11"/>
                <w:color w:val="auto"/>
              </w:rPr>
            </w:pPr>
          </w:p>
        </w:tc>
        <w:tc>
          <w:tcPr>
            <w:tcW w:w="3300" w:type="dxa"/>
            <w:vAlign w:val="bottom"/>
            <w:vMerge w:val="restart"/>
          </w:tcPr>
          <w:p>
            <w:pPr>
              <w:jc w:val="center"/>
              <w:ind w:left="2048"/>
              <w:spacing w:after="0"/>
              <w:rPr>
                <w:sz w:val="20"/>
                <w:szCs w:val="20"/>
                <w:color w:val="auto"/>
              </w:rPr>
            </w:pPr>
            <w:r>
              <w:rPr>
                <w:rFonts w:ascii="Arial" w:cs="Arial" w:eastAsia="Arial" w:hAnsi="Arial"/>
                <w:sz w:val="12"/>
                <w:szCs w:val="12"/>
                <w:b w:val="1"/>
                <w:bCs w:val="1"/>
                <w:color w:val="auto"/>
                <w:w w:val="91"/>
              </w:rPr>
              <w:t>Delaware</w:t>
            </w:r>
          </w:p>
        </w:tc>
        <w:tc>
          <w:tcPr>
            <w:tcW w:w="1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3400" w:type="dxa"/>
            <w:vAlign w:val="bottom"/>
            <w:vMerge w:val="restart"/>
          </w:tcPr>
          <w:p>
            <w:pPr>
              <w:jc w:val="right"/>
              <w:ind w:right="2450"/>
              <w:spacing w:after="0"/>
              <w:rPr>
                <w:sz w:val="20"/>
                <w:szCs w:val="20"/>
                <w:color w:val="auto"/>
              </w:rPr>
            </w:pPr>
            <w:r>
              <w:rPr>
                <w:rFonts w:ascii="Arial" w:cs="Arial" w:eastAsia="Arial" w:hAnsi="Arial"/>
                <w:sz w:val="12"/>
                <w:szCs w:val="12"/>
                <w:b w:val="1"/>
                <w:bCs w:val="1"/>
                <w:color w:val="auto"/>
              </w:rPr>
              <w:t>04-2623104</w:t>
            </w:r>
          </w:p>
        </w:tc>
        <w:tc>
          <w:tcPr>
            <w:tcW w:w="0" w:type="dxa"/>
            <w:vAlign w:val="bottom"/>
          </w:tcPr>
          <w:p>
            <w:pPr>
              <w:spacing w:after="0"/>
              <w:rPr>
                <w:sz w:val="1"/>
                <w:szCs w:val="1"/>
                <w:color w:val="auto"/>
              </w:rPr>
            </w:pPr>
          </w:p>
        </w:tc>
      </w:tr>
      <w:tr>
        <w:trPr>
          <w:trHeight w:val="331"/>
        </w:trPr>
        <w:tc>
          <w:tcPr>
            <w:tcW w:w="1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120" w:type="dxa"/>
            <w:vAlign w:val="bottom"/>
          </w:tcPr>
          <w:p>
            <w:pPr>
              <w:spacing w:after="0"/>
              <w:rPr>
                <w:sz w:val="7"/>
                <w:szCs w:val="7"/>
                <w:color w:val="auto"/>
              </w:rPr>
            </w:pPr>
          </w:p>
        </w:tc>
        <w:tc>
          <w:tcPr>
            <w:tcW w:w="3300" w:type="dxa"/>
            <w:vAlign w:val="bottom"/>
          </w:tcPr>
          <w:p>
            <w:pPr>
              <w:jc w:val="center"/>
              <w:ind w:left="2048"/>
              <w:spacing w:after="0" w:line="91" w:lineRule="exact"/>
              <w:rPr>
                <w:sz w:val="20"/>
                <w:szCs w:val="20"/>
                <w:color w:val="auto"/>
              </w:rPr>
            </w:pPr>
            <w:r>
              <w:rPr>
                <w:rFonts w:ascii="Arial" w:cs="Arial" w:eastAsia="Arial" w:hAnsi="Arial"/>
                <w:sz w:val="8"/>
                <w:szCs w:val="8"/>
                <w:b w:val="1"/>
                <w:bCs w:val="1"/>
                <w:color w:val="auto"/>
                <w:w w:val="94"/>
              </w:rPr>
              <w:t>(State or other jurisdiction of</w:t>
            </w: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400" w:type="dxa"/>
            <w:vAlign w:val="bottom"/>
          </w:tcPr>
          <w:p>
            <w:pPr>
              <w:jc w:val="center"/>
              <w:ind w:right="2130"/>
              <w:spacing w:after="0" w:line="91" w:lineRule="exact"/>
              <w:rPr>
                <w:sz w:val="20"/>
                <w:szCs w:val="20"/>
                <w:color w:val="auto"/>
              </w:rPr>
            </w:pPr>
            <w:r>
              <w:rPr>
                <w:rFonts w:ascii="Arial" w:cs="Arial" w:eastAsia="Arial" w:hAnsi="Arial"/>
                <w:sz w:val="8"/>
                <w:szCs w:val="8"/>
                <w:b w:val="1"/>
                <w:bCs w:val="1"/>
                <w:color w:val="auto"/>
              </w:rPr>
              <w:t>(I.R.S. Employer</w:t>
            </w:r>
          </w:p>
        </w:tc>
        <w:tc>
          <w:tcPr>
            <w:tcW w:w="0" w:type="dxa"/>
            <w:vAlign w:val="bottom"/>
          </w:tcPr>
          <w:p>
            <w:pPr>
              <w:spacing w:after="0"/>
              <w:rPr>
                <w:sz w:val="1"/>
                <w:szCs w:val="1"/>
                <w:color w:val="auto"/>
              </w:rPr>
            </w:pPr>
          </w:p>
        </w:tc>
      </w:tr>
      <w:tr>
        <w:trPr>
          <w:trHeight w:val="89"/>
        </w:trPr>
        <w:tc>
          <w:tcPr>
            <w:tcW w:w="120" w:type="dxa"/>
            <w:vAlign w:val="bottom"/>
          </w:tcPr>
          <w:p>
            <w:pPr>
              <w:spacing w:after="0"/>
              <w:rPr>
                <w:sz w:val="7"/>
                <w:szCs w:val="7"/>
                <w:color w:val="auto"/>
              </w:rPr>
            </w:pPr>
          </w:p>
        </w:tc>
        <w:tc>
          <w:tcPr>
            <w:tcW w:w="3300" w:type="dxa"/>
            <w:vAlign w:val="bottom"/>
          </w:tcPr>
          <w:p>
            <w:pPr>
              <w:jc w:val="center"/>
              <w:ind w:left="2028"/>
              <w:spacing w:after="0" w:line="89" w:lineRule="exact"/>
              <w:rPr>
                <w:sz w:val="20"/>
                <w:szCs w:val="20"/>
                <w:color w:val="auto"/>
              </w:rPr>
            </w:pPr>
            <w:r>
              <w:rPr>
                <w:rFonts w:ascii="Arial" w:cs="Arial" w:eastAsia="Arial" w:hAnsi="Arial"/>
                <w:sz w:val="8"/>
                <w:szCs w:val="8"/>
                <w:b w:val="1"/>
                <w:bCs w:val="1"/>
                <w:color w:val="auto"/>
                <w:w w:val="96"/>
              </w:rPr>
              <w:t>incorporation or organization)</w:t>
            </w: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400" w:type="dxa"/>
            <w:vAlign w:val="bottom"/>
          </w:tcPr>
          <w:p>
            <w:pPr>
              <w:jc w:val="center"/>
              <w:ind w:right="2130"/>
              <w:spacing w:after="0" w:line="89" w:lineRule="exact"/>
              <w:rPr>
                <w:sz w:val="20"/>
                <w:szCs w:val="20"/>
                <w:color w:val="auto"/>
              </w:rPr>
            </w:pPr>
            <w:r>
              <w:rPr>
                <w:rFonts w:ascii="Arial" w:cs="Arial" w:eastAsia="Arial" w:hAnsi="Arial"/>
                <w:sz w:val="8"/>
                <w:szCs w:val="8"/>
                <w:b w:val="1"/>
                <w:bCs w:val="1"/>
                <w:color w:val="auto"/>
                <w:w w:val="97"/>
              </w:rPr>
              <w:t>Identification No.)</w:t>
            </w:r>
          </w:p>
        </w:tc>
        <w:tc>
          <w:tcPr>
            <w:tcW w:w="0" w:type="dxa"/>
            <w:vAlign w:val="bottom"/>
          </w:tcPr>
          <w:p>
            <w:pPr>
              <w:spacing w:after="0"/>
              <w:rPr>
                <w:sz w:val="1"/>
                <w:szCs w:val="1"/>
                <w:color w:val="auto"/>
              </w:rPr>
            </w:pPr>
          </w:p>
        </w:tc>
      </w:tr>
      <w:tr>
        <w:trPr>
          <w:trHeight w:val="145"/>
        </w:trPr>
        <w:tc>
          <w:tcPr>
            <w:tcW w:w="120" w:type="dxa"/>
            <w:vAlign w:val="bottom"/>
          </w:tcPr>
          <w:p>
            <w:pPr>
              <w:spacing w:after="0"/>
              <w:rPr>
                <w:sz w:val="12"/>
                <w:szCs w:val="12"/>
                <w:color w:val="auto"/>
              </w:rPr>
            </w:pPr>
          </w:p>
        </w:tc>
        <w:tc>
          <w:tcPr>
            <w:tcW w:w="3300" w:type="dxa"/>
            <w:vAlign w:val="bottom"/>
          </w:tcPr>
          <w:p>
            <w:pPr>
              <w:jc w:val="center"/>
              <w:ind w:left="2048"/>
              <w:spacing w:after="0"/>
              <w:rPr>
                <w:sz w:val="20"/>
                <w:szCs w:val="20"/>
                <w:color w:val="auto"/>
              </w:rPr>
            </w:pPr>
            <w:r>
              <w:rPr>
                <w:rFonts w:ascii="Arial" w:cs="Arial" w:eastAsia="Arial" w:hAnsi="Arial"/>
                <w:sz w:val="12"/>
                <w:szCs w:val="12"/>
                <w:b w:val="1"/>
                <w:bCs w:val="1"/>
                <w:color w:val="auto"/>
                <w:w w:val="93"/>
              </w:rPr>
              <w:t>555 Turnpike Street</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0" w:type="dxa"/>
            <w:vAlign w:val="bottom"/>
          </w:tcPr>
          <w:p>
            <w:pPr>
              <w:spacing w:after="0"/>
              <w:rPr>
                <w:sz w:val="12"/>
                <w:szCs w:val="12"/>
                <w:color w:val="auto"/>
              </w:rPr>
            </w:pPr>
          </w:p>
        </w:tc>
        <w:tc>
          <w:tcPr>
            <w:tcW w:w="3300" w:type="dxa"/>
            <w:vAlign w:val="bottom"/>
          </w:tcPr>
          <w:p>
            <w:pPr>
              <w:jc w:val="center"/>
              <w:ind w:left="2048"/>
              <w:spacing w:after="0"/>
              <w:rPr>
                <w:sz w:val="20"/>
                <w:szCs w:val="20"/>
                <w:color w:val="auto"/>
              </w:rPr>
            </w:pPr>
            <w:r>
              <w:rPr>
                <w:rFonts w:ascii="Arial" w:cs="Arial" w:eastAsia="Arial" w:hAnsi="Arial"/>
                <w:sz w:val="12"/>
                <w:szCs w:val="12"/>
                <w:b w:val="1"/>
                <w:bCs w:val="1"/>
                <w:color w:val="auto"/>
                <w:w w:val="95"/>
              </w:rPr>
              <w:t>Canton, MA</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0" w:type="dxa"/>
            <w:vAlign w:val="bottom"/>
          </w:tcPr>
          <w:p>
            <w:pPr>
              <w:jc w:val="right"/>
              <w:ind w:right="2590"/>
              <w:spacing w:after="0"/>
              <w:rPr>
                <w:sz w:val="20"/>
                <w:szCs w:val="20"/>
                <w:color w:val="auto"/>
              </w:rPr>
            </w:pPr>
            <w:r>
              <w:rPr>
                <w:rFonts w:ascii="Arial" w:cs="Arial" w:eastAsia="Arial" w:hAnsi="Arial"/>
                <w:sz w:val="12"/>
                <w:szCs w:val="12"/>
                <w:b w:val="1"/>
                <w:bCs w:val="1"/>
                <w:color w:val="auto"/>
              </w:rPr>
              <w:t>02021</w:t>
            </w: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7740" w:type="dxa"/>
            <w:vAlign w:val="bottom"/>
            <w:gridSpan w:val="6"/>
          </w:tcPr>
          <w:p>
            <w:pPr>
              <w:jc w:val="center"/>
              <w:ind w:right="2340"/>
              <w:spacing w:after="0"/>
              <w:rPr>
                <w:sz w:val="20"/>
                <w:szCs w:val="20"/>
                <w:color w:val="auto"/>
              </w:rPr>
            </w:pPr>
            <w:r>
              <w:rPr>
                <w:rFonts w:ascii="Arial" w:cs="Arial" w:eastAsia="Arial" w:hAnsi="Arial"/>
                <w:sz w:val="8"/>
                <w:szCs w:val="8"/>
                <w:b w:val="1"/>
                <w:bCs w:val="1"/>
                <w:color w:val="auto"/>
                <w:w w:val="93"/>
              </w:rPr>
              <w:t>(Address of principal executive offices)</w:t>
            </w:r>
          </w:p>
        </w:tc>
        <w:tc>
          <w:tcPr>
            <w:tcW w:w="3400" w:type="dxa"/>
            <w:vAlign w:val="bottom"/>
          </w:tcPr>
          <w:p>
            <w:pPr>
              <w:jc w:val="center"/>
              <w:ind w:right="2130"/>
              <w:spacing w:after="0"/>
              <w:rPr>
                <w:sz w:val="20"/>
                <w:szCs w:val="20"/>
                <w:color w:val="auto"/>
              </w:rPr>
            </w:pPr>
            <w:r>
              <w:rPr>
                <w:rFonts w:ascii="Arial" w:cs="Arial" w:eastAsia="Arial" w:hAnsi="Arial"/>
                <w:sz w:val="8"/>
                <w:szCs w:val="8"/>
                <w:b w:val="1"/>
                <w:bCs w:val="1"/>
                <w:color w:val="auto"/>
                <w:w w:val="95"/>
              </w:rPr>
              <w:t>(Zip Code)</w:t>
            </w:r>
          </w:p>
        </w:tc>
        <w:tc>
          <w:tcPr>
            <w:tcW w:w="0" w:type="dxa"/>
            <w:vAlign w:val="bottom"/>
          </w:tcPr>
          <w:p>
            <w:pPr>
              <w:spacing w:after="0"/>
              <w:rPr>
                <w:sz w:val="1"/>
                <w:szCs w:val="1"/>
                <w:color w:val="auto"/>
              </w:rPr>
            </w:pPr>
          </w:p>
        </w:tc>
      </w:tr>
      <w:tr>
        <w:trPr>
          <w:trHeight w:val="211"/>
        </w:trPr>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40" w:type="dxa"/>
            <w:vAlign w:val="bottom"/>
            <w:gridSpan w:val="5"/>
          </w:tcPr>
          <w:p>
            <w:pPr>
              <w:jc w:val="center"/>
              <w:spacing w:after="0"/>
              <w:rPr>
                <w:sz w:val="20"/>
                <w:szCs w:val="20"/>
                <w:color w:val="auto"/>
              </w:rPr>
            </w:pPr>
            <w:r>
              <w:rPr>
                <w:rFonts w:ascii="Arial" w:cs="Arial" w:eastAsia="Arial" w:hAnsi="Arial"/>
                <w:sz w:val="12"/>
                <w:szCs w:val="12"/>
                <w:b w:val="1"/>
                <w:bCs w:val="1"/>
                <w:color w:val="auto"/>
                <w:w w:val="90"/>
              </w:rPr>
              <w:t>Registrant’s telephone number, including area code: (781) 828-9300</w:t>
            </w: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3420" w:type="dxa"/>
            <w:vAlign w:val="bottom"/>
            <w:gridSpan w:val="2"/>
            <w:vMerge w:val="restart"/>
          </w:tcPr>
          <w:p>
            <w:pPr>
              <w:spacing w:after="0"/>
              <w:rPr>
                <w:sz w:val="20"/>
                <w:szCs w:val="20"/>
                <w:color w:val="auto"/>
              </w:rPr>
            </w:pPr>
            <w:r>
              <w:rPr>
                <w:rFonts w:ascii="Arial" w:cs="Arial" w:eastAsia="Arial" w:hAnsi="Arial"/>
                <w:sz w:val="11"/>
                <w:szCs w:val="11"/>
                <w:color w:val="auto"/>
              </w:rPr>
              <w:t>Securities registered pursuant to Section 12(b) of the Act.</w:t>
            </w:r>
          </w:p>
        </w:tc>
        <w:tc>
          <w:tcPr>
            <w:tcW w:w="1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42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20" w:type="dxa"/>
            <w:vAlign w:val="bottom"/>
            <w:tcBorders>
              <w:right w:val="single" w:sz="8" w:color="auto"/>
            </w:tcBorders>
          </w:tcPr>
          <w:p>
            <w:pPr>
              <w:spacing w:after="0"/>
              <w:rPr>
                <w:sz w:val="16"/>
                <w:szCs w:val="16"/>
                <w:color w:val="auto"/>
              </w:rPr>
            </w:pPr>
          </w:p>
        </w:tc>
        <w:tc>
          <w:tcPr>
            <w:tcW w:w="3300" w:type="dxa"/>
            <w:vAlign w:val="bottom"/>
            <w:tcBorders>
              <w:top w:val="single" w:sz="8" w:color="auto"/>
            </w:tcBorders>
          </w:tcPr>
          <w:p>
            <w:pPr>
              <w:ind w:left="1920"/>
              <w:spacing w:after="0"/>
              <w:rPr>
                <w:sz w:val="20"/>
                <w:szCs w:val="20"/>
                <w:color w:val="auto"/>
              </w:rPr>
            </w:pPr>
            <w:r>
              <w:rPr>
                <w:rFonts w:ascii="Arial" w:cs="Arial" w:eastAsia="Arial" w:hAnsi="Arial"/>
                <w:sz w:val="11"/>
                <w:szCs w:val="11"/>
                <w:color w:val="auto"/>
              </w:rPr>
              <w:t>Title of each class</w:t>
            </w: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right w:val="single" w:sz="8" w:color="auto"/>
            </w:tcBorders>
          </w:tcPr>
          <w:p>
            <w:pPr>
              <w:spacing w:after="0"/>
              <w:rPr>
                <w:sz w:val="16"/>
                <w:szCs w:val="16"/>
                <w:color w:val="auto"/>
              </w:rPr>
            </w:pP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3"/>
              </w:rPr>
              <w:t>Trading symbol(s)</w:t>
            </w: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Name of each exchange on which registered</w:t>
            </w:r>
          </w:p>
        </w:tc>
        <w:tc>
          <w:tcPr>
            <w:tcW w:w="0" w:type="dxa"/>
            <w:vAlign w:val="bottom"/>
          </w:tcPr>
          <w:p>
            <w:pPr>
              <w:spacing w:after="0"/>
              <w:rPr>
                <w:sz w:val="1"/>
                <w:szCs w:val="1"/>
                <w:color w:val="auto"/>
              </w:rPr>
            </w:pPr>
          </w:p>
        </w:tc>
      </w:tr>
      <w:tr>
        <w:trPr>
          <w:trHeight w:val="22"/>
        </w:trPr>
        <w:tc>
          <w:tcPr>
            <w:tcW w:w="120" w:type="dxa"/>
            <w:vAlign w:val="bottom"/>
            <w:tcBorders>
              <w:right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3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120" w:type="dxa"/>
            <w:vAlign w:val="bottom"/>
            <w:tcBorders>
              <w:right w:val="single" w:sz="8" w:color="auto"/>
            </w:tcBorders>
          </w:tcPr>
          <w:p>
            <w:pPr>
              <w:spacing w:after="0"/>
              <w:rPr>
                <w:sz w:val="10"/>
                <w:szCs w:val="10"/>
                <w:color w:val="auto"/>
              </w:rPr>
            </w:pPr>
          </w:p>
        </w:tc>
        <w:tc>
          <w:tcPr>
            <w:tcW w:w="3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9"/>
              </w:rPr>
              <w:t>DXLG</w:t>
            </w:r>
          </w:p>
        </w:tc>
        <w:tc>
          <w:tcPr>
            <w:tcW w:w="1320" w:type="dxa"/>
            <w:vAlign w:val="bottom"/>
            <w:gridSpan w:val="2"/>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20" w:type="dxa"/>
            <w:vAlign w:val="bottom"/>
            <w:tcBorders>
              <w:right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ind w:left="8" w:right="20" w:firstLine="602"/>
        <w:spacing w:after="0" w:line="14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ind w:left="8" w:right="300" w:firstLine="602"/>
        <w:spacing w:after="0" w:line="149"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ind w:left="8" w:firstLine="602"/>
        <w:spacing w:after="0" w:line="277"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8" w:type="dxa"/>
        <w:tblCellMar>
          <w:top w:w="0" w:type="dxa"/>
          <w:left w:w="0" w:type="dxa"/>
          <w:bottom w:w="0" w:type="dxa"/>
          <w:right w:w="0" w:type="dxa"/>
        </w:tblCellMar>
      </w:tblPr>
      <w:tr>
        <w:trPr>
          <w:trHeight w:val="169"/>
        </w:trPr>
        <w:tc>
          <w:tcPr>
            <w:tcW w:w="172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800" w:type="dxa"/>
            <w:vAlign w:val="bottom"/>
          </w:tcPr>
          <w:p>
            <w:pPr>
              <w:ind w:left="52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ind w:left="3160"/>
              <w:spacing w:after="0"/>
              <w:rPr>
                <w:sz w:val="20"/>
                <w:szCs w:val="20"/>
                <w:color w:val="auto"/>
              </w:rPr>
            </w:pPr>
            <w:r>
              <w:rPr>
                <w:rFonts w:ascii="Arial" w:cs="Arial" w:eastAsia="Arial" w:hAnsi="Arial"/>
                <w:sz w:val="11"/>
                <w:szCs w:val="11"/>
                <w:color w:val="auto"/>
              </w:rPr>
              <w:t>Accelerated filer</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5"/>
        </w:trPr>
        <w:tc>
          <w:tcPr>
            <w:tcW w:w="1720" w:type="dxa"/>
            <w:vAlign w:val="bottom"/>
          </w:tcPr>
          <w:p>
            <w:pPr>
              <w:spacing w:after="0"/>
              <w:rPr>
                <w:sz w:val="20"/>
                <w:szCs w:val="20"/>
                <w:color w:val="auto"/>
              </w:rPr>
            </w:pPr>
            <w:r>
              <w:rPr>
                <w:rFonts w:ascii="Arial" w:cs="Arial" w:eastAsia="Arial" w:hAnsi="Arial"/>
                <w:sz w:val="11"/>
                <w:szCs w:val="11"/>
                <w:color w:val="auto"/>
              </w:rPr>
              <w:t>Non-accelerated filer</w:t>
            </w:r>
          </w:p>
        </w:tc>
        <w:tc>
          <w:tcPr>
            <w:tcW w:w="3800" w:type="dxa"/>
            <w:vAlign w:val="bottom"/>
          </w:tcPr>
          <w:p>
            <w:pPr>
              <w:ind w:left="52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ind w:left="3160"/>
              <w:spacing w:after="0"/>
              <w:rPr>
                <w:sz w:val="20"/>
                <w:szCs w:val="20"/>
                <w:color w:val="auto"/>
              </w:rPr>
            </w:pPr>
            <w:r>
              <w:rPr>
                <w:rFonts w:ascii="Arial" w:cs="Arial" w:eastAsia="Arial" w:hAnsi="Arial"/>
                <w:sz w:val="11"/>
                <w:szCs w:val="11"/>
                <w:color w:val="auto"/>
              </w:rPr>
              <w:t>Smaller reporting company</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9"/>
        </w:trPr>
        <w:tc>
          <w:tcPr>
            <w:tcW w:w="1720" w:type="dxa"/>
            <w:vAlign w:val="bottom"/>
          </w:tcPr>
          <w:p>
            <w:pPr>
              <w:spacing w:after="0"/>
              <w:rPr>
                <w:sz w:val="20"/>
                <w:szCs w:val="20"/>
                <w:color w:val="auto"/>
              </w:rPr>
            </w:pPr>
            <w:r>
              <w:rPr>
                <w:rFonts w:ascii="Arial" w:cs="Arial" w:eastAsia="Arial" w:hAnsi="Arial"/>
                <w:sz w:val="11"/>
                <w:szCs w:val="11"/>
                <w:color w:val="auto"/>
              </w:rPr>
              <w:t>Emerging growth company</w:t>
            </w:r>
          </w:p>
        </w:tc>
        <w:tc>
          <w:tcPr>
            <w:tcW w:w="3800" w:type="dxa"/>
            <w:vAlign w:val="bottom"/>
          </w:tcPr>
          <w:p>
            <w:pPr>
              <w:ind w:left="52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69" w:lineRule="exact"/>
        <w:rPr>
          <w:sz w:val="24"/>
          <w:szCs w:val="24"/>
          <w:color w:val="auto"/>
        </w:rPr>
      </w:pPr>
    </w:p>
    <w:p>
      <w:pPr>
        <w:ind w:left="8" w:right="380" w:firstLine="602"/>
        <w:spacing w:after="0" w:line="143"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ind w:left="8" w:right="4920" w:firstLine="602"/>
        <w:spacing w:after="0" w:line="153"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r>
        <w:rPr>
          <w:rFonts w:ascii="Arial" w:cs="Arial" w:eastAsia="Arial" w:hAnsi="Arial"/>
          <w:sz w:val="11"/>
          <w:szCs w:val="11"/>
          <w:color w:val="auto"/>
        </w:rPr>
        <w:t xml:space="preserve"> As of May 14, 2021, the registrant had 63,526,601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7740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717740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243840</wp:posOffset>
            </wp:positionV>
            <wp:extent cx="720280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8"/>
          </w:cols>
          <w:pgMar w:left="292" w:top="311" w:right="319" w:bottom="1440" w:gutter="0" w:footer="0" w:header="0"/>
        </w:sectPr>
      </w:pPr>
    </w:p>
    <w:bookmarkStart w:id="1" w:name="page2"/>
    <w:bookmarkEnd w:id="1"/>
    <w:p>
      <w:pPr>
        <w:spacing w:after="0"/>
        <w:rPr>
          <w:sz w:val="20"/>
          <w:szCs w:val="20"/>
          <w:color w:val="auto"/>
        </w:rPr>
      </w:pPr>
      <w:r>
        <w:rPr>
          <w:rFonts w:ascii="Arial" w:cs="Arial" w:eastAsia="Arial" w:hAnsi="Arial"/>
          <w:sz w:val="12"/>
          <w:szCs w:val="12"/>
          <w:color w:val="auto"/>
        </w:rPr>
        <w:t>PART I. FINANCIAL INFORMATION</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Item 1. Financial Statements.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(In thousands, except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60" w:type="dxa"/>
            <w:vAlign w:val="bottom"/>
          </w:tcPr>
          <w:p>
            <w:pPr>
              <w:spacing w:after="0"/>
              <w:rPr>
                <w:sz w:val="10"/>
                <w:szCs w:val="10"/>
                <w:color w:val="auto"/>
              </w:rPr>
            </w:pPr>
          </w:p>
        </w:tc>
        <w:tc>
          <w:tcPr>
            <w:tcW w:w="1080" w:type="dxa"/>
            <w:vAlign w:val="bottom"/>
          </w:tcPr>
          <w:p>
            <w:pPr>
              <w:jc w:val="right"/>
              <w:ind w:right="10"/>
              <w:spacing w:after="0"/>
              <w:rPr>
                <w:sz w:val="20"/>
                <w:szCs w:val="20"/>
                <w:color w:val="auto"/>
              </w:rPr>
            </w:pPr>
            <w:r>
              <w:rPr>
                <w:rFonts w:ascii="Arial" w:cs="Arial" w:eastAsia="Arial" w:hAnsi="Arial"/>
                <w:sz w:val="10"/>
                <w:szCs w:val="10"/>
                <w:color w:val="auto"/>
              </w:rPr>
              <w:t>May 1, 2021</w:t>
            </w: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0"/>
                <w:szCs w:val="10"/>
                <w:color w:val="auto"/>
              </w:rPr>
              <w:t>January 30, 2021</w:t>
            </w:r>
          </w:p>
        </w:tc>
        <w:tc>
          <w:tcPr>
            <w:tcW w:w="0" w:type="dxa"/>
            <w:vAlign w:val="bottom"/>
          </w:tcPr>
          <w:p>
            <w:pPr>
              <w:spacing w:after="0"/>
              <w:rPr>
                <w:sz w:val="1"/>
                <w:szCs w:val="1"/>
                <w:color w:val="auto"/>
              </w:rPr>
            </w:pPr>
          </w:p>
        </w:tc>
      </w:tr>
      <w:tr>
        <w:trPr>
          <w:trHeight w:val="112"/>
        </w:trPr>
        <w:tc>
          <w:tcPr>
            <w:tcW w:w="7760" w:type="dxa"/>
            <w:vAlign w:val="bottom"/>
          </w:tcPr>
          <w:p>
            <w:pPr>
              <w:spacing w:after="0"/>
              <w:rPr>
                <w:sz w:val="9"/>
                <w:szCs w:val="9"/>
                <w:color w:val="auto"/>
              </w:rPr>
            </w:pPr>
          </w:p>
        </w:tc>
        <w:tc>
          <w:tcPr>
            <w:tcW w:w="1080" w:type="dxa"/>
            <w:vAlign w:val="bottom"/>
          </w:tcPr>
          <w:p>
            <w:pPr>
              <w:jc w:val="right"/>
              <w:spacing w:after="0" w:line="113" w:lineRule="exact"/>
              <w:rPr>
                <w:sz w:val="20"/>
                <w:szCs w:val="20"/>
                <w:color w:val="auto"/>
              </w:rPr>
            </w:pPr>
            <w:r>
              <w:rPr>
                <w:rFonts w:ascii="Arial" w:cs="Arial" w:eastAsia="Arial" w:hAnsi="Arial"/>
                <w:sz w:val="10"/>
                <w:szCs w:val="10"/>
                <w:color w:val="auto"/>
              </w:rPr>
              <w:t>(Fiscal 2021)</w:t>
            </w: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gridSpan w:val="2"/>
          </w:tcPr>
          <w:p>
            <w:pPr>
              <w:jc w:val="right"/>
              <w:ind w:right="660"/>
              <w:spacing w:after="0" w:line="113" w:lineRule="exact"/>
              <w:rPr>
                <w:sz w:val="20"/>
                <w:szCs w:val="20"/>
                <w:color w:val="auto"/>
              </w:rPr>
            </w:pPr>
            <w:r>
              <w:rPr>
                <w:rFonts w:ascii="Arial" w:cs="Arial" w:eastAsia="Arial" w:hAnsi="Arial"/>
                <w:sz w:val="10"/>
                <w:szCs w:val="10"/>
                <w:color w:val="auto"/>
              </w:rPr>
              <w:t>(Fiscal 2020)</w:t>
            </w:r>
          </w:p>
        </w:tc>
        <w:tc>
          <w:tcPr>
            <w:tcW w:w="0" w:type="dxa"/>
            <w:vAlign w:val="bottom"/>
          </w:tcPr>
          <w:p>
            <w:pPr>
              <w:spacing w:after="0"/>
              <w:rPr>
                <w:sz w:val="1"/>
                <w:szCs w:val="1"/>
                <w:color w:val="auto"/>
              </w:rPr>
            </w:pPr>
          </w:p>
        </w:tc>
      </w:tr>
      <w:tr>
        <w:trPr>
          <w:trHeight w:val="98"/>
        </w:trPr>
        <w:tc>
          <w:tcPr>
            <w:tcW w:w="776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ASSETS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i w:val="1"/>
                <w:iCs w:val="1"/>
                <w:color w:val="auto"/>
              </w:rPr>
              <w:t>Current assets:</w:t>
            </w: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Cash and cash equivalents</w:t>
            </w:r>
          </w:p>
        </w:tc>
        <w:tc>
          <w:tcPr>
            <w:tcW w:w="1080" w:type="dxa"/>
            <w:vAlign w:val="bottom"/>
            <w:shd w:val="clear" w:color="auto" w:fill="CFF0FC"/>
          </w:tcPr>
          <w:p>
            <w:pPr>
              <w:jc w:val="right"/>
              <w:ind w:right="97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5,843</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18,997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Accounts receivable</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4,671</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6,416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Inventories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88,390</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85,028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10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6,381</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3,689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7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current assets</w:t>
            </w:r>
          </w:p>
        </w:tc>
        <w:tc>
          <w:tcPr>
            <w:tcW w:w="10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105,285</w:t>
            </w: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114,130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Non-current assets: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Property and equipment, net of accumulated depreciation and amortization</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52,591</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56,552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lease right-of-use assets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130,061</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134,321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Intangible assets</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1,150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1,150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assets</w:t>
            </w:r>
          </w:p>
        </w:tc>
        <w:tc>
          <w:tcPr>
            <w:tcW w:w="108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598</w:t>
            </w:r>
          </w:p>
        </w:tc>
        <w:tc>
          <w:tcPr>
            <w:tcW w:w="3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602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76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assets</w:t>
            </w:r>
          </w:p>
        </w:tc>
        <w:tc>
          <w:tcPr>
            <w:tcW w:w="1080" w:type="dxa"/>
            <w:vAlign w:val="bottom"/>
            <w:tcBorders>
              <w:bottom w:val="single" w:sz="8" w:color="auto"/>
            </w:tcBorders>
          </w:tcPr>
          <w:p>
            <w:pPr>
              <w:jc w:val="right"/>
              <w:ind w:right="97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289,685</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306,755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color w:val="auto"/>
              </w:rPr>
              <w:t>LIABILITIES AND STOCKHOLDERS' EQUITY (DEFICIT)</w:t>
            </w: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Current liabilities: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Current portion of long-term debt</w:t>
            </w:r>
          </w:p>
        </w:tc>
        <w:tc>
          <w:tcPr>
            <w:tcW w:w="1080" w:type="dxa"/>
            <w:vAlign w:val="bottom"/>
          </w:tcPr>
          <w:p>
            <w:pPr>
              <w:jc w:val="right"/>
              <w:ind w:right="97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74</w:t>
            </w:r>
          </w:p>
        </w:tc>
        <w:tc>
          <w:tcPr>
            <w:tcW w:w="30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Accounts payable</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31,639</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27,091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Accrued expenses and other current liabilities</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25,450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24,825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leases, current</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38,331</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43,598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Borrowings under credit facility</w:t>
            </w:r>
          </w:p>
        </w:tc>
        <w:tc>
          <w:tcPr>
            <w:tcW w:w="10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33,371</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59,521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7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current liabilities</w:t>
            </w:r>
          </w:p>
        </w:tc>
        <w:tc>
          <w:tcPr>
            <w:tcW w:w="108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128,865</w:t>
            </w:r>
          </w:p>
        </w:tc>
        <w:tc>
          <w:tcPr>
            <w:tcW w:w="30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155,035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Long-term liabilities: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Long-term debt, net of current portion</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16,669</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14,869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leases, non-current</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129,856</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135,819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Other long-term liabilities</w:t>
            </w:r>
          </w:p>
        </w:tc>
        <w:tc>
          <w:tcPr>
            <w:tcW w:w="10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4,811</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5,109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7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long-term liabilities</w:t>
            </w:r>
          </w:p>
        </w:tc>
        <w:tc>
          <w:tcPr>
            <w:tcW w:w="108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151,336</w:t>
            </w:r>
          </w:p>
        </w:tc>
        <w:tc>
          <w:tcPr>
            <w:tcW w:w="30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155,797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Commitments and contingencies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Stockholders' equity (deficit):</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Preferred stock, $0.01 par value, 1,000,000 shares authorized, none issued</w:t>
            </w:r>
          </w:p>
        </w:tc>
        <w:tc>
          <w:tcPr>
            <w:tcW w:w="108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w w:val="97"/>
              </w:rPr>
              <w:t>Common stock, $0.01 par value, 100,000,000 shares authorized, 76,212,032 and 64,656,384 shares issued at May 1, 2021 and January 30, 2021,</w:t>
            </w:r>
          </w:p>
        </w:tc>
        <w:tc>
          <w:tcPr>
            <w:tcW w:w="10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respectively</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762</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Additional paid-in capital</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319,443</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314,747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Treasury stock at cost, 12,755,873 shares at May 1, 2021 and January 30, 2021</w:t>
            </w:r>
          </w:p>
        </w:tc>
        <w:tc>
          <w:tcPr>
            <w:tcW w:w="10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(92,658)</w:t>
            </w:r>
          </w:p>
        </w:tc>
        <w:tc>
          <w:tcPr>
            <w:tcW w:w="2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(92,658)</w:t>
            </w: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Accumulated deficit</w:t>
            </w:r>
          </w:p>
        </w:tc>
        <w:tc>
          <w:tcPr>
            <w:tcW w:w="108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2"/>
                <w:szCs w:val="12"/>
                <w:color w:val="auto"/>
                <w:w w:val="97"/>
              </w:rPr>
              <w:t>(211,895)</w:t>
            </w:r>
          </w:p>
        </w:tc>
        <w:tc>
          <w:tcPr>
            <w:tcW w:w="24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2"/>
                <w:szCs w:val="12"/>
                <w:color w:val="auto"/>
              </w:rPr>
              <w:t>(220,592)</w:t>
            </w: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Accumulated other comprehensive loss</w:t>
            </w:r>
          </w:p>
        </w:tc>
        <w:tc>
          <w:tcPr>
            <w:tcW w:w="10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(6,168)</w:t>
            </w:r>
          </w:p>
        </w:tc>
        <w:tc>
          <w:tcPr>
            <w:tcW w:w="2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(6,221)</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320"/>
              <w:spacing w:after="0"/>
              <w:rPr>
                <w:sz w:val="20"/>
                <w:szCs w:val="20"/>
                <w:color w:val="auto"/>
              </w:rPr>
            </w:pPr>
            <w:r>
              <w:rPr>
                <w:rFonts w:ascii="Arial" w:cs="Arial" w:eastAsia="Arial" w:hAnsi="Arial"/>
                <w:sz w:val="12"/>
                <w:szCs w:val="12"/>
                <w:color w:val="auto"/>
              </w:rPr>
              <w:t>Total stockholders' equity (deficit)</w:t>
            </w: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9,484</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2"/>
                <w:szCs w:val="12"/>
                <w:color w:val="auto"/>
              </w:rPr>
              <w:t>(4,077)</w:t>
            </w:r>
          </w:p>
        </w:tc>
        <w:tc>
          <w:tcPr>
            <w:tcW w:w="0" w:type="dxa"/>
            <w:vAlign w:val="bottom"/>
          </w:tcPr>
          <w:p>
            <w:pPr>
              <w:spacing w:after="0"/>
              <w:rPr>
                <w:sz w:val="1"/>
                <w:szCs w:val="1"/>
                <w:color w:val="auto"/>
              </w:rPr>
            </w:pPr>
          </w:p>
        </w:tc>
      </w:tr>
      <w:tr>
        <w:trPr>
          <w:trHeight w:val="150"/>
        </w:trPr>
        <w:tc>
          <w:tcPr>
            <w:tcW w:w="77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2"/>
                <w:szCs w:val="12"/>
                <w:color w:val="auto"/>
              </w:rPr>
              <w:t>Total liabilities and stockholders' equity (deficit)</w:t>
            </w:r>
          </w:p>
        </w:tc>
        <w:tc>
          <w:tcPr>
            <w:tcW w:w="1080" w:type="dxa"/>
            <w:vAlign w:val="bottom"/>
            <w:tcBorders>
              <w:top w:val="single" w:sz="8" w:color="auto"/>
              <w:bottom w:val="single" w:sz="8" w:color="auto"/>
            </w:tcBorders>
            <w:shd w:val="clear" w:color="auto" w:fill="CFF0FC"/>
          </w:tcPr>
          <w:p>
            <w:pPr>
              <w:jc w:val="right"/>
              <w:ind w:right="97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289,685</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306,755</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 except per share data)</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8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420" w:type="dxa"/>
            <w:vAlign w:val="bottom"/>
            <w:vMerge w:val="restart"/>
          </w:tcPr>
          <w:p>
            <w:pPr>
              <w:jc w:val="right"/>
              <w:ind w:right="112"/>
              <w:spacing w:after="0"/>
              <w:rPr>
                <w:sz w:val="20"/>
                <w:szCs w:val="20"/>
                <w:color w:val="auto"/>
              </w:rPr>
            </w:pPr>
            <w:r>
              <w:rPr>
                <w:rFonts w:ascii="Arial" w:cs="Arial" w:eastAsia="Arial" w:hAnsi="Arial"/>
                <w:sz w:val="10"/>
                <w:szCs w:val="10"/>
                <w:color w:val="auto"/>
              </w:rPr>
              <w:t>May 1, 2021</w:t>
            </w:r>
          </w:p>
        </w:tc>
        <w:tc>
          <w:tcPr>
            <w:tcW w:w="1440" w:type="dxa"/>
            <w:vAlign w:val="bottom"/>
            <w:gridSpan w:val="3"/>
          </w:tcPr>
          <w:p>
            <w:pPr>
              <w:jc w:val="right"/>
              <w:ind w:right="120"/>
              <w:spacing w:after="0"/>
              <w:rPr>
                <w:sz w:val="20"/>
                <w:szCs w:val="20"/>
                <w:color w:val="auto"/>
              </w:rPr>
            </w:pPr>
            <w:r>
              <w:rPr>
                <w:rFonts w:ascii="Arial" w:cs="Arial" w:eastAsia="Arial" w:hAnsi="Arial"/>
                <w:sz w:val="10"/>
                <w:szCs w:val="10"/>
                <w:color w:val="auto"/>
                <w:w w:val="96"/>
              </w:rPr>
              <w:t>For the Three Months Ended</w:t>
            </w:r>
          </w:p>
        </w:tc>
        <w:tc>
          <w:tcPr>
            <w:tcW w:w="1640" w:type="dxa"/>
            <w:vAlign w:val="bottom"/>
            <w:gridSpan w:val="2"/>
            <w:vMerge w:val="restart"/>
          </w:tcPr>
          <w:p>
            <w:pPr>
              <w:jc w:val="right"/>
              <w:ind w:right="960"/>
              <w:spacing w:after="0"/>
              <w:rPr>
                <w:sz w:val="20"/>
                <w:szCs w:val="20"/>
                <w:color w:val="auto"/>
              </w:rPr>
            </w:pPr>
            <w:r>
              <w:rPr>
                <w:rFonts w:ascii="Arial" w:cs="Arial" w:eastAsia="Arial" w:hAnsi="Arial"/>
                <w:sz w:val="10"/>
                <w:szCs w:val="10"/>
                <w:color w:val="auto"/>
              </w:rPr>
              <w:t>May 2, 2020</w:t>
            </w:r>
          </w:p>
        </w:tc>
        <w:tc>
          <w:tcPr>
            <w:tcW w:w="0" w:type="dxa"/>
            <w:vAlign w:val="bottom"/>
          </w:tcPr>
          <w:p>
            <w:pPr>
              <w:spacing w:after="0"/>
              <w:rPr>
                <w:sz w:val="1"/>
                <w:szCs w:val="1"/>
                <w:color w:val="auto"/>
              </w:rPr>
            </w:pPr>
          </w:p>
        </w:tc>
      </w:tr>
      <w:tr>
        <w:trPr>
          <w:trHeight w:val="95"/>
        </w:trPr>
        <w:tc>
          <w:tcPr>
            <w:tcW w:w="48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48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20" w:type="dxa"/>
            <w:vAlign w:val="bottom"/>
            <w:tcBorders>
              <w:bottom w:val="single" w:sz="8" w:color="auto"/>
            </w:tcBorders>
          </w:tcPr>
          <w:p>
            <w:pPr>
              <w:jc w:val="right"/>
              <w:ind w:right="112"/>
              <w:spacing w:after="0" w:line="113" w:lineRule="exact"/>
              <w:rPr>
                <w:sz w:val="20"/>
                <w:szCs w:val="20"/>
                <w:color w:val="auto"/>
              </w:rPr>
            </w:pPr>
            <w:r>
              <w:rPr>
                <w:rFonts w:ascii="Arial" w:cs="Arial" w:eastAsia="Arial" w:hAnsi="Arial"/>
                <w:sz w:val="10"/>
                <w:szCs w:val="10"/>
                <w:color w:val="auto"/>
              </w:rPr>
              <w:t>(Fiscal 2021)</w:t>
            </w:r>
          </w:p>
        </w:tc>
        <w:tc>
          <w:tcPr>
            <w:tcW w:w="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gridSpan w:val="2"/>
          </w:tcPr>
          <w:p>
            <w:pPr>
              <w:jc w:val="right"/>
              <w:ind w:right="940"/>
              <w:spacing w:after="0" w:line="113" w:lineRule="exact"/>
              <w:rPr>
                <w:sz w:val="20"/>
                <w:szCs w:val="20"/>
                <w:color w:val="auto"/>
              </w:rPr>
            </w:pPr>
            <w:r>
              <w:rPr>
                <w:rFonts w:ascii="Arial" w:cs="Arial" w:eastAsia="Arial" w:hAnsi="Arial"/>
                <w:sz w:val="10"/>
                <w:szCs w:val="10"/>
                <w:color w:val="auto"/>
              </w:rPr>
              <w:t>(Fiscal 2020)</w:t>
            </w:r>
          </w:p>
        </w:tc>
        <w:tc>
          <w:tcPr>
            <w:tcW w:w="0" w:type="dxa"/>
            <w:vAlign w:val="bottom"/>
          </w:tcPr>
          <w:p>
            <w:pPr>
              <w:spacing w:after="0"/>
              <w:rPr>
                <w:sz w:val="1"/>
                <w:szCs w:val="1"/>
                <w:color w:val="auto"/>
              </w:rPr>
            </w:pPr>
          </w:p>
        </w:tc>
      </w:tr>
      <w:tr>
        <w:trPr>
          <w:trHeight w:val="98"/>
        </w:trPr>
        <w:tc>
          <w:tcPr>
            <w:tcW w:w="48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4800" w:type="dxa"/>
            <w:vAlign w:val="bottom"/>
            <w:shd w:val="clear" w:color="auto" w:fill="CFF0FC"/>
          </w:tcPr>
          <w:p>
            <w:pPr>
              <w:spacing w:after="0"/>
              <w:rPr>
                <w:sz w:val="20"/>
                <w:szCs w:val="20"/>
                <w:color w:val="auto"/>
              </w:rPr>
            </w:pPr>
            <w:r>
              <w:rPr>
                <w:rFonts w:ascii="Arial" w:cs="Arial" w:eastAsia="Arial" w:hAnsi="Arial"/>
                <w:sz w:val="12"/>
                <w:szCs w:val="12"/>
                <w:color w:val="auto"/>
              </w:rPr>
              <w:t>Sales</w:t>
            </w:r>
          </w:p>
        </w:tc>
        <w:tc>
          <w:tcPr>
            <w:tcW w:w="3420" w:type="dxa"/>
            <w:vAlign w:val="bottom"/>
            <w:gridSpan w:val="2"/>
            <w:shd w:val="clear" w:color="auto" w:fill="CFF0FC"/>
          </w:tcPr>
          <w:p>
            <w:pPr>
              <w:jc w:val="right"/>
              <w:ind w:right="1312"/>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111,494</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0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57,227</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Cost of goods sold including occupancy costs</w:t>
            </w:r>
          </w:p>
        </w:tc>
        <w:tc>
          <w:tcPr>
            <w:tcW w:w="200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60,661</w:t>
            </w:r>
          </w:p>
        </w:tc>
        <w:tc>
          <w:tcPr>
            <w:tcW w:w="1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44,013</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800" w:type="dxa"/>
            <w:vAlign w:val="bottom"/>
            <w:shd w:val="clear" w:color="auto" w:fill="CFF0FC"/>
          </w:tcPr>
          <w:p>
            <w:pPr>
              <w:spacing w:after="0"/>
              <w:rPr>
                <w:sz w:val="20"/>
                <w:szCs w:val="20"/>
                <w:color w:val="auto"/>
              </w:rPr>
            </w:pPr>
            <w:r>
              <w:rPr>
                <w:rFonts w:ascii="Arial" w:cs="Arial" w:eastAsia="Arial" w:hAnsi="Arial"/>
                <w:sz w:val="12"/>
                <w:szCs w:val="12"/>
                <w:color w:val="auto"/>
              </w:rPr>
              <w:t>Gross profit</w:t>
            </w:r>
          </w:p>
        </w:tc>
        <w:tc>
          <w:tcPr>
            <w:tcW w:w="20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50,833</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13,214</w:t>
            </w:r>
          </w:p>
        </w:tc>
        <w:tc>
          <w:tcPr>
            <w:tcW w:w="2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8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shd w:val="clear" w:color="auto" w:fill="CFF0FC"/>
          </w:tcPr>
          <w:p>
            <w:pPr>
              <w:spacing w:after="0"/>
              <w:rPr>
                <w:sz w:val="20"/>
                <w:szCs w:val="20"/>
                <w:color w:val="auto"/>
              </w:rPr>
            </w:pPr>
            <w:r>
              <w:rPr>
                <w:rFonts w:ascii="Arial" w:cs="Arial" w:eastAsia="Arial" w:hAnsi="Arial"/>
                <w:sz w:val="12"/>
                <w:szCs w:val="12"/>
                <w:color w:val="auto"/>
              </w:rPr>
              <w:t>Expenses:</w:t>
            </w:r>
          </w:p>
        </w:tc>
        <w:tc>
          <w:tcPr>
            <w:tcW w:w="20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tcPr>
          <w:p>
            <w:pPr>
              <w:ind w:left="160"/>
              <w:spacing w:after="0"/>
              <w:rPr>
                <w:sz w:val="20"/>
                <w:szCs w:val="20"/>
                <w:color w:val="auto"/>
              </w:rPr>
            </w:pPr>
            <w:r>
              <w:rPr>
                <w:rFonts w:ascii="Arial" w:cs="Arial" w:eastAsia="Arial" w:hAnsi="Arial"/>
                <w:sz w:val="12"/>
                <w:szCs w:val="12"/>
                <w:color w:val="auto"/>
              </w:rPr>
              <w:t>Selling, general and administrative</w:t>
            </w:r>
          </w:p>
        </w:tc>
        <w:tc>
          <w:tcPr>
            <w:tcW w:w="2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37,118</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32,112</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Impairment of assets</w:t>
            </w:r>
          </w:p>
        </w:tc>
        <w:tc>
          <w:tcPr>
            <w:tcW w:w="20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(652)</w:t>
            </w:r>
          </w:p>
        </w:tc>
        <w:tc>
          <w:tcPr>
            <w:tcW w:w="72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16,335</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Depreciation and amortization</w:t>
            </w:r>
          </w:p>
        </w:tc>
        <w:tc>
          <w:tcPr>
            <w:tcW w:w="200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4,500</w:t>
            </w:r>
          </w:p>
        </w:tc>
        <w:tc>
          <w:tcPr>
            <w:tcW w:w="1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5,732</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800" w:type="dxa"/>
            <w:vAlign w:val="bottom"/>
            <w:shd w:val="clear" w:color="auto" w:fill="CFF0FC"/>
          </w:tcPr>
          <w:p>
            <w:pPr>
              <w:spacing w:after="0"/>
              <w:rPr>
                <w:sz w:val="20"/>
                <w:szCs w:val="20"/>
                <w:color w:val="auto"/>
              </w:rPr>
            </w:pPr>
            <w:r>
              <w:rPr>
                <w:rFonts w:ascii="Arial" w:cs="Arial" w:eastAsia="Arial" w:hAnsi="Arial"/>
                <w:sz w:val="12"/>
                <w:szCs w:val="12"/>
                <w:color w:val="auto"/>
              </w:rPr>
              <w:t>Total expenses</w:t>
            </w:r>
          </w:p>
        </w:tc>
        <w:tc>
          <w:tcPr>
            <w:tcW w:w="2000" w:type="dxa"/>
            <w:vAlign w:val="bottom"/>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40,966</w:t>
            </w:r>
          </w:p>
        </w:tc>
        <w:tc>
          <w:tcPr>
            <w:tcW w:w="100" w:type="dxa"/>
            <w:vAlign w:val="bottom"/>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54,179</w:t>
            </w:r>
          </w:p>
        </w:tc>
        <w:tc>
          <w:tcPr>
            <w:tcW w:w="2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800" w:type="dxa"/>
            <w:vAlign w:val="bottom"/>
            <w:shd w:val="clear" w:color="auto" w:fill="CFF0FC"/>
          </w:tcPr>
          <w:p>
            <w:pPr>
              <w:spacing w:after="0"/>
              <w:rPr>
                <w:sz w:val="20"/>
                <w:szCs w:val="20"/>
                <w:color w:val="auto"/>
              </w:rPr>
            </w:pPr>
            <w:r>
              <w:rPr>
                <w:rFonts w:ascii="Arial" w:cs="Arial" w:eastAsia="Arial" w:hAnsi="Arial"/>
                <w:sz w:val="12"/>
                <w:szCs w:val="12"/>
                <w:color w:val="auto"/>
              </w:rPr>
              <w:t>Operating income (loss)</w:t>
            </w:r>
          </w:p>
        </w:tc>
        <w:tc>
          <w:tcPr>
            <w:tcW w:w="20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9,867</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(40,965)</w:t>
            </w:r>
          </w:p>
        </w:tc>
        <w:tc>
          <w:tcPr>
            <w:tcW w:w="0" w:type="dxa"/>
            <w:vAlign w:val="bottom"/>
          </w:tcPr>
          <w:p>
            <w:pPr>
              <w:spacing w:after="0"/>
              <w:rPr>
                <w:sz w:val="1"/>
                <w:szCs w:val="1"/>
                <w:color w:val="auto"/>
              </w:rPr>
            </w:pPr>
          </w:p>
        </w:tc>
      </w:tr>
      <w:tr>
        <w:trPr>
          <w:trHeight w:val="154"/>
        </w:trPr>
        <w:tc>
          <w:tcPr>
            <w:tcW w:w="48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shd w:val="clear" w:color="auto" w:fill="CFF0FC"/>
          </w:tcPr>
          <w:p>
            <w:pPr>
              <w:spacing w:after="0"/>
              <w:rPr>
                <w:sz w:val="20"/>
                <w:szCs w:val="20"/>
                <w:color w:val="auto"/>
              </w:rPr>
            </w:pPr>
            <w:r>
              <w:rPr>
                <w:rFonts w:ascii="Arial" w:cs="Arial" w:eastAsia="Arial" w:hAnsi="Arial"/>
                <w:sz w:val="12"/>
                <w:szCs w:val="12"/>
                <w:color w:val="auto"/>
              </w:rPr>
              <w:t>Interest expense, net</w:t>
            </w:r>
          </w:p>
        </w:tc>
        <w:tc>
          <w:tcPr>
            <w:tcW w:w="20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(1,142)</w:t>
            </w:r>
          </w:p>
        </w:tc>
        <w:tc>
          <w:tcPr>
            <w:tcW w:w="72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(741)</w:t>
            </w:r>
          </w:p>
        </w:tc>
        <w:tc>
          <w:tcPr>
            <w:tcW w:w="0" w:type="dxa"/>
            <w:vAlign w:val="bottom"/>
          </w:tcPr>
          <w:p>
            <w:pPr>
              <w:spacing w:after="0"/>
              <w:rPr>
                <w:sz w:val="1"/>
                <w:szCs w:val="1"/>
                <w:color w:val="auto"/>
              </w:rPr>
            </w:pPr>
          </w:p>
        </w:tc>
      </w:tr>
      <w:tr>
        <w:trPr>
          <w:trHeight w:val="143"/>
        </w:trPr>
        <w:tc>
          <w:tcPr>
            <w:tcW w:w="4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800" w:type="dxa"/>
            <w:vAlign w:val="bottom"/>
            <w:shd w:val="clear" w:color="auto" w:fill="CFF0FC"/>
          </w:tcPr>
          <w:p>
            <w:pPr>
              <w:spacing w:after="0"/>
              <w:rPr>
                <w:sz w:val="20"/>
                <w:szCs w:val="20"/>
                <w:color w:val="auto"/>
              </w:rPr>
            </w:pPr>
            <w:r>
              <w:rPr>
                <w:rFonts w:ascii="Arial" w:cs="Arial" w:eastAsia="Arial" w:hAnsi="Arial"/>
                <w:sz w:val="12"/>
                <w:szCs w:val="12"/>
                <w:color w:val="auto"/>
              </w:rPr>
              <w:t>Income (loss) before provision for income taxes</w:t>
            </w:r>
          </w:p>
        </w:tc>
        <w:tc>
          <w:tcPr>
            <w:tcW w:w="20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8,725</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(41,706)</w:t>
            </w:r>
          </w:p>
        </w:tc>
        <w:tc>
          <w:tcPr>
            <w:tcW w:w="0" w:type="dxa"/>
            <w:vAlign w:val="bottom"/>
          </w:tcPr>
          <w:p>
            <w:pPr>
              <w:spacing w:after="0"/>
              <w:rPr>
                <w:sz w:val="1"/>
                <w:szCs w:val="1"/>
                <w:color w:val="auto"/>
              </w:rPr>
            </w:pPr>
          </w:p>
        </w:tc>
      </w:tr>
      <w:tr>
        <w:trPr>
          <w:trHeight w:val="154"/>
        </w:trPr>
        <w:tc>
          <w:tcPr>
            <w:tcW w:w="48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Provision for income taxes</w:t>
            </w:r>
          </w:p>
        </w:tc>
        <w:tc>
          <w:tcPr>
            <w:tcW w:w="200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1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800" w:type="dxa"/>
            <w:vAlign w:val="bottom"/>
            <w:shd w:val="clear" w:color="auto" w:fill="CFF0FC"/>
          </w:tcPr>
          <w:p>
            <w:pPr>
              <w:spacing w:after="0"/>
              <w:rPr>
                <w:sz w:val="12"/>
                <w:szCs w:val="12"/>
                <w:color w:val="auto"/>
              </w:rPr>
            </w:pPr>
          </w:p>
        </w:tc>
        <w:tc>
          <w:tcPr>
            <w:tcW w:w="20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8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800" w:type="dxa"/>
            <w:vAlign w:val="bottom"/>
            <w:shd w:val="clear" w:color="auto" w:fill="CFF0FC"/>
          </w:tcPr>
          <w:p>
            <w:pPr>
              <w:spacing w:after="0"/>
              <w:rPr>
                <w:sz w:val="20"/>
                <w:szCs w:val="20"/>
                <w:color w:val="auto"/>
              </w:rPr>
            </w:pPr>
            <w:r>
              <w:rPr>
                <w:rFonts w:ascii="Arial" w:cs="Arial" w:eastAsia="Arial" w:hAnsi="Arial"/>
                <w:sz w:val="12"/>
                <w:szCs w:val="12"/>
                <w:color w:val="auto"/>
              </w:rPr>
              <w:t>Net income (loss)</w:t>
            </w:r>
          </w:p>
        </w:tc>
        <w:tc>
          <w:tcPr>
            <w:tcW w:w="3420" w:type="dxa"/>
            <w:vAlign w:val="bottom"/>
            <w:gridSpan w:val="2"/>
            <w:shd w:val="clear" w:color="auto" w:fill="CFF0FC"/>
          </w:tcPr>
          <w:p>
            <w:pPr>
              <w:jc w:val="right"/>
              <w:ind w:right="1312"/>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8,697</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00"/>
              <w:spacing w:after="0"/>
              <w:rPr>
                <w:sz w:val="20"/>
                <w:szCs w:val="20"/>
                <w:color w:val="auto"/>
              </w:rPr>
            </w:pPr>
            <w:r>
              <w:rPr>
                <w:rFonts w:ascii="Arial" w:cs="Arial" w:eastAsia="Arial" w:hAnsi="Arial"/>
                <w:sz w:val="12"/>
                <w:szCs w:val="12"/>
                <w:color w:val="auto"/>
              </w:rPr>
              <w:t>$</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(41,726)</w:t>
            </w:r>
          </w:p>
        </w:tc>
        <w:tc>
          <w:tcPr>
            <w:tcW w:w="0" w:type="dxa"/>
            <w:vAlign w:val="bottom"/>
          </w:tcPr>
          <w:p>
            <w:pPr>
              <w:spacing w:after="0"/>
              <w:rPr>
                <w:sz w:val="1"/>
                <w:szCs w:val="1"/>
                <w:color w:val="auto"/>
              </w:rPr>
            </w:pPr>
          </w:p>
        </w:tc>
      </w:tr>
      <w:tr>
        <w:trPr>
          <w:trHeight w:val="154"/>
        </w:trPr>
        <w:tc>
          <w:tcPr>
            <w:tcW w:w="4800" w:type="dxa"/>
            <w:vAlign w:val="bottom"/>
            <w:tcBorders>
              <w:top w:val="single" w:sz="8" w:color="CFF0FC"/>
            </w:tcBorders>
          </w:tcPr>
          <w:p>
            <w:pPr>
              <w:spacing w:after="0"/>
              <w:rPr>
                <w:sz w:val="13"/>
                <w:szCs w:val="13"/>
                <w:color w:val="auto"/>
              </w:rPr>
            </w:pPr>
          </w:p>
        </w:tc>
        <w:tc>
          <w:tcPr>
            <w:tcW w:w="2000" w:type="dxa"/>
            <w:vAlign w:val="bottom"/>
            <w:tcBorders>
              <w:top w:val="single" w:sz="8" w:color="CFF0FC"/>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shd w:val="clear" w:color="auto" w:fill="CFF0FC"/>
          </w:tcPr>
          <w:p>
            <w:pPr>
              <w:spacing w:after="0"/>
              <w:rPr>
                <w:sz w:val="13"/>
                <w:szCs w:val="13"/>
                <w:color w:val="auto"/>
              </w:rPr>
            </w:pPr>
          </w:p>
        </w:tc>
        <w:tc>
          <w:tcPr>
            <w:tcW w:w="20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tcPr>
          <w:p>
            <w:pPr>
              <w:spacing w:after="0"/>
              <w:rPr>
                <w:sz w:val="20"/>
                <w:szCs w:val="20"/>
                <w:color w:val="auto"/>
              </w:rPr>
            </w:pPr>
            <w:r>
              <w:rPr>
                <w:rFonts w:ascii="Arial" w:cs="Arial" w:eastAsia="Arial" w:hAnsi="Arial"/>
                <w:sz w:val="12"/>
                <w:szCs w:val="12"/>
                <w:color w:val="auto"/>
              </w:rPr>
              <w:t>Net income (loss) per share - basic and diluted</w:t>
            </w:r>
          </w:p>
        </w:tc>
        <w:tc>
          <w:tcPr>
            <w:tcW w:w="3420" w:type="dxa"/>
            <w:vAlign w:val="bottom"/>
            <w:gridSpan w:val="2"/>
          </w:tcPr>
          <w:p>
            <w:pPr>
              <w:jc w:val="right"/>
              <w:ind w:right="1312"/>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0.14</w:t>
            </w:r>
          </w:p>
        </w:tc>
        <w:tc>
          <w:tcPr>
            <w:tcW w:w="100" w:type="dxa"/>
            <w:vAlign w:val="bottom"/>
          </w:tcPr>
          <w:p>
            <w:pPr>
              <w:spacing w:after="0"/>
              <w:rPr>
                <w:sz w:val="13"/>
                <w:szCs w:val="13"/>
                <w:color w:val="auto"/>
              </w:rPr>
            </w:pPr>
          </w:p>
        </w:tc>
        <w:tc>
          <w:tcPr>
            <w:tcW w:w="7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2"/>
                <w:szCs w:val="12"/>
                <w:color w:val="auto"/>
              </w:rPr>
              <w:t>(0.82)</w:t>
            </w:r>
          </w:p>
        </w:tc>
        <w:tc>
          <w:tcPr>
            <w:tcW w:w="0" w:type="dxa"/>
            <w:vAlign w:val="bottom"/>
          </w:tcPr>
          <w:p>
            <w:pPr>
              <w:spacing w:after="0"/>
              <w:rPr>
                <w:sz w:val="1"/>
                <w:szCs w:val="1"/>
                <w:color w:val="auto"/>
              </w:rPr>
            </w:pPr>
          </w:p>
        </w:tc>
      </w:tr>
      <w:tr>
        <w:trPr>
          <w:trHeight w:val="154"/>
        </w:trPr>
        <w:tc>
          <w:tcPr>
            <w:tcW w:w="4800" w:type="dxa"/>
            <w:vAlign w:val="bottom"/>
            <w:shd w:val="clear" w:color="auto" w:fill="CFF0FC"/>
          </w:tcPr>
          <w:p>
            <w:pPr>
              <w:spacing w:after="0"/>
              <w:rPr>
                <w:sz w:val="13"/>
                <w:szCs w:val="13"/>
                <w:color w:val="auto"/>
              </w:rPr>
            </w:pPr>
          </w:p>
        </w:tc>
        <w:tc>
          <w:tcPr>
            <w:tcW w:w="20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tcPr>
          <w:p>
            <w:pPr>
              <w:spacing w:after="0"/>
              <w:rPr>
                <w:sz w:val="20"/>
                <w:szCs w:val="20"/>
                <w:color w:val="auto"/>
              </w:rPr>
            </w:pPr>
            <w:r>
              <w:rPr>
                <w:rFonts w:ascii="Arial" w:cs="Arial" w:eastAsia="Arial" w:hAnsi="Arial"/>
                <w:sz w:val="12"/>
                <w:szCs w:val="12"/>
                <w:color w:val="auto"/>
              </w:rPr>
              <w:t>Weighted-average number of common shares outstanding:</w:t>
            </w:r>
          </w:p>
        </w:tc>
        <w:tc>
          <w:tcPr>
            <w:tcW w:w="2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shd w:val="clear" w:color="auto" w:fill="CFF0FC"/>
          </w:tcPr>
          <w:p>
            <w:pPr>
              <w:ind w:left="320"/>
              <w:spacing w:after="0"/>
              <w:rPr>
                <w:sz w:val="20"/>
                <w:szCs w:val="20"/>
                <w:color w:val="auto"/>
              </w:rPr>
            </w:pPr>
            <w:r>
              <w:rPr>
                <w:rFonts w:ascii="Arial" w:cs="Arial" w:eastAsia="Arial" w:hAnsi="Arial"/>
                <w:sz w:val="12"/>
                <w:szCs w:val="12"/>
                <w:color w:val="auto"/>
              </w:rPr>
              <w:t>Basic</w:t>
            </w:r>
          </w:p>
        </w:tc>
        <w:tc>
          <w:tcPr>
            <w:tcW w:w="20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62,153</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50,758</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tcPr>
          <w:p>
            <w:pPr>
              <w:ind w:left="320"/>
              <w:spacing w:after="0"/>
              <w:rPr>
                <w:sz w:val="20"/>
                <w:szCs w:val="20"/>
                <w:color w:val="auto"/>
              </w:rPr>
            </w:pPr>
            <w:r>
              <w:rPr>
                <w:rFonts w:ascii="Arial" w:cs="Arial" w:eastAsia="Arial" w:hAnsi="Arial"/>
                <w:sz w:val="12"/>
                <w:szCs w:val="12"/>
                <w:color w:val="auto"/>
              </w:rPr>
              <w:t>Diluted</w:t>
            </w:r>
          </w:p>
        </w:tc>
        <w:tc>
          <w:tcPr>
            <w:tcW w:w="2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63,000</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50,758</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COMPREHENSIVE INCOME (LOSS)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7360" w:type="dxa"/>
            <w:vAlign w:val="bottom"/>
          </w:tcPr>
          <w:p>
            <w:pPr>
              <w:spacing w:after="0"/>
              <w:rPr>
                <w:sz w:val="10"/>
                <w:szCs w:val="10"/>
                <w:color w:val="auto"/>
              </w:rPr>
            </w:pPr>
          </w:p>
        </w:tc>
        <w:tc>
          <w:tcPr>
            <w:tcW w:w="1180" w:type="dxa"/>
            <w:vAlign w:val="bottom"/>
            <w:vMerge w:val="restart"/>
          </w:tcPr>
          <w:p>
            <w:pPr>
              <w:jc w:val="right"/>
              <w:ind w:right="31"/>
              <w:spacing w:after="0"/>
              <w:rPr>
                <w:sz w:val="20"/>
                <w:szCs w:val="20"/>
                <w:color w:val="auto"/>
              </w:rPr>
            </w:pPr>
            <w:r>
              <w:rPr>
                <w:rFonts w:ascii="Arial" w:cs="Arial" w:eastAsia="Arial" w:hAnsi="Arial"/>
                <w:sz w:val="10"/>
                <w:szCs w:val="10"/>
                <w:color w:val="auto"/>
              </w:rPr>
              <w:t>May 1, 2021</w:t>
            </w:r>
          </w:p>
        </w:tc>
        <w:tc>
          <w:tcPr>
            <w:tcW w:w="1280" w:type="dxa"/>
            <w:vAlign w:val="bottom"/>
            <w:gridSpan w:val="3"/>
          </w:tcPr>
          <w:p>
            <w:pPr>
              <w:jc w:val="right"/>
              <w:ind w:right="50"/>
              <w:spacing w:after="0"/>
              <w:rPr>
                <w:sz w:val="20"/>
                <w:szCs w:val="20"/>
                <w:color w:val="auto"/>
              </w:rPr>
            </w:pPr>
            <w:r>
              <w:rPr>
                <w:rFonts w:ascii="Arial" w:cs="Arial" w:eastAsia="Arial" w:hAnsi="Arial"/>
                <w:sz w:val="10"/>
                <w:szCs w:val="10"/>
                <w:color w:val="auto"/>
                <w:w w:val="90"/>
              </w:rPr>
              <w:t>For the Three Months Ended</w:t>
            </w:r>
          </w:p>
        </w:tc>
        <w:tc>
          <w:tcPr>
            <w:tcW w:w="1480" w:type="dxa"/>
            <w:vAlign w:val="bottom"/>
            <w:gridSpan w:val="2"/>
            <w:vMerge w:val="restart"/>
          </w:tcPr>
          <w:p>
            <w:pPr>
              <w:jc w:val="right"/>
              <w:ind w:right="880"/>
              <w:spacing w:after="0"/>
              <w:rPr>
                <w:sz w:val="20"/>
                <w:szCs w:val="20"/>
                <w:color w:val="auto"/>
              </w:rPr>
            </w:pPr>
            <w:r>
              <w:rPr>
                <w:rFonts w:ascii="Arial" w:cs="Arial" w:eastAsia="Arial" w:hAnsi="Arial"/>
                <w:sz w:val="10"/>
                <w:szCs w:val="10"/>
                <w:color w:val="auto"/>
              </w:rPr>
              <w:t>May 2, 2020</w:t>
            </w:r>
          </w:p>
        </w:tc>
        <w:tc>
          <w:tcPr>
            <w:tcW w:w="0" w:type="dxa"/>
            <w:vAlign w:val="bottom"/>
          </w:tcPr>
          <w:p>
            <w:pPr>
              <w:spacing w:after="0"/>
              <w:rPr>
                <w:sz w:val="1"/>
                <w:szCs w:val="1"/>
                <w:color w:val="auto"/>
              </w:rPr>
            </w:pPr>
          </w:p>
        </w:tc>
      </w:tr>
      <w:tr>
        <w:trPr>
          <w:trHeight w:val="113"/>
        </w:trPr>
        <w:tc>
          <w:tcPr>
            <w:tcW w:w="73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7360" w:type="dxa"/>
            <w:vAlign w:val="bottom"/>
            <w:tcBorders>
              <w:bottom w:val="single" w:sz="8" w:color="CFF0FC"/>
            </w:tcBorders>
          </w:tcPr>
          <w:p>
            <w:pPr>
              <w:spacing w:after="0"/>
              <w:rPr>
                <w:sz w:val="9"/>
                <w:szCs w:val="9"/>
                <w:color w:val="auto"/>
              </w:rPr>
            </w:pPr>
          </w:p>
        </w:tc>
        <w:tc>
          <w:tcPr>
            <w:tcW w:w="1180" w:type="dxa"/>
            <w:vAlign w:val="bottom"/>
            <w:tcBorders>
              <w:bottom w:val="single" w:sz="8" w:color="auto"/>
            </w:tcBorders>
          </w:tcPr>
          <w:p>
            <w:pPr>
              <w:jc w:val="right"/>
              <w:ind w:right="31"/>
              <w:spacing w:after="0" w:line="113" w:lineRule="exact"/>
              <w:rPr>
                <w:sz w:val="20"/>
                <w:szCs w:val="20"/>
                <w:color w:val="auto"/>
              </w:rPr>
            </w:pPr>
            <w:r>
              <w:rPr>
                <w:rFonts w:ascii="Arial" w:cs="Arial" w:eastAsia="Arial" w:hAnsi="Arial"/>
                <w:sz w:val="10"/>
                <w:szCs w:val="10"/>
                <w:color w:val="auto"/>
              </w:rPr>
              <w:t>(Fiscal 2021)</w:t>
            </w:r>
          </w:p>
        </w:tc>
        <w:tc>
          <w:tcPr>
            <w:tcW w:w="540" w:type="dxa"/>
            <w:vAlign w:val="bottom"/>
            <w:tcBorders>
              <w:bottom w:val="single" w:sz="8" w:color="auto"/>
            </w:tcBorders>
          </w:tcPr>
          <w:p>
            <w:pPr>
              <w:spacing w:after="0"/>
              <w:rPr>
                <w:sz w:val="9"/>
                <w:szCs w:val="9"/>
                <w:color w:val="auto"/>
              </w:rPr>
            </w:pPr>
          </w:p>
        </w:tc>
        <w:tc>
          <w:tcPr>
            <w:tcW w:w="300" w:type="dxa"/>
            <w:vAlign w:val="bottom"/>
            <w:tcBorders>
              <w:bottom w:val="single" w:sz="8" w:color="CFF0FC"/>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jc w:val="right"/>
              <w:ind w:right="482"/>
              <w:spacing w:after="0" w:line="113" w:lineRule="exact"/>
              <w:rPr>
                <w:sz w:val="20"/>
                <w:szCs w:val="20"/>
                <w:color w:val="auto"/>
              </w:rPr>
            </w:pPr>
            <w:r>
              <w:rPr>
                <w:rFonts w:ascii="Arial" w:cs="Arial" w:eastAsia="Arial" w:hAnsi="Arial"/>
                <w:sz w:val="10"/>
                <w:szCs w:val="10"/>
                <w:color w:val="auto"/>
              </w:rPr>
              <w:t>(Fiscal 2020)</w:t>
            </w:r>
          </w:p>
        </w:tc>
        <w:tc>
          <w:tcPr>
            <w:tcW w:w="3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7360" w:type="dxa"/>
            <w:vAlign w:val="bottom"/>
            <w:shd w:val="clear" w:color="auto" w:fill="CFF0FC"/>
          </w:tcPr>
          <w:p>
            <w:pPr>
              <w:spacing w:after="0"/>
              <w:rPr>
                <w:sz w:val="20"/>
                <w:szCs w:val="20"/>
                <w:color w:val="auto"/>
              </w:rPr>
            </w:pPr>
            <w:r>
              <w:rPr>
                <w:rFonts w:ascii="Arial" w:cs="Arial" w:eastAsia="Arial" w:hAnsi="Arial"/>
                <w:sz w:val="12"/>
                <w:szCs w:val="12"/>
                <w:color w:val="auto"/>
              </w:rPr>
              <w:t>Net income (loss)</w:t>
            </w:r>
          </w:p>
        </w:tc>
        <w:tc>
          <w:tcPr>
            <w:tcW w:w="1180" w:type="dxa"/>
            <w:vAlign w:val="bottom"/>
            <w:shd w:val="clear" w:color="auto" w:fill="CFF0FC"/>
          </w:tcPr>
          <w:p>
            <w:pPr>
              <w:jc w:val="right"/>
              <w:ind w:right="107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8,697</w:t>
            </w:r>
          </w:p>
        </w:tc>
        <w:tc>
          <w:tcPr>
            <w:tcW w:w="30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(41,726)</w:t>
            </w:r>
          </w:p>
        </w:tc>
        <w:tc>
          <w:tcPr>
            <w:tcW w:w="0" w:type="dxa"/>
            <w:vAlign w:val="bottom"/>
          </w:tcPr>
          <w:p>
            <w:pPr>
              <w:spacing w:after="0"/>
              <w:rPr>
                <w:sz w:val="1"/>
                <w:szCs w:val="1"/>
                <w:color w:val="auto"/>
              </w:rPr>
            </w:pPr>
          </w:p>
        </w:tc>
      </w:tr>
      <w:tr>
        <w:trPr>
          <w:trHeight w:val="154"/>
        </w:trPr>
        <w:tc>
          <w:tcPr>
            <w:tcW w:w="7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360" w:type="dxa"/>
            <w:vAlign w:val="bottom"/>
            <w:shd w:val="clear" w:color="auto" w:fill="CFF0FC"/>
          </w:tcPr>
          <w:p>
            <w:pPr>
              <w:spacing w:after="0"/>
              <w:rPr>
                <w:sz w:val="20"/>
                <w:szCs w:val="20"/>
                <w:color w:val="auto"/>
              </w:rPr>
            </w:pPr>
            <w:r>
              <w:rPr>
                <w:rFonts w:ascii="Arial" w:cs="Arial" w:eastAsia="Arial" w:hAnsi="Arial"/>
                <w:sz w:val="12"/>
                <w:szCs w:val="12"/>
                <w:color w:val="auto"/>
              </w:rPr>
              <w:t>Other comprehensive income before taxes:</w:t>
            </w:r>
          </w:p>
        </w:tc>
        <w:tc>
          <w:tcPr>
            <w:tcW w:w="11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360" w:type="dxa"/>
            <w:vAlign w:val="bottom"/>
          </w:tcPr>
          <w:p>
            <w:pPr>
              <w:ind w:left="160"/>
              <w:spacing w:after="0"/>
              <w:rPr>
                <w:sz w:val="20"/>
                <w:szCs w:val="20"/>
                <w:color w:val="auto"/>
              </w:rPr>
            </w:pPr>
            <w:r>
              <w:rPr>
                <w:rFonts w:ascii="Arial" w:cs="Arial" w:eastAsia="Arial" w:hAnsi="Arial"/>
                <w:sz w:val="12"/>
                <w:szCs w:val="12"/>
                <w:color w:val="auto"/>
              </w:rPr>
              <w:t>Foreign currency translation</w:t>
            </w:r>
          </w:p>
        </w:tc>
        <w:tc>
          <w:tcPr>
            <w:tcW w:w="1180" w:type="dxa"/>
            <w:vAlign w:val="bottom"/>
          </w:tcPr>
          <w:p>
            <w:pPr>
              <w:spacing w:after="0"/>
              <w:rPr>
                <w:sz w:val="13"/>
                <w:szCs w:val="1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(25)</w:t>
            </w:r>
          </w:p>
        </w:tc>
        <w:tc>
          <w:tcPr>
            <w:tcW w:w="440" w:type="dxa"/>
            <w:vAlign w:val="bottom"/>
          </w:tcPr>
          <w:p>
            <w:pPr>
              <w:spacing w:after="0"/>
              <w:rPr>
                <w:sz w:val="13"/>
                <w:szCs w:val="13"/>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54"/>
        </w:trPr>
        <w:tc>
          <w:tcPr>
            <w:tcW w:w="73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Pension plans</w:t>
            </w:r>
          </w:p>
        </w:tc>
        <w:tc>
          <w:tcPr>
            <w:tcW w:w="118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78</w:t>
            </w:r>
          </w:p>
        </w:tc>
        <w:tc>
          <w:tcPr>
            <w:tcW w:w="300" w:type="dxa"/>
            <w:vAlign w:val="bottom"/>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242</w:t>
            </w:r>
          </w:p>
        </w:tc>
        <w:tc>
          <w:tcPr>
            <w:tcW w:w="3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360" w:type="dxa"/>
            <w:vAlign w:val="bottom"/>
          </w:tcPr>
          <w:p>
            <w:pPr>
              <w:ind w:left="320"/>
              <w:spacing w:after="0"/>
              <w:rPr>
                <w:sz w:val="20"/>
                <w:szCs w:val="20"/>
                <w:color w:val="auto"/>
              </w:rPr>
            </w:pPr>
            <w:r>
              <w:rPr>
                <w:rFonts w:ascii="Arial" w:cs="Arial" w:eastAsia="Arial" w:hAnsi="Arial"/>
                <w:sz w:val="12"/>
                <w:szCs w:val="12"/>
                <w:color w:val="auto"/>
              </w:rPr>
              <w:t>Other comprehensive income before taxes</w:t>
            </w:r>
          </w:p>
        </w:tc>
        <w:tc>
          <w:tcPr>
            <w:tcW w:w="1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53</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208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360" w:type="dxa"/>
            <w:vAlign w:val="bottom"/>
            <w:shd w:val="clear" w:color="auto" w:fill="CFF0FC"/>
          </w:tcPr>
          <w:p>
            <w:pPr>
              <w:spacing w:after="0"/>
              <w:rPr>
                <w:sz w:val="20"/>
                <w:szCs w:val="20"/>
                <w:color w:val="auto"/>
              </w:rPr>
            </w:pPr>
            <w:r>
              <w:rPr>
                <w:rFonts w:ascii="Arial" w:cs="Arial" w:eastAsia="Arial" w:hAnsi="Arial"/>
                <w:sz w:val="12"/>
                <w:szCs w:val="12"/>
                <w:color w:val="auto"/>
              </w:rPr>
              <w:t>Tax provision related to items of other comprehensive income</w:t>
            </w:r>
          </w:p>
        </w:tc>
        <w:tc>
          <w:tcPr>
            <w:tcW w:w="11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73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 comprehensive income, net of tax</w:t>
            </w:r>
          </w:p>
        </w:tc>
        <w:tc>
          <w:tcPr>
            <w:tcW w:w="11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53</w:t>
            </w:r>
          </w:p>
        </w:tc>
        <w:tc>
          <w:tcPr>
            <w:tcW w:w="300" w:type="dxa"/>
            <w:vAlign w:val="bottom"/>
            <w:tcBorders>
              <w:bottom w:val="single" w:sz="8" w:color="CFF0FC"/>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208</w:t>
            </w:r>
          </w:p>
        </w:tc>
        <w:tc>
          <w:tcPr>
            <w:tcW w:w="3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360" w:type="dxa"/>
            <w:vAlign w:val="bottom"/>
            <w:shd w:val="clear" w:color="auto" w:fill="CFF0FC"/>
          </w:tcPr>
          <w:p>
            <w:pPr>
              <w:spacing w:after="0"/>
              <w:rPr>
                <w:sz w:val="20"/>
                <w:szCs w:val="20"/>
                <w:color w:val="auto"/>
              </w:rPr>
            </w:pPr>
            <w:r>
              <w:rPr>
                <w:rFonts w:ascii="Arial" w:cs="Arial" w:eastAsia="Arial" w:hAnsi="Arial"/>
                <w:sz w:val="12"/>
                <w:szCs w:val="12"/>
                <w:color w:val="auto"/>
              </w:rPr>
              <w:t>Comprehensive income (loss)</w:t>
            </w:r>
          </w:p>
        </w:tc>
        <w:tc>
          <w:tcPr>
            <w:tcW w:w="1180" w:type="dxa"/>
            <w:vAlign w:val="bottom"/>
            <w:shd w:val="clear" w:color="auto" w:fill="CFF0FC"/>
          </w:tcPr>
          <w:p>
            <w:pPr>
              <w:jc w:val="right"/>
              <w:ind w:right="107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8,750</w:t>
            </w:r>
          </w:p>
        </w:tc>
        <w:tc>
          <w:tcPr>
            <w:tcW w:w="30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(41,518)</w:t>
            </w:r>
          </w:p>
        </w:tc>
        <w:tc>
          <w:tcPr>
            <w:tcW w:w="0" w:type="dxa"/>
            <w:vAlign w:val="bottom"/>
          </w:tcPr>
          <w:p>
            <w:pPr>
              <w:spacing w:after="0"/>
              <w:rPr>
                <w:sz w:val="1"/>
                <w:szCs w:val="1"/>
                <w:color w:val="auto"/>
              </w:rPr>
            </w:pPr>
          </w:p>
        </w:tc>
      </w:tr>
      <w:tr>
        <w:trPr>
          <w:trHeight w:val="27"/>
        </w:trPr>
        <w:tc>
          <w:tcPr>
            <w:tcW w:w="7360" w:type="dxa"/>
            <w:vAlign w:val="bottom"/>
            <w:shd w:val="clear" w:color="auto" w:fill="CFF0F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2"/>
          <w:szCs w:val="12"/>
          <w:i w:val="1"/>
          <w:iCs w:val="1"/>
          <w:color w:val="auto"/>
        </w:rPr>
        <w:t>.</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CHANGES IN STOCKHOLDERS’ EQUITY (DEFICIT)</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0"/>
                <w:szCs w:val="10"/>
                <w:color w:val="auto"/>
                <w:w w:val="86"/>
              </w:rPr>
              <w:t>Accumulated</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09"/>
        </w:trPr>
        <w:tc>
          <w:tcPr>
            <w:tcW w:w="4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340"/>
              <w:spacing w:after="0" w:line="109" w:lineRule="exact"/>
              <w:rPr>
                <w:sz w:val="20"/>
                <w:szCs w:val="20"/>
                <w:color w:val="auto"/>
              </w:rPr>
            </w:pPr>
            <w:r>
              <w:rPr>
                <w:rFonts w:ascii="Arial" w:cs="Arial" w:eastAsia="Arial" w:hAnsi="Arial"/>
                <w:sz w:val="10"/>
                <w:szCs w:val="10"/>
                <w:color w:val="auto"/>
                <w:w w:val="95"/>
              </w:rPr>
              <w:t>Additional</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center"/>
              <w:ind w:right="280"/>
              <w:spacing w:after="0" w:line="109" w:lineRule="exact"/>
              <w:rPr>
                <w:sz w:val="20"/>
                <w:szCs w:val="20"/>
                <w:color w:val="auto"/>
              </w:rPr>
            </w:pPr>
            <w:r>
              <w:rPr>
                <w:rFonts w:ascii="Arial" w:cs="Arial" w:eastAsia="Arial" w:hAnsi="Arial"/>
                <w:sz w:val="10"/>
                <w:szCs w:val="10"/>
                <w:color w:val="auto"/>
                <w:w w:val="87"/>
              </w:rPr>
              <w:t>Other</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9"/>
        </w:trPr>
        <w:tc>
          <w:tcPr>
            <w:tcW w:w="4420" w:type="dxa"/>
            <w:vAlign w:val="bottom"/>
          </w:tcPr>
          <w:p>
            <w:pPr>
              <w:spacing w:after="0"/>
              <w:rPr>
                <w:sz w:val="9"/>
                <w:szCs w:val="9"/>
                <w:color w:val="auto"/>
              </w:rPr>
            </w:pPr>
          </w:p>
        </w:tc>
        <w:tc>
          <w:tcPr>
            <w:tcW w:w="1720" w:type="dxa"/>
            <w:vAlign w:val="bottom"/>
            <w:gridSpan w:val="5"/>
          </w:tcPr>
          <w:p>
            <w:pPr>
              <w:ind w:left="460"/>
              <w:spacing w:after="0" w:line="109" w:lineRule="exact"/>
              <w:rPr>
                <w:sz w:val="20"/>
                <w:szCs w:val="20"/>
                <w:color w:val="auto"/>
              </w:rPr>
            </w:pPr>
            <w:r>
              <w:rPr>
                <w:rFonts w:ascii="Arial" w:cs="Arial" w:eastAsia="Arial" w:hAnsi="Arial"/>
                <w:sz w:val="10"/>
                <w:szCs w:val="10"/>
                <w:color w:val="auto"/>
              </w:rPr>
              <w:t>Common Stock</w:t>
            </w:r>
          </w:p>
        </w:tc>
        <w:tc>
          <w:tcPr>
            <w:tcW w:w="100" w:type="dxa"/>
            <w:vAlign w:val="bottom"/>
          </w:tcPr>
          <w:p>
            <w:pPr>
              <w:spacing w:after="0"/>
              <w:rPr>
                <w:sz w:val="9"/>
                <w:szCs w:val="9"/>
                <w:color w:val="auto"/>
              </w:rPr>
            </w:pPr>
          </w:p>
        </w:tc>
        <w:tc>
          <w:tcPr>
            <w:tcW w:w="780" w:type="dxa"/>
            <w:vAlign w:val="bottom"/>
            <w:gridSpan w:val="2"/>
          </w:tcPr>
          <w:p>
            <w:pPr>
              <w:jc w:val="right"/>
              <w:ind w:right="420"/>
              <w:spacing w:after="0" w:line="109" w:lineRule="exact"/>
              <w:rPr>
                <w:sz w:val="20"/>
                <w:szCs w:val="20"/>
                <w:color w:val="auto"/>
              </w:rPr>
            </w:pPr>
            <w:r>
              <w:rPr>
                <w:rFonts w:ascii="Arial" w:cs="Arial" w:eastAsia="Arial" w:hAnsi="Arial"/>
                <w:sz w:val="10"/>
                <w:szCs w:val="10"/>
                <w:color w:val="auto"/>
              </w:rPr>
              <w:t>Paid-in</w:t>
            </w:r>
          </w:p>
        </w:tc>
        <w:tc>
          <w:tcPr>
            <w:tcW w:w="1740" w:type="dxa"/>
            <w:vAlign w:val="bottom"/>
            <w:gridSpan w:val="6"/>
          </w:tcPr>
          <w:p>
            <w:pPr>
              <w:jc w:val="right"/>
              <w:ind w:right="700"/>
              <w:spacing w:after="0" w:line="109" w:lineRule="exact"/>
              <w:rPr>
                <w:sz w:val="20"/>
                <w:szCs w:val="20"/>
                <w:color w:val="auto"/>
              </w:rPr>
            </w:pPr>
            <w:r>
              <w:rPr>
                <w:rFonts w:ascii="Arial" w:cs="Arial" w:eastAsia="Arial" w:hAnsi="Arial"/>
                <w:sz w:val="10"/>
                <w:szCs w:val="10"/>
                <w:color w:val="auto"/>
              </w:rPr>
              <w:t>Treasury Stock</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w w:val="86"/>
              </w:rPr>
              <w:t>Accumulated</w:t>
            </w:r>
          </w:p>
        </w:tc>
        <w:tc>
          <w:tcPr>
            <w:tcW w:w="80" w:type="dxa"/>
            <w:vAlign w:val="bottom"/>
          </w:tcPr>
          <w:p>
            <w:pPr>
              <w:spacing w:after="0"/>
              <w:rPr>
                <w:sz w:val="9"/>
                <w:szCs w:val="9"/>
                <w:color w:val="auto"/>
              </w:rPr>
            </w:pPr>
          </w:p>
        </w:tc>
        <w:tc>
          <w:tcPr>
            <w:tcW w:w="880" w:type="dxa"/>
            <w:vAlign w:val="bottom"/>
            <w:gridSpan w:val="3"/>
          </w:tcPr>
          <w:p>
            <w:pPr>
              <w:jc w:val="center"/>
              <w:ind w:right="220"/>
              <w:spacing w:after="0" w:line="109" w:lineRule="exact"/>
              <w:rPr>
                <w:sz w:val="20"/>
                <w:szCs w:val="20"/>
                <w:color w:val="auto"/>
              </w:rPr>
            </w:pPr>
            <w:r>
              <w:rPr>
                <w:rFonts w:ascii="Arial" w:cs="Arial" w:eastAsia="Arial" w:hAnsi="Arial"/>
                <w:sz w:val="10"/>
                <w:szCs w:val="10"/>
                <w:color w:val="auto"/>
                <w:w w:val="88"/>
              </w:rPr>
              <w:t>Comprehensive</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2"/>
        </w:trPr>
        <w:tc>
          <w:tcPr>
            <w:tcW w:w="4420" w:type="dxa"/>
            <w:vAlign w:val="bottom"/>
            <w:tcBorders>
              <w:bottom w:val="single" w:sz="8" w:color="CFF0FC"/>
            </w:tcBorders>
          </w:tcPr>
          <w:p>
            <w:pPr>
              <w:spacing w:after="0"/>
              <w:rPr>
                <w:sz w:val="9"/>
                <w:szCs w:val="9"/>
                <w:color w:val="auto"/>
              </w:rPr>
            </w:pPr>
          </w:p>
        </w:tc>
        <w:tc>
          <w:tcPr>
            <w:tcW w:w="660" w:type="dxa"/>
            <w:vAlign w:val="bottom"/>
            <w:tcBorders>
              <w:bottom w:val="single" w:sz="8" w:color="auto"/>
            </w:tcBorders>
          </w:tcPr>
          <w:p>
            <w:pPr>
              <w:jc w:val="right"/>
              <w:ind w:right="143"/>
              <w:spacing w:after="0" w:line="113" w:lineRule="exact"/>
              <w:rPr>
                <w:sz w:val="20"/>
                <w:szCs w:val="20"/>
                <w:color w:val="auto"/>
              </w:rPr>
            </w:pPr>
            <w:r>
              <w:rPr>
                <w:rFonts w:ascii="Arial" w:cs="Arial" w:eastAsia="Arial" w:hAnsi="Arial"/>
                <w:sz w:val="10"/>
                <w:szCs w:val="10"/>
                <w:color w:val="auto"/>
              </w:rPr>
              <w:t>Shares</w:t>
            </w:r>
          </w:p>
        </w:tc>
        <w:tc>
          <w:tcPr>
            <w:tcW w:w="20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02"/>
              <w:spacing w:after="0" w:line="113" w:lineRule="exact"/>
              <w:rPr>
                <w:sz w:val="20"/>
                <w:szCs w:val="20"/>
                <w:color w:val="auto"/>
              </w:rPr>
            </w:pPr>
            <w:r>
              <w:rPr>
                <w:rFonts w:ascii="Arial" w:cs="Arial" w:eastAsia="Arial" w:hAnsi="Arial"/>
                <w:sz w:val="10"/>
                <w:szCs w:val="10"/>
                <w:color w:val="auto"/>
                <w:w w:val="96"/>
              </w:rPr>
              <w:t>Amounts</w:t>
            </w:r>
          </w:p>
        </w:tc>
        <w:tc>
          <w:tcPr>
            <w:tcW w:w="20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44"/>
              <w:spacing w:after="0" w:line="113" w:lineRule="exact"/>
              <w:rPr>
                <w:sz w:val="20"/>
                <w:szCs w:val="20"/>
                <w:color w:val="auto"/>
              </w:rPr>
            </w:pPr>
            <w:r>
              <w:rPr>
                <w:rFonts w:ascii="Arial" w:cs="Arial" w:eastAsia="Arial" w:hAnsi="Arial"/>
                <w:sz w:val="10"/>
                <w:szCs w:val="10"/>
                <w:color w:val="auto"/>
              </w:rPr>
              <w:t>Capital</w:t>
            </w:r>
          </w:p>
        </w:tc>
        <w:tc>
          <w:tcPr>
            <w:tcW w:w="220" w:type="dxa"/>
            <w:vAlign w:val="bottom"/>
            <w:tcBorders>
              <w:bottom w:val="single" w:sz="8" w:color="CFF0FC"/>
            </w:tcBorders>
          </w:tcPr>
          <w:p>
            <w:pPr>
              <w:spacing w:after="0"/>
              <w:rPr>
                <w:sz w:val="9"/>
                <w:szCs w:val="9"/>
                <w:color w:val="auto"/>
              </w:rPr>
            </w:pPr>
          </w:p>
        </w:tc>
        <w:tc>
          <w:tcPr>
            <w:tcW w:w="660" w:type="dxa"/>
            <w:vAlign w:val="bottom"/>
            <w:tcBorders>
              <w:bottom w:val="single" w:sz="8" w:color="auto"/>
            </w:tcBorders>
          </w:tcPr>
          <w:p>
            <w:pPr>
              <w:ind w:left="180"/>
              <w:spacing w:after="0" w:line="113" w:lineRule="exact"/>
              <w:rPr>
                <w:sz w:val="20"/>
                <w:szCs w:val="20"/>
                <w:color w:val="auto"/>
              </w:rPr>
            </w:pPr>
            <w:r>
              <w:rPr>
                <w:rFonts w:ascii="Arial" w:cs="Arial" w:eastAsia="Arial" w:hAnsi="Arial"/>
                <w:sz w:val="10"/>
                <w:szCs w:val="10"/>
                <w:color w:val="auto"/>
              </w:rPr>
              <w:t>Shares</w:t>
            </w:r>
          </w:p>
        </w:tc>
        <w:tc>
          <w:tcPr>
            <w:tcW w:w="12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04"/>
              <w:spacing w:after="0" w:line="113" w:lineRule="exact"/>
              <w:rPr>
                <w:sz w:val="20"/>
                <w:szCs w:val="20"/>
                <w:color w:val="auto"/>
              </w:rPr>
            </w:pPr>
            <w:r>
              <w:rPr>
                <w:rFonts w:ascii="Arial" w:cs="Arial" w:eastAsia="Arial" w:hAnsi="Arial"/>
                <w:sz w:val="10"/>
                <w:szCs w:val="10"/>
                <w:color w:val="auto"/>
                <w:w w:val="96"/>
              </w:rPr>
              <w:t>Amounts</w:t>
            </w:r>
          </w:p>
        </w:tc>
        <w:tc>
          <w:tcPr>
            <w:tcW w:w="2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44"/>
              <w:spacing w:after="0" w:line="113" w:lineRule="exact"/>
              <w:rPr>
                <w:sz w:val="20"/>
                <w:szCs w:val="20"/>
                <w:color w:val="auto"/>
              </w:rPr>
            </w:pPr>
            <w:r>
              <w:rPr>
                <w:rFonts w:ascii="Arial" w:cs="Arial" w:eastAsia="Arial" w:hAnsi="Arial"/>
                <w:sz w:val="10"/>
                <w:szCs w:val="10"/>
                <w:color w:val="auto"/>
              </w:rPr>
              <w:t>Deficit</w:t>
            </w:r>
          </w:p>
        </w:tc>
        <w:tc>
          <w:tcPr>
            <w:tcW w:w="12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680" w:type="dxa"/>
            <w:vAlign w:val="bottom"/>
            <w:tcBorders>
              <w:bottom w:val="single" w:sz="8" w:color="auto"/>
            </w:tcBorders>
            <w:gridSpan w:val="2"/>
          </w:tcPr>
          <w:p>
            <w:pPr>
              <w:jc w:val="center"/>
              <w:spacing w:after="0" w:line="113" w:lineRule="exact"/>
              <w:rPr>
                <w:sz w:val="20"/>
                <w:szCs w:val="20"/>
                <w:color w:val="auto"/>
              </w:rPr>
            </w:pPr>
            <w:r>
              <w:rPr>
                <w:rFonts w:ascii="Arial" w:cs="Arial" w:eastAsia="Arial" w:hAnsi="Arial"/>
                <w:sz w:val="10"/>
                <w:szCs w:val="10"/>
                <w:color w:val="auto"/>
                <w:w w:val="88"/>
              </w:rPr>
              <w:t>Income (Loss)</w:t>
            </w:r>
          </w:p>
        </w:tc>
        <w:tc>
          <w:tcPr>
            <w:tcW w:w="20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81"/>
              <w:spacing w:after="0" w:line="113" w:lineRule="exact"/>
              <w:rPr>
                <w:sz w:val="20"/>
                <w:szCs w:val="20"/>
                <w:color w:val="auto"/>
              </w:rPr>
            </w:pPr>
            <w:r>
              <w:rPr>
                <w:rFonts w:ascii="Arial" w:cs="Arial" w:eastAsia="Arial" w:hAnsi="Arial"/>
                <w:sz w:val="10"/>
                <w:szCs w:val="10"/>
                <w:color w:val="auto"/>
              </w:rPr>
              <w:t>Total</w:t>
            </w:r>
          </w:p>
        </w:tc>
        <w:tc>
          <w:tcPr>
            <w:tcW w:w="120" w:type="dxa"/>
            <w:vAlign w:val="bottom"/>
            <w:tcBorders>
              <w:bottom w:val="single" w:sz="8" w:color="CFF0FC"/>
            </w:tcBorders>
          </w:tcPr>
          <w:p>
            <w:pPr>
              <w:spacing w:after="0"/>
              <w:rPr>
                <w:sz w:val="9"/>
                <w:szCs w:val="9"/>
                <w:color w:val="auto"/>
              </w:rPr>
            </w:pPr>
          </w:p>
        </w:tc>
      </w:tr>
      <w:tr>
        <w:trPr>
          <w:trHeight w:val="143"/>
        </w:trPr>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Balance at January 30, 2021</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64,656</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647</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314,747</w:t>
            </w:r>
          </w:p>
        </w:tc>
        <w:tc>
          <w:tcPr>
            <w:tcW w:w="2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(12,755)</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(92,658)</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(220,592)</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(6,221)</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(4,077)</w:t>
            </w:r>
          </w:p>
        </w:tc>
      </w:tr>
      <w:tr>
        <w:trPr>
          <w:trHeight w:val="154"/>
        </w:trPr>
        <w:tc>
          <w:tcPr>
            <w:tcW w:w="4420" w:type="dxa"/>
            <w:vAlign w:val="bottom"/>
          </w:tcPr>
          <w:p>
            <w:pPr>
              <w:spacing w:after="0"/>
              <w:rPr>
                <w:sz w:val="20"/>
                <w:szCs w:val="20"/>
                <w:color w:val="auto"/>
              </w:rPr>
            </w:pPr>
            <w:r>
              <w:rPr>
                <w:rFonts w:ascii="Arial" w:cs="Arial" w:eastAsia="Arial" w:hAnsi="Arial"/>
                <w:sz w:val="12"/>
                <w:szCs w:val="12"/>
                <w:color w:val="auto"/>
              </w:rPr>
              <w:t>Issuance of common stock through private direct offering, net of offering costs</w:t>
            </w:r>
          </w:p>
        </w:tc>
        <w:tc>
          <w:tcPr>
            <w:tcW w:w="660" w:type="dxa"/>
            <w:vAlign w:val="bottom"/>
          </w:tcPr>
          <w:p>
            <w:pPr>
              <w:jc w:val="right"/>
              <w:spacing w:after="0"/>
              <w:rPr>
                <w:sz w:val="20"/>
                <w:szCs w:val="20"/>
                <w:color w:val="auto"/>
              </w:rPr>
            </w:pPr>
            <w:r>
              <w:rPr>
                <w:rFonts w:ascii="Arial" w:cs="Arial" w:eastAsia="Arial" w:hAnsi="Arial"/>
                <w:sz w:val="12"/>
                <w:szCs w:val="12"/>
                <w:color w:val="auto"/>
              </w:rPr>
              <w:t>11,111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4,264</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4,375</w:t>
            </w:r>
          </w:p>
        </w:tc>
        <w:tc>
          <w:tcPr>
            <w:tcW w:w="120" w:type="dxa"/>
            <w:vAlign w:val="bottom"/>
          </w:tcPr>
          <w:p>
            <w:pPr>
              <w:spacing w:after="0"/>
              <w:rPr>
                <w:sz w:val="13"/>
                <w:szCs w:val="13"/>
                <w:color w:val="auto"/>
              </w:rPr>
            </w:pPr>
          </w:p>
        </w:tc>
      </w:tr>
      <w:tr>
        <w:trPr>
          <w:trHeight w:val="154"/>
        </w:trPr>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Board of directors compensation</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w:t>
            </w:r>
          </w:p>
        </w:tc>
        <w:tc>
          <w:tcPr>
            <w:tcW w:w="120" w:type="dxa"/>
            <w:vAlign w:val="bottom"/>
            <w:shd w:val="clear" w:color="auto" w:fill="CFF0FC"/>
          </w:tcPr>
          <w:p>
            <w:pPr>
              <w:spacing w:after="0"/>
              <w:rPr>
                <w:sz w:val="13"/>
                <w:szCs w:val="13"/>
                <w:color w:val="auto"/>
              </w:rPr>
            </w:pPr>
          </w:p>
        </w:tc>
      </w:tr>
      <w:tr>
        <w:trPr>
          <w:trHeight w:val="154"/>
        </w:trPr>
        <w:tc>
          <w:tcPr>
            <w:tcW w:w="4420" w:type="dxa"/>
            <w:vAlign w:val="bottom"/>
          </w:tcPr>
          <w:p>
            <w:pPr>
              <w:spacing w:after="0"/>
              <w:rPr>
                <w:sz w:val="20"/>
                <w:szCs w:val="20"/>
                <w:color w:val="auto"/>
              </w:rPr>
            </w:pPr>
            <w:r>
              <w:rPr>
                <w:rFonts w:ascii="Arial" w:cs="Arial" w:eastAsia="Arial" w:hAnsi="Arial"/>
                <w:sz w:val="12"/>
                <w:szCs w:val="12"/>
                <w:color w:val="auto"/>
              </w:rPr>
              <w:t>Stock compensation expense</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327</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327</w:t>
            </w:r>
          </w:p>
        </w:tc>
        <w:tc>
          <w:tcPr>
            <w:tcW w:w="120" w:type="dxa"/>
            <w:vAlign w:val="bottom"/>
          </w:tcPr>
          <w:p>
            <w:pPr>
              <w:spacing w:after="0"/>
              <w:rPr>
                <w:sz w:val="13"/>
                <w:szCs w:val="13"/>
                <w:color w:val="auto"/>
              </w:rPr>
            </w:pPr>
          </w:p>
        </w:tc>
      </w:tr>
      <w:tr>
        <w:trPr>
          <w:trHeight w:val="154"/>
        </w:trPr>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upon RSUs release</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308</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w:t>
            </w: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4"/>
        </w:trPr>
        <w:tc>
          <w:tcPr>
            <w:tcW w:w="4420" w:type="dxa"/>
            <w:vAlign w:val="bottom"/>
          </w:tcPr>
          <w:p>
            <w:pPr>
              <w:spacing w:after="0"/>
              <w:rPr>
                <w:sz w:val="20"/>
                <w:szCs w:val="20"/>
                <w:color w:val="auto"/>
              </w:rPr>
            </w:pPr>
            <w:r>
              <w:rPr>
                <w:rFonts w:ascii="Arial" w:cs="Arial" w:eastAsia="Arial" w:hAnsi="Arial"/>
                <w:sz w:val="12"/>
                <w:szCs w:val="12"/>
                <w:color w:val="auto"/>
              </w:rPr>
              <w:t>Accumulated other comprehensive income (loss):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Pension plan, net of taxes</w:t>
            </w: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w:t>
            </w:r>
          </w:p>
        </w:tc>
        <w:tc>
          <w:tcPr>
            <w:tcW w:w="120" w:type="dxa"/>
            <w:vAlign w:val="bottom"/>
            <w:shd w:val="clear" w:color="auto" w:fill="CFF0FC"/>
          </w:tcPr>
          <w:p>
            <w:pPr>
              <w:spacing w:after="0"/>
              <w:rPr>
                <w:sz w:val="13"/>
                <w:szCs w:val="13"/>
                <w:color w:val="auto"/>
              </w:rPr>
            </w:pPr>
          </w:p>
        </w:tc>
      </w:tr>
      <w:tr>
        <w:trPr>
          <w:trHeight w:val="154"/>
        </w:trPr>
        <w:tc>
          <w:tcPr>
            <w:tcW w:w="4420" w:type="dxa"/>
            <w:vAlign w:val="bottom"/>
          </w:tcPr>
          <w:p>
            <w:pPr>
              <w:ind w:left="160"/>
              <w:spacing w:after="0"/>
              <w:rPr>
                <w:sz w:val="20"/>
                <w:szCs w:val="20"/>
                <w:color w:val="auto"/>
              </w:rPr>
            </w:pPr>
            <w:r>
              <w:rPr>
                <w:rFonts w:ascii="Arial" w:cs="Arial" w:eastAsia="Arial" w:hAnsi="Arial"/>
                <w:sz w:val="12"/>
                <w:szCs w:val="12"/>
                <w:color w:val="auto"/>
              </w:rPr>
              <w:t>Foreign currency, net of taxes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(25)</w:t>
            </w: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(25)</w:t>
            </w:r>
          </w:p>
        </w:tc>
      </w:tr>
      <w:tr>
        <w:trPr>
          <w:trHeight w:val="154"/>
        </w:trPr>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Net income</w:t>
            </w:r>
          </w:p>
        </w:tc>
        <w:tc>
          <w:tcPr>
            <w:tcW w:w="66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8,697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8,697</w:t>
            </w:r>
          </w:p>
        </w:tc>
        <w:tc>
          <w:tcPr>
            <w:tcW w:w="120" w:type="dxa"/>
            <w:vAlign w:val="bottom"/>
            <w:shd w:val="clear" w:color="auto" w:fill="CFF0FC"/>
          </w:tcPr>
          <w:p>
            <w:pPr>
              <w:spacing w:after="0"/>
              <w:rPr>
                <w:sz w:val="13"/>
                <w:szCs w:val="13"/>
                <w:color w:val="auto"/>
              </w:rPr>
            </w:pPr>
          </w:p>
        </w:tc>
      </w:tr>
      <w:tr>
        <w:trPr>
          <w:trHeight w:val="143"/>
        </w:trPr>
        <w:tc>
          <w:tcPr>
            <w:tcW w:w="4420" w:type="dxa"/>
            <w:vAlign w:val="bottom"/>
          </w:tcPr>
          <w:p>
            <w:pPr>
              <w:spacing w:after="0"/>
              <w:rPr>
                <w:sz w:val="20"/>
                <w:szCs w:val="20"/>
                <w:color w:val="auto"/>
              </w:rPr>
            </w:pPr>
            <w:r>
              <w:rPr>
                <w:rFonts w:ascii="Arial" w:cs="Arial" w:eastAsia="Arial" w:hAnsi="Arial"/>
                <w:sz w:val="12"/>
                <w:szCs w:val="12"/>
                <w:color w:val="auto"/>
              </w:rPr>
              <w:t>Balance at May 1, 2021</w:t>
            </w:r>
          </w:p>
        </w:tc>
        <w:tc>
          <w:tcPr>
            <w:tcW w:w="660" w:type="dxa"/>
            <w:vAlign w:val="bottom"/>
          </w:tcPr>
          <w:p>
            <w:pPr>
              <w:jc w:val="right"/>
              <w:spacing w:after="0"/>
              <w:rPr>
                <w:sz w:val="20"/>
                <w:szCs w:val="20"/>
                <w:color w:val="auto"/>
              </w:rPr>
            </w:pPr>
            <w:r>
              <w:rPr>
                <w:rFonts w:ascii="Arial" w:cs="Arial" w:eastAsia="Arial" w:hAnsi="Arial"/>
                <w:sz w:val="12"/>
                <w:szCs w:val="12"/>
                <w:color w:val="auto"/>
              </w:rPr>
              <w:t>76,212</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762</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319,443</w:t>
            </w:r>
          </w:p>
        </w:tc>
        <w:tc>
          <w:tcPr>
            <w:tcW w:w="2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(12,755)</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(92,658)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(211,895)</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(6,168)</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9,484</w:t>
            </w:r>
          </w:p>
        </w:tc>
        <w:tc>
          <w:tcPr>
            <w:tcW w:w="120" w:type="dxa"/>
            <w:vAlign w:val="bottom"/>
          </w:tcPr>
          <w:p>
            <w:pPr>
              <w:spacing w:after="0"/>
              <w:rPr>
                <w:sz w:val="12"/>
                <w:szCs w:val="12"/>
                <w:color w:val="auto"/>
              </w:rPr>
            </w:pPr>
          </w:p>
        </w:tc>
      </w:tr>
    </w:tbl>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CHANGES IN STOCKHOLDERS’ EQUITY</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0"/>
                <w:szCs w:val="10"/>
                <w:color w:val="auto"/>
                <w:w w:val="86"/>
              </w:rPr>
              <w:t>Accumulated</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340"/>
              <w:spacing w:after="0" w:line="109" w:lineRule="exact"/>
              <w:rPr>
                <w:sz w:val="20"/>
                <w:szCs w:val="20"/>
                <w:color w:val="auto"/>
              </w:rPr>
            </w:pPr>
            <w:r>
              <w:rPr>
                <w:rFonts w:ascii="Arial" w:cs="Arial" w:eastAsia="Arial" w:hAnsi="Arial"/>
                <w:sz w:val="10"/>
                <w:szCs w:val="10"/>
                <w:color w:val="auto"/>
                <w:w w:val="95"/>
              </w:rPr>
              <w:t>Additional</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tcPr>
          <w:p>
            <w:pPr>
              <w:jc w:val="center"/>
              <w:ind w:right="280"/>
              <w:spacing w:after="0" w:line="109" w:lineRule="exact"/>
              <w:rPr>
                <w:sz w:val="20"/>
                <w:szCs w:val="20"/>
                <w:color w:val="auto"/>
              </w:rPr>
            </w:pPr>
            <w:r>
              <w:rPr>
                <w:rFonts w:ascii="Arial" w:cs="Arial" w:eastAsia="Arial" w:hAnsi="Arial"/>
                <w:sz w:val="10"/>
                <w:szCs w:val="10"/>
                <w:color w:val="auto"/>
                <w:w w:val="87"/>
              </w:rPr>
              <w:t>Other</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420" w:type="dxa"/>
            <w:vAlign w:val="bottom"/>
          </w:tcPr>
          <w:p>
            <w:pPr>
              <w:spacing w:after="0"/>
              <w:rPr>
                <w:sz w:val="9"/>
                <w:szCs w:val="9"/>
                <w:color w:val="auto"/>
              </w:rPr>
            </w:pPr>
          </w:p>
        </w:tc>
        <w:tc>
          <w:tcPr>
            <w:tcW w:w="1720" w:type="dxa"/>
            <w:vAlign w:val="bottom"/>
            <w:gridSpan w:val="5"/>
          </w:tcPr>
          <w:p>
            <w:pPr>
              <w:ind w:left="460"/>
              <w:spacing w:after="0" w:line="109" w:lineRule="exact"/>
              <w:rPr>
                <w:sz w:val="20"/>
                <w:szCs w:val="20"/>
                <w:color w:val="auto"/>
              </w:rPr>
            </w:pPr>
            <w:r>
              <w:rPr>
                <w:rFonts w:ascii="Arial" w:cs="Arial" w:eastAsia="Arial" w:hAnsi="Arial"/>
                <w:sz w:val="10"/>
                <w:szCs w:val="10"/>
                <w:color w:val="auto"/>
              </w:rPr>
              <w:t>Common Stock</w:t>
            </w:r>
          </w:p>
        </w:tc>
        <w:tc>
          <w:tcPr>
            <w:tcW w:w="100" w:type="dxa"/>
            <w:vAlign w:val="bottom"/>
          </w:tcPr>
          <w:p>
            <w:pPr>
              <w:spacing w:after="0"/>
              <w:rPr>
                <w:sz w:val="9"/>
                <w:szCs w:val="9"/>
                <w:color w:val="auto"/>
              </w:rPr>
            </w:pPr>
          </w:p>
        </w:tc>
        <w:tc>
          <w:tcPr>
            <w:tcW w:w="780" w:type="dxa"/>
            <w:vAlign w:val="bottom"/>
            <w:gridSpan w:val="2"/>
          </w:tcPr>
          <w:p>
            <w:pPr>
              <w:jc w:val="right"/>
              <w:ind w:right="420"/>
              <w:spacing w:after="0" w:line="109" w:lineRule="exact"/>
              <w:rPr>
                <w:sz w:val="20"/>
                <w:szCs w:val="20"/>
                <w:color w:val="auto"/>
              </w:rPr>
            </w:pPr>
            <w:r>
              <w:rPr>
                <w:rFonts w:ascii="Arial" w:cs="Arial" w:eastAsia="Arial" w:hAnsi="Arial"/>
                <w:sz w:val="10"/>
                <w:szCs w:val="10"/>
                <w:color w:val="auto"/>
              </w:rPr>
              <w:t>Paid-in</w:t>
            </w:r>
          </w:p>
        </w:tc>
        <w:tc>
          <w:tcPr>
            <w:tcW w:w="1740" w:type="dxa"/>
            <w:vAlign w:val="bottom"/>
            <w:gridSpan w:val="6"/>
          </w:tcPr>
          <w:p>
            <w:pPr>
              <w:jc w:val="right"/>
              <w:ind w:right="700"/>
              <w:spacing w:after="0" w:line="109" w:lineRule="exact"/>
              <w:rPr>
                <w:sz w:val="20"/>
                <w:szCs w:val="20"/>
                <w:color w:val="auto"/>
              </w:rPr>
            </w:pPr>
            <w:r>
              <w:rPr>
                <w:rFonts w:ascii="Arial" w:cs="Arial" w:eastAsia="Arial" w:hAnsi="Arial"/>
                <w:sz w:val="10"/>
                <w:szCs w:val="10"/>
                <w:color w:val="auto"/>
              </w:rPr>
              <w:t>Treasury Stock</w:t>
            </w:r>
          </w:p>
        </w:tc>
        <w:tc>
          <w:tcPr>
            <w:tcW w:w="60" w:type="dxa"/>
            <w:vAlign w:val="bottom"/>
          </w:tcPr>
          <w:p>
            <w:pPr>
              <w:spacing w:after="0"/>
              <w:rPr>
                <w:sz w:val="9"/>
                <w:szCs w:val="9"/>
                <w:color w:val="auto"/>
              </w:rPr>
            </w:pPr>
          </w:p>
        </w:tc>
        <w:tc>
          <w:tcPr>
            <w:tcW w:w="720" w:type="dxa"/>
            <w:vAlign w:val="bottom"/>
            <w:gridSpan w:val="2"/>
          </w:tcPr>
          <w:p>
            <w:pPr>
              <w:jc w:val="center"/>
              <w:ind w:right="200"/>
              <w:spacing w:after="0" w:line="109" w:lineRule="exact"/>
              <w:rPr>
                <w:sz w:val="20"/>
                <w:szCs w:val="20"/>
                <w:color w:val="auto"/>
              </w:rPr>
            </w:pPr>
            <w:r>
              <w:rPr>
                <w:rFonts w:ascii="Arial" w:cs="Arial" w:eastAsia="Arial" w:hAnsi="Arial"/>
                <w:sz w:val="10"/>
                <w:szCs w:val="10"/>
                <w:color w:val="auto"/>
                <w:w w:val="89"/>
              </w:rPr>
              <w:t>Accumulated</w:t>
            </w:r>
          </w:p>
        </w:tc>
        <w:tc>
          <w:tcPr>
            <w:tcW w:w="140" w:type="dxa"/>
            <w:vAlign w:val="bottom"/>
          </w:tcPr>
          <w:p>
            <w:pPr>
              <w:spacing w:after="0"/>
              <w:rPr>
                <w:sz w:val="9"/>
                <w:szCs w:val="9"/>
                <w:color w:val="auto"/>
              </w:rPr>
            </w:pPr>
          </w:p>
        </w:tc>
        <w:tc>
          <w:tcPr>
            <w:tcW w:w="820" w:type="dxa"/>
            <w:vAlign w:val="bottom"/>
            <w:gridSpan w:val="2"/>
          </w:tcPr>
          <w:p>
            <w:pPr>
              <w:jc w:val="center"/>
              <w:ind w:right="240"/>
              <w:spacing w:after="0" w:line="109" w:lineRule="exact"/>
              <w:rPr>
                <w:sz w:val="20"/>
                <w:szCs w:val="20"/>
                <w:color w:val="auto"/>
              </w:rPr>
            </w:pPr>
            <w:r>
              <w:rPr>
                <w:rFonts w:ascii="Arial" w:cs="Arial" w:eastAsia="Arial" w:hAnsi="Arial"/>
                <w:sz w:val="10"/>
                <w:szCs w:val="10"/>
                <w:color w:val="auto"/>
                <w:w w:val="82"/>
              </w:rPr>
              <w:t>Comprehensive</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420" w:type="dxa"/>
            <w:vAlign w:val="bottom"/>
            <w:vMerge w:val="restart"/>
          </w:tcPr>
          <w:p>
            <w:pPr>
              <w:spacing w:after="0"/>
              <w:rPr>
                <w:sz w:val="20"/>
                <w:szCs w:val="20"/>
                <w:color w:val="auto"/>
              </w:rPr>
            </w:pPr>
            <w:r>
              <w:rPr>
                <w:rFonts w:ascii="Arial" w:cs="Arial" w:eastAsia="Arial" w:hAnsi="Arial"/>
                <w:sz w:val="12"/>
                <w:szCs w:val="12"/>
                <w:color w:val="auto"/>
              </w:rPr>
              <w:t>Balance at February 1, 2020</w:t>
            </w:r>
          </w:p>
        </w:tc>
        <w:tc>
          <w:tcPr>
            <w:tcW w:w="660" w:type="dxa"/>
            <w:vAlign w:val="bottom"/>
            <w:tcBorders>
              <w:bottom w:val="single" w:sz="8" w:color="auto"/>
            </w:tcBorders>
          </w:tcPr>
          <w:p>
            <w:pPr>
              <w:jc w:val="right"/>
              <w:ind w:right="143"/>
              <w:spacing w:after="0" w:line="113" w:lineRule="exact"/>
              <w:rPr>
                <w:sz w:val="20"/>
                <w:szCs w:val="20"/>
                <w:color w:val="auto"/>
              </w:rPr>
            </w:pPr>
            <w:r>
              <w:rPr>
                <w:rFonts w:ascii="Arial" w:cs="Arial" w:eastAsia="Arial" w:hAnsi="Arial"/>
                <w:sz w:val="10"/>
                <w:szCs w:val="10"/>
                <w:color w:val="auto"/>
              </w:rPr>
              <w:t>Shares</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02"/>
              <w:spacing w:after="0" w:line="113" w:lineRule="exact"/>
              <w:rPr>
                <w:sz w:val="20"/>
                <w:szCs w:val="20"/>
                <w:color w:val="auto"/>
              </w:rPr>
            </w:pPr>
            <w:r>
              <w:rPr>
                <w:rFonts w:ascii="Arial" w:cs="Arial" w:eastAsia="Arial" w:hAnsi="Arial"/>
                <w:sz w:val="10"/>
                <w:szCs w:val="10"/>
                <w:color w:val="auto"/>
                <w:w w:val="96"/>
              </w:rPr>
              <w:t>Amounts</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44"/>
              <w:spacing w:after="0" w:line="113" w:lineRule="exact"/>
              <w:rPr>
                <w:sz w:val="20"/>
                <w:szCs w:val="20"/>
                <w:color w:val="auto"/>
              </w:rPr>
            </w:pPr>
            <w:r>
              <w:rPr>
                <w:rFonts w:ascii="Arial" w:cs="Arial" w:eastAsia="Arial" w:hAnsi="Arial"/>
                <w:sz w:val="10"/>
                <w:szCs w:val="10"/>
                <w:color w:val="auto"/>
              </w:rPr>
              <w:t>Capital</w:t>
            </w:r>
          </w:p>
        </w:tc>
        <w:tc>
          <w:tcPr>
            <w:tcW w:w="220" w:type="dxa"/>
            <w:vAlign w:val="bottom"/>
          </w:tcPr>
          <w:p>
            <w:pPr>
              <w:spacing w:after="0"/>
              <w:rPr>
                <w:sz w:val="9"/>
                <w:szCs w:val="9"/>
                <w:color w:val="auto"/>
              </w:rPr>
            </w:pPr>
          </w:p>
        </w:tc>
        <w:tc>
          <w:tcPr>
            <w:tcW w:w="660" w:type="dxa"/>
            <w:vAlign w:val="bottom"/>
            <w:tcBorders>
              <w:bottom w:val="single" w:sz="8" w:color="auto"/>
            </w:tcBorders>
          </w:tcPr>
          <w:p>
            <w:pPr>
              <w:ind w:left="180"/>
              <w:spacing w:after="0" w:line="113" w:lineRule="exact"/>
              <w:rPr>
                <w:sz w:val="20"/>
                <w:szCs w:val="20"/>
                <w:color w:val="auto"/>
              </w:rPr>
            </w:pPr>
            <w:r>
              <w:rPr>
                <w:rFonts w:ascii="Arial" w:cs="Arial" w:eastAsia="Arial" w:hAnsi="Arial"/>
                <w:sz w:val="10"/>
                <w:szCs w:val="10"/>
                <w:color w:val="auto"/>
              </w:rPr>
              <w:t>Shares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04"/>
              <w:spacing w:after="0" w:line="113" w:lineRule="exact"/>
              <w:rPr>
                <w:sz w:val="20"/>
                <w:szCs w:val="20"/>
                <w:color w:val="auto"/>
              </w:rPr>
            </w:pPr>
            <w:r>
              <w:rPr>
                <w:rFonts w:ascii="Arial" w:cs="Arial" w:eastAsia="Arial" w:hAnsi="Arial"/>
                <w:sz w:val="10"/>
                <w:szCs w:val="10"/>
                <w:color w:val="auto"/>
                <w:w w:val="96"/>
              </w:rPr>
              <w:t>Amounts</w:t>
            </w: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ind w:right="24"/>
              <w:spacing w:after="0" w:line="113" w:lineRule="exact"/>
              <w:rPr>
                <w:sz w:val="20"/>
                <w:szCs w:val="20"/>
                <w:color w:val="auto"/>
              </w:rPr>
            </w:pPr>
            <w:r>
              <w:rPr>
                <w:rFonts w:ascii="Arial" w:cs="Arial" w:eastAsia="Arial" w:hAnsi="Arial"/>
                <w:sz w:val="10"/>
                <w:szCs w:val="10"/>
                <w:color w:val="auto"/>
              </w:rPr>
              <w:t>Deficit</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Borders>
              <w:bottom w:val="single" w:sz="8" w:color="auto"/>
            </w:tcBorders>
          </w:tcPr>
          <w:p>
            <w:pPr>
              <w:jc w:val="center"/>
              <w:ind w:right="6"/>
              <w:spacing w:after="0" w:line="113" w:lineRule="exact"/>
              <w:rPr>
                <w:sz w:val="20"/>
                <w:szCs w:val="20"/>
                <w:color w:val="auto"/>
              </w:rPr>
            </w:pPr>
            <w:r>
              <w:rPr>
                <w:rFonts w:ascii="Arial" w:cs="Arial" w:eastAsia="Arial" w:hAnsi="Arial"/>
                <w:sz w:val="10"/>
                <w:szCs w:val="10"/>
                <w:color w:val="auto"/>
                <w:w w:val="88"/>
              </w:rPr>
              <w:t>Income (Loss)</w:t>
            </w: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81"/>
              <w:spacing w:after="0" w:line="113" w:lineRule="exact"/>
              <w:rPr>
                <w:sz w:val="20"/>
                <w:szCs w:val="20"/>
                <w:color w:val="auto"/>
              </w:rPr>
            </w:pPr>
            <w:r>
              <w:rPr>
                <w:rFonts w:ascii="Arial" w:cs="Arial" w:eastAsia="Arial" w:hAnsi="Arial"/>
                <w:sz w:val="10"/>
                <w:szCs w:val="10"/>
                <w:color w:val="auto"/>
              </w:rPr>
              <w:t>Total</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4420" w:type="dxa"/>
            <w:vAlign w:val="bottom"/>
            <w:vMerge w:val="continue"/>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63,297</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633</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312,933</w:t>
            </w:r>
          </w:p>
        </w:tc>
        <w:tc>
          <w:tcPr>
            <w:tcW w:w="2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(12,755)</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(92,658)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(156,054)</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(6,431)</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58,423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Board of directors compensation</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20" w:type="dxa"/>
            <w:vAlign w:val="bottom"/>
          </w:tcPr>
          <w:p>
            <w:pPr>
              <w:spacing w:after="0"/>
              <w:rPr>
                <w:sz w:val="20"/>
                <w:szCs w:val="20"/>
                <w:color w:val="auto"/>
              </w:rPr>
            </w:pPr>
            <w:r>
              <w:rPr>
                <w:rFonts w:ascii="Arial" w:cs="Arial" w:eastAsia="Arial" w:hAnsi="Arial"/>
                <w:sz w:val="12"/>
                <w:szCs w:val="12"/>
                <w:color w:val="auto"/>
              </w:rPr>
              <w:t>Stock compensation expense</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452</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452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upon RSUs release</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437</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(4)</w:t>
            </w: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420" w:type="dxa"/>
            <w:vAlign w:val="bottom"/>
          </w:tcPr>
          <w:p>
            <w:pPr>
              <w:spacing w:after="0"/>
              <w:rPr>
                <w:sz w:val="20"/>
                <w:szCs w:val="20"/>
                <w:color w:val="auto"/>
              </w:rPr>
            </w:pPr>
            <w:r>
              <w:rPr>
                <w:rFonts w:ascii="Arial" w:cs="Arial" w:eastAsia="Arial" w:hAnsi="Arial"/>
                <w:sz w:val="12"/>
                <w:szCs w:val="12"/>
                <w:color w:val="auto"/>
              </w:rPr>
              <w:t>Deferred stock vested</w:t>
            </w:r>
          </w:p>
        </w:tc>
        <w:tc>
          <w:tcPr>
            <w:tcW w:w="660" w:type="dxa"/>
            <w:vAlign w:val="bottom"/>
          </w:tcPr>
          <w:p>
            <w:pPr>
              <w:jc w:val="right"/>
              <w:spacing w:after="0"/>
              <w:rPr>
                <w:sz w:val="20"/>
                <w:szCs w:val="20"/>
                <w:color w:val="auto"/>
              </w:rPr>
            </w:pPr>
            <w:r>
              <w:rPr>
                <w:rFonts w:ascii="Arial" w:cs="Arial" w:eastAsia="Arial" w:hAnsi="Arial"/>
                <w:sz w:val="12"/>
                <w:szCs w:val="12"/>
                <w:color w:val="auto"/>
              </w:rPr>
              <w:t>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Accumulated other comprehensive income (loss):</w:t>
            </w: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20" w:type="dxa"/>
            <w:vAlign w:val="bottom"/>
          </w:tcPr>
          <w:p>
            <w:pPr>
              <w:ind w:left="160"/>
              <w:spacing w:after="0"/>
              <w:rPr>
                <w:sz w:val="20"/>
                <w:szCs w:val="20"/>
                <w:color w:val="auto"/>
              </w:rPr>
            </w:pPr>
            <w:r>
              <w:rPr>
                <w:rFonts w:ascii="Arial" w:cs="Arial" w:eastAsia="Arial" w:hAnsi="Arial"/>
                <w:sz w:val="12"/>
                <w:szCs w:val="12"/>
                <w:color w:val="auto"/>
              </w:rPr>
              <w:t>Pension plan, net of taxes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242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242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Foreign currency, net of taxes</w:t>
            </w: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(34)</w:t>
            </w: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54"/>
        </w:trPr>
        <w:tc>
          <w:tcPr>
            <w:tcW w:w="4420" w:type="dxa"/>
            <w:vAlign w:val="bottom"/>
          </w:tcPr>
          <w:p>
            <w:pPr>
              <w:spacing w:after="0"/>
              <w:rPr>
                <w:sz w:val="20"/>
                <w:szCs w:val="20"/>
                <w:color w:val="auto"/>
              </w:rPr>
            </w:pPr>
            <w:r>
              <w:rPr>
                <w:rFonts w:ascii="Arial" w:cs="Arial" w:eastAsia="Arial" w:hAnsi="Arial"/>
                <w:sz w:val="12"/>
                <w:szCs w:val="12"/>
                <w:color w:val="auto"/>
              </w:rPr>
              <w:t>Net loss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(41,726)</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(41,726)</w:t>
            </w: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Balance at May 2, 2020</w:t>
            </w: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vMerge w:val="continue"/>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63,833</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638</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313,529</w:t>
            </w:r>
          </w:p>
        </w:tc>
        <w:tc>
          <w:tcPr>
            <w:tcW w:w="2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(12,755)</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(92,658)</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(197,780)</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(6,223)</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17,506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6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0"/>
                <w:szCs w:val="10"/>
                <w:color w:val="auto"/>
              </w:rPr>
              <w:t>May 1, 2021</w:t>
            </w:r>
          </w:p>
        </w:tc>
        <w:tc>
          <w:tcPr>
            <w:tcW w:w="1120" w:type="dxa"/>
            <w:vAlign w:val="bottom"/>
            <w:gridSpan w:val="3"/>
          </w:tcPr>
          <w:p>
            <w:pPr>
              <w:jc w:val="right"/>
              <w:spacing w:after="0"/>
              <w:rPr>
                <w:sz w:val="20"/>
                <w:szCs w:val="20"/>
                <w:color w:val="auto"/>
              </w:rPr>
            </w:pPr>
            <w:r>
              <w:rPr>
                <w:rFonts w:ascii="Arial" w:cs="Arial" w:eastAsia="Arial" w:hAnsi="Arial"/>
                <w:sz w:val="10"/>
                <w:szCs w:val="10"/>
                <w:color w:val="auto"/>
                <w:w w:val="85"/>
              </w:rPr>
              <w:t>For the three months ended</w:t>
            </w: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0"/>
                <w:szCs w:val="10"/>
                <w:color w:val="auto"/>
                <w:w w:val="90"/>
              </w:rPr>
              <w:t>May 2, 2020</w:t>
            </w:r>
          </w:p>
        </w:tc>
        <w:tc>
          <w:tcPr>
            <w:tcW w:w="0" w:type="dxa"/>
            <w:vAlign w:val="bottom"/>
          </w:tcPr>
          <w:p>
            <w:pPr>
              <w:spacing w:after="0"/>
              <w:rPr>
                <w:sz w:val="1"/>
                <w:szCs w:val="1"/>
                <w:color w:val="auto"/>
              </w:rPr>
            </w:pPr>
          </w:p>
        </w:tc>
      </w:tr>
      <w:tr>
        <w:trPr>
          <w:trHeight w:val="95"/>
        </w:trPr>
        <w:tc>
          <w:tcPr>
            <w:tcW w:w="62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Arial" w:cs="Arial" w:eastAsia="Arial" w:hAnsi="Arial"/>
                <w:sz w:val="10"/>
                <w:szCs w:val="10"/>
                <w:color w:val="auto"/>
              </w:rPr>
              <w:t>(Fiscal 2021)</w:t>
            </w: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gridSpan w:val="2"/>
          </w:tcPr>
          <w:p>
            <w:pPr>
              <w:jc w:val="right"/>
              <w:ind w:right="580"/>
              <w:spacing w:after="0" w:line="113" w:lineRule="exact"/>
              <w:rPr>
                <w:sz w:val="20"/>
                <w:szCs w:val="20"/>
                <w:color w:val="auto"/>
              </w:rPr>
            </w:pPr>
            <w:r>
              <w:rPr>
                <w:rFonts w:ascii="Arial" w:cs="Arial" w:eastAsia="Arial" w:hAnsi="Arial"/>
                <w:sz w:val="10"/>
                <w:szCs w:val="10"/>
                <w:color w:val="auto"/>
                <w:w w:val="89"/>
              </w:rPr>
              <w:t>(Fiscal 2020)</w:t>
            </w:r>
          </w:p>
        </w:tc>
        <w:tc>
          <w:tcPr>
            <w:tcW w:w="0" w:type="dxa"/>
            <w:vAlign w:val="bottom"/>
          </w:tcPr>
          <w:p>
            <w:pPr>
              <w:spacing w:after="0"/>
              <w:rPr>
                <w:sz w:val="1"/>
                <w:szCs w:val="1"/>
                <w:color w:val="auto"/>
              </w:rPr>
            </w:pPr>
          </w:p>
        </w:tc>
      </w:tr>
      <w:tr>
        <w:trPr>
          <w:trHeight w:val="143"/>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Cash flows from operating activities:</w:t>
            </w:r>
          </w:p>
        </w:tc>
        <w:tc>
          <w:tcPr>
            <w:tcW w:w="184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240" w:type="dxa"/>
            <w:vAlign w:val="bottom"/>
          </w:tcPr>
          <w:p>
            <w:pPr>
              <w:ind w:left="160"/>
              <w:spacing w:after="0"/>
              <w:rPr>
                <w:sz w:val="20"/>
                <w:szCs w:val="20"/>
                <w:color w:val="auto"/>
              </w:rPr>
            </w:pPr>
            <w:r>
              <w:rPr>
                <w:rFonts w:ascii="Arial" w:cs="Arial" w:eastAsia="Arial" w:hAnsi="Arial"/>
                <w:sz w:val="11"/>
                <w:szCs w:val="11"/>
                <w:color w:val="auto"/>
              </w:rPr>
              <w:t>Net income (loss)</w:t>
            </w:r>
          </w:p>
        </w:tc>
        <w:tc>
          <w:tcPr>
            <w:tcW w:w="2820" w:type="dxa"/>
            <w:vAlign w:val="bottom"/>
            <w:gridSpan w:val="2"/>
          </w:tcPr>
          <w:p>
            <w:pPr>
              <w:jc w:val="right"/>
              <w:ind w:right="892"/>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8,697</w:t>
            </w:r>
          </w:p>
        </w:tc>
        <w:tc>
          <w:tcPr>
            <w:tcW w:w="280" w:type="dxa"/>
            <w:vAlign w:val="bottom"/>
          </w:tcPr>
          <w:p>
            <w:pPr>
              <w:spacing w:after="0"/>
              <w:rPr>
                <w:sz w:val="12"/>
                <w:szCs w:val="12"/>
                <w:color w:val="auto"/>
              </w:rPr>
            </w:pP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(41,726)</w:t>
            </w: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Adjustments to reconcile net income (loss) to net cash provided by (used for) operating activities:</w:t>
            </w:r>
          </w:p>
        </w:tc>
        <w:tc>
          <w:tcPr>
            <w:tcW w:w="18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240" w:type="dxa"/>
            <w:vAlign w:val="bottom"/>
          </w:tcPr>
          <w:p>
            <w:pPr>
              <w:ind w:left="320"/>
              <w:spacing w:after="0"/>
              <w:rPr>
                <w:sz w:val="20"/>
                <w:szCs w:val="20"/>
                <w:color w:val="auto"/>
              </w:rPr>
            </w:pPr>
            <w:r>
              <w:rPr>
                <w:rFonts w:ascii="Arial" w:cs="Arial" w:eastAsia="Arial" w:hAnsi="Arial"/>
                <w:sz w:val="11"/>
                <w:szCs w:val="11"/>
                <w:color w:val="auto"/>
              </w:rPr>
              <w:t>Amortization of deferred debt issuance costs</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215</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Impairment of assets</w:t>
            </w:r>
          </w:p>
        </w:tc>
        <w:tc>
          <w:tcPr>
            <w:tcW w:w="18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(652)</w:t>
            </w: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16,335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240" w:type="dxa"/>
            <w:vAlign w:val="bottom"/>
          </w:tcPr>
          <w:p>
            <w:pPr>
              <w:ind w:left="320"/>
              <w:spacing w:after="0"/>
              <w:rPr>
                <w:sz w:val="20"/>
                <w:szCs w:val="20"/>
                <w:color w:val="auto"/>
              </w:rPr>
            </w:pPr>
            <w:r>
              <w:rPr>
                <w:rFonts w:ascii="Arial" w:cs="Arial" w:eastAsia="Arial" w:hAnsi="Arial"/>
                <w:sz w:val="11"/>
                <w:szCs w:val="11"/>
                <w:color w:val="auto"/>
              </w:rPr>
              <w:t>Depreciation and amortization</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4,500</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5,732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2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Stock compensation expense</w:t>
            </w:r>
          </w:p>
        </w:tc>
        <w:tc>
          <w:tcPr>
            <w:tcW w:w="18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327</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240" w:type="dxa"/>
            <w:vAlign w:val="bottom"/>
          </w:tcPr>
          <w:p>
            <w:pPr>
              <w:ind w:left="320"/>
              <w:spacing w:after="0"/>
              <w:rPr>
                <w:sz w:val="20"/>
                <w:szCs w:val="20"/>
                <w:color w:val="auto"/>
              </w:rPr>
            </w:pPr>
            <w:r>
              <w:rPr>
                <w:rFonts w:ascii="Arial" w:cs="Arial" w:eastAsia="Arial" w:hAnsi="Arial"/>
                <w:sz w:val="11"/>
                <w:szCs w:val="11"/>
                <w:color w:val="auto"/>
              </w:rPr>
              <w:t>Board of directors stock compensation</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109</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240" w:type="dxa"/>
            <w:vAlign w:val="bottom"/>
          </w:tcPr>
          <w:p>
            <w:pPr>
              <w:ind w:left="160"/>
              <w:spacing w:after="0"/>
              <w:rPr>
                <w:sz w:val="20"/>
                <w:szCs w:val="20"/>
                <w:color w:val="auto"/>
              </w:rPr>
            </w:pPr>
            <w:r>
              <w:rPr>
                <w:rFonts w:ascii="Arial" w:cs="Arial" w:eastAsia="Arial" w:hAnsi="Arial"/>
                <w:sz w:val="11"/>
                <w:szCs w:val="11"/>
                <w:color w:val="auto"/>
              </w:rPr>
              <w:t>Changes in operating assets and liabilities:</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Accounts receivable</w:t>
            </w:r>
          </w:p>
        </w:tc>
        <w:tc>
          <w:tcPr>
            <w:tcW w:w="18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1,745</w:t>
            </w: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4,281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240" w:type="dxa"/>
            <w:vAlign w:val="bottom"/>
          </w:tcPr>
          <w:p>
            <w:pPr>
              <w:ind w:left="320"/>
              <w:spacing w:after="0"/>
              <w:rPr>
                <w:sz w:val="20"/>
                <w:szCs w:val="20"/>
                <w:color w:val="auto"/>
              </w:rPr>
            </w:pPr>
            <w:r>
              <w:rPr>
                <w:rFonts w:ascii="Arial" w:cs="Arial" w:eastAsia="Arial" w:hAnsi="Arial"/>
                <w:sz w:val="11"/>
                <w:szCs w:val="11"/>
                <w:color w:val="auto"/>
              </w:rPr>
              <w:t>Inventories</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(3,362)</w:t>
            </w:r>
          </w:p>
        </w:tc>
        <w:tc>
          <w:tcPr>
            <w:tcW w:w="420" w:type="dxa"/>
            <w:vAlign w:val="bottom"/>
          </w:tcPr>
          <w:p>
            <w:pPr>
              <w:spacing w:after="0"/>
              <w:rPr>
                <w:sz w:val="12"/>
                <w:szCs w:val="1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(5,905)</w:t>
            </w: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Prepaid expenses and other current assets</w:t>
            </w:r>
          </w:p>
        </w:tc>
        <w:tc>
          <w:tcPr>
            <w:tcW w:w="18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(2,692)</w:t>
            </w: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5,920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240" w:type="dxa"/>
            <w:vAlign w:val="bottom"/>
          </w:tcPr>
          <w:p>
            <w:pPr>
              <w:ind w:left="320"/>
              <w:spacing w:after="0"/>
              <w:rPr>
                <w:sz w:val="20"/>
                <w:szCs w:val="20"/>
                <w:color w:val="auto"/>
              </w:rPr>
            </w:pPr>
            <w:r>
              <w:rPr>
                <w:rFonts w:ascii="Arial" w:cs="Arial" w:eastAsia="Arial" w:hAnsi="Arial"/>
                <w:sz w:val="11"/>
                <w:szCs w:val="11"/>
                <w:color w:val="auto"/>
              </w:rPr>
              <w:t>Other assets</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Accounts payable</w:t>
            </w:r>
          </w:p>
        </w:tc>
        <w:tc>
          <w:tcPr>
            <w:tcW w:w="18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4,548</w:t>
            </w: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240" w:type="dxa"/>
            <w:vAlign w:val="bottom"/>
          </w:tcPr>
          <w:p>
            <w:pPr>
              <w:ind w:left="320"/>
              <w:spacing w:after="0"/>
              <w:rPr>
                <w:sz w:val="20"/>
                <w:szCs w:val="20"/>
                <w:color w:val="auto"/>
              </w:rPr>
            </w:pPr>
            <w:r>
              <w:rPr>
                <w:rFonts w:ascii="Arial" w:cs="Arial" w:eastAsia="Arial" w:hAnsi="Arial"/>
                <w:sz w:val="11"/>
                <w:szCs w:val="11"/>
                <w:color w:val="auto"/>
              </w:rPr>
              <w:t>Operating leases, net</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(6,318)</w:t>
            </w:r>
          </w:p>
        </w:tc>
        <w:tc>
          <w:tcPr>
            <w:tcW w:w="420" w:type="dxa"/>
            <w:vAlign w:val="bottom"/>
          </w:tcPr>
          <w:p>
            <w:pPr>
              <w:spacing w:after="0"/>
              <w:rPr>
                <w:sz w:val="12"/>
                <w:szCs w:val="1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(1,327)</w:t>
            </w: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Accrued expenses and other liabilities</w:t>
            </w:r>
          </w:p>
        </w:tc>
        <w:tc>
          <w:tcPr>
            <w:tcW w:w="18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644</w:t>
            </w: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(1,461)</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160"/>
              <w:spacing w:after="0"/>
              <w:rPr>
                <w:sz w:val="20"/>
                <w:szCs w:val="20"/>
                <w:color w:val="auto"/>
              </w:rPr>
            </w:pPr>
            <w:r>
              <w:rPr>
                <w:rFonts w:ascii="Arial" w:cs="Arial" w:eastAsia="Arial" w:hAnsi="Arial"/>
                <w:sz w:val="11"/>
                <w:szCs w:val="11"/>
                <w:color w:val="auto"/>
              </w:rPr>
              <w:t>Net cash provided by (used for) operating activities</w:t>
            </w:r>
          </w:p>
        </w:tc>
        <w:tc>
          <w:tcPr>
            <w:tcW w:w="18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240" w:type="dxa"/>
            <w:vAlign w:val="bottom"/>
            <w:vMerge w:val="continue"/>
          </w:tcPr>
          <w:p>
            <w:pPr>
              <w:spacing w:after="0"/>
              <w:rPr>
                <w:sz w:val="11"/>
                <w:szCs w:val="11"/>
                <w:color w:val="auto"/>
              </w:rPr>
            </w:pPr>
          </w:p>
        </w:tc>
        <w:tc>
          <w:tcPr>
            <w:tcW w:w="1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7,765</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(16,811)</w:t>
            </w:r>
          </w:p>
        </w:tc>
        <w:tc>
          <w:tcPr>
            <w:tcW w:w="0" w:type="dxa"/>
            <w:vAlign w:val="bottom"/>
          </w:tcPr>
          <w:p>
            <w:pPr>
              <w:spacing w:after="0"/>
              <w:rPr>
                <w:sz w:val="1"/>
                <w:szCs w:val="1"/>
                <w:color w:val="auto"/>
              </w:rPr>
            </w:pPr>
          </w:p>
        </w:tc>
      </w:tr>
      <w:tr>
        <w:trPr>
          <w:trHeight w:val="136"/>
        </w:trPr>
        <w:tc>
          <w:tcPr>
            <w:tcW w:w="6240" w:type="dxa"/>
            <w:vAlign w:val="bottom"/>
            <w:tcBorders>
              <w:top w:val="single" w:sz="8" w:color="CFF0FC"/>
            </w:tcBorders>
            <w:shd w:val="clear" w:color="auto" w:fill="CFF0FC"/>
          </w:tcPr>
          <w:p>
            <w:pPr>
              <w:spacing w:after="0"/>
              <w:rPr>
                <w:sz w:val="11"/>
                <w:szCs w:val="11"/>
                <w:color w:val="auto"/>
              </w:rPr>
            </w:pPr>
          </w:p>
        </w:tc>
        <w:tc>
          <w:tcPr>
            <w:tcW w:w="18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240" w:type="dxa"/>
            <w:vAlign w:val="bottom"/>
          </w:tcPr>
          <w:p>
            <w:pPr>
              <w:spacing w:after="0"/>
              <w:rPr>
                <w:sz w:val="20"/>
                <w:szCs w:val="20"/>
                <w:color w:val="auto"/>
              </w:rPr>
            </w:pPr>
            <w:r>
              <w:rPr>
                <w:rFonts w:ascii="Arial" w:cs="Arial" w:eastAsia="Arial" w:hAnsi="Arial"/>
                <w:sz w:val="11"/>
                <w:szCs w:val="11"/>
                <w:color w:val="auto"/>
              </w:rPr>
              <w:t>Cash flows from investing activities:</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Additions to property and equipment, net</w:t>
            </w:r>
          </w:p>
        </w:tc>
        <w:tc>
          <w:tcPr>
            <w:tcW w:w="18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(803)</w:t>
            </w:r>
          </w:p>
        </w:tc>
        <w:tc>
          <w:tcPr>
            <w:tcW w:w="4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(1,590)</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160"/>
              <w:spacing w:after="0"/>
              <w:rPr>
                <w:sz w:val="20"/>
                <w:szCs w:val="20"/>
                <w:color w:val="auto"/>
              </w:rPr>
            </w:pPr>
            <w:r>
              <w:rPr>
                <w:rFonts w:ascii="Arial" w:cs="Arial" w:eastAsia="Arial" w:hAnsi="Arial"/>
                <w:sz w:val="11"/>
                <w:szCs w:val="11"/>
                <w:color w:val="auto"/>
              </w:rPr>
              <w:t>Net cash used for investing activities</w:t>
            </w:r>
          </w:p>
        </w:tc>
        <w:tc>
          <w:tcPr>
            <w:tcW w:w="18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240" w:type="dxa"/>
            <w:vAlign w:val="bottom"/>
            <w:vMerge w:val="continue"/>
          </w:tcPr>
          <w:p>
            <w:pPr>
              <w:spacing w:after="0"/>
              <w:rPr>
                <w:sz w:val="11"/>
                <w:szCs w:val="11"/>
                <w:color w:val="auto"/>
              </w:rPr>
            </w:pPr>
          </w:p>
        </w:tc>
        <w:tc>
          <w:tcPr>
            <w:tcW w:w="1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(803)</w:t>
            </w:r>
          </w:p>
        </w:tc>
        <w:tc>
          <w:tcPr>
            <w:tcW w:w="4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(1,590)</w:t>
            </w:r>
          </w:p>
        </w:tc>
        <w:tc>
          <w:tcPr>
            <w:tcW w:w="0" w:type="dxa"/>
            <w:vAlign w:val="bottom"/>
          </w:tcPr>
          <w:p>
            <w:pPr>
              <w:spacing w:after="0"/>
              <w:rPr>
                <w:sz w:val="1"/>
                <w:szCs w:val="1"/>
                <w:color w:val="auto"/>
              </w:rPr>
            </w:pPr>
          </w:p>
        </w:tc>
      </w:tr>
      <w:tr>
        <w:trPr>
          <w:trHeight w:val="136"/>
        </w:trPr>
        <w:tc>
          <w:tcPr>
            <w:tcW w:w="6240" w:type="dxa"/>
            <w:vAlign w:val="bottom"/>
            <w:tcBorders>
              <w:top w:val="single" w:sz="8" w:color="CFF0FC"/>
            </w:tcBorders>
            <w:shd w:val="clear" w:color="auto" w:fill="CFF0FC"/>
          </w:tcPr>
          <w:p>
            <w:pPr>
              <w:spacing w:after="0"/>
              <w:rPr>
                <w:sz w:val="11"/>
                <w:szCs w:val="11"/>
                <w:color w:val="auto"/>
              </w:rPr>
            </w:pPr>
          </w:p>
        </w:tc>
        <w:tc>
          <w:tcPr>
            <w:tcW w:w="18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240" w:type="dxa"/>
            <w:vAlign w:val="bottom"/>
          </w:tcPr>
          <w:p>
            <w:pPr>
              <w:spacing w:after="0"/>
              <w:rPr>
                <w:sz w:val="20"/>
                <w:szCs w:val="20"/>
                <w:color w:val="auto"/>
              </w:rPr>
            </w:pPr>
            <w:r>
              <w:rPr>
                <w:rFonts w:ascii="Arial" w:cs="Arial" w:eastAsia="Arial" w:hAnsi="Arial"/>
                <w:sz w:val="11"/>
                <w:szCs w:val="11"/>
                <w:color w:val="auto"/>
              </w:rPr>
              <w:t>Cash flows from financing activities:</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Proceeds from issuance of common stock from private direct offering, net of offering costs</w:t>
            </w:r>
          </w:p>
        </w:tc>
        <w:tc>
          <w:tcPr>
            <w:tcW w:w="18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4,375</w:t>
            </w: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6240" w:type="dxa"/>
            <w:vAlign w:val="bottom"/>
          </w:tcPr>
          <w:p>
            <w:pPr>
              <w:ind w:left="320"/>
              <w:spacing w:after="0"/>
              <w:rPr>
                <w:sz w:val="20"/>
                <w:szCs w:val="20"/>
                <w:color w:val="auto"/>
              </w:rPr>
            </w:pPr>
            <w:r>
              <w:rPr>
                <w:rFonts w:ascii="Arial" w:cs="Arial" w:eastAsia="Arial" w:hAnsi="Arial"/>
                <w:sz w:val="11"/>
                <w:szCs w:val="11"/>
                <w:color w:val="auto"/>
              </w:rPr>
              <w:t>Repayment of existing FILO loan</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(15,000)</w:t>
            </w:r>
          </w:p>
        </w:tc>
        <w:tc>
          <w:tcPr>
            <w:tcW w:w="42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Proceeds from new FILO loan</w:t>
            </w:r>
          </w:p>
        </w:tc>
        <w:tc>
          <w:tcPr>
            <w:tcW w:w="18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17,500</w:t>
            </w: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6240" w:type="dxa"/>
            <w:vAlign w:val="bottom"/>
          </w:tcPr>
          <w:p>
            <w:pPr>
              <w:ind w:left="320"/>
              <w:spacing w:after="0"/>
              <w:rPr>
                <w:sz w:val="20"/>
                <w:szCs w:val="20"/>
                <w:color w:val="auto"/>
              </w:rPr>
            </w:pPr>
            <w:r>
              <w:rPr>
                <w:rFonts w:ascii="Arial" w:cs="Arial" w:eastAsia="Arial" w:hAnsi="Arial"/>
                <w:sz w:val="11"/>
                <w:szCs w:val="11"/>
                <w:color w:val="auto"/>
              </w:rPr>
              <w:t>Net borrowings (repayments) under credit facility</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(26,173)</w:t>
            </w:r>
          </w:p>
        </w:tc>
        <w:tc>
          <w:tcPr>
            <w:tcW w:w="4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40,214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Debt issuance costs</w:t>
            </w:r>
          </w:p>
        </w:tc>
        <w:tc>
          <w:tcPr>
            <w:tcW w:w="18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(818)</w:t>
            </w:r>
          </w:p>
        </w:tc>
        <w:tc>
          <w:tcPr>
            <w:tcW w:w="4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160"/>
              <w:spacing w:after="0"/>
              <w:rPr>
                <w:sz w:val="20"/>
                <w:szCs w:val="20"/>
                <w:color w:val="auto"/>
              </w:rPr>
            </w:pPr>
            <w:r>
              <w:rPr>
                <w:rFonts w:ascii="Arial" w:cs="Arial" w:eastAsia="Arial" w:hAnsi="Arial"/>
                <w:sz w:val="11"/>
                <w:szCs w:val="11"/>
                <w:color w:val="auto"/>
              </w:rPr>
              <w:t>Net cash provided by (used for) financing activities</w:t>
            </w:r>
          </w:p>
        </w:tc>
        <w:tc>
          <w:tcPr>
            <w:tcW w:w="18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240" w:type="dxa"/>
            <w:vAlign w:val="bottom"/>
            <w:vMerge w:val="continue"/>
          </w:tcPr>
          <w:p>
            <w:pPr>
              <w:spacing w:after="0"/>
              <w:rPr>
                <w:sz w:val="11"/>
                <w:szCs w:val="11"/>
                <w:color w:val="auto"/>
              </w:rPr>
            </w:pPr>
          </w:p>
        </w:tc>
        <w:tc>
          <w:tcPr>
            <w:tcW w:w="1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(20,116)</w:t>
            </w:r>
          </w:p>
        </w:tc>
        <w:tc>
          <w:tcPr>
            <w:tcW w:w="4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40,210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shd w:val="clear" w:color="auto" w:fill="CFF0FC"/>
          </w:tcPr>
          <w:p>
            <w:pPr>
              <w:spacing w:after="0"/>
              <w:rPr>
                <w:sz w:val="20"/>
                <w:szCs w:val="20"/>
                <w:color w:val="auto"/>
              </w:rPr>
            </w:pPr>
            <w:r>
              <w:rPr>
                <w:rFonts w:ascii="Arial" w:cs="Arial" w:eastAsia="Arial" w:hAnsi="Arial"/>
                <w:sz w:val="11"/>
                <w:szCs w:val="11"/>
                <w:color w:val="auto"/>
              </w:rPr>
              <w:t>Net increase (decrease) in cash and cash equivalents</w:t>
            </w:r>
          </w:p>
        </w:tc>
        <w:tc>
          <w:tcPr>
            <w:tcW w:w="18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240" w:type="dxa"/>
            <w:vAlign w:val="bottom"/>
            <w:vMerge w:val="continue"/>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(13,154)</w:t>
            </w:r>
          </w:p>
        </w:tc>
        <w:tc>
          <w:tcPr>
            <w:tcW w:w="42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21,809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240" w:type="dxa"/>
            <w:vAlign w:val="bottom"/>
          </w:tcPr>
          <w:p>
            <w:pPr>
              <w:spacing w:after="0"/>
              <w:rPr>
                <w:sz w:val="20"/>
                <w:szCs w:val="20"/>
                <w:color w:val="auto"/>
              </w:rPr>
            </w:pPr>
            <w:r>
              <w:rPr>
                <w:rFonts w:ascii="Arial" w:cs="Arial" w:eastAsia="Arial" w:hAnsi="Arial"/>
                <w:sz w:val="11"/>
                <w:szCs w:val="11"/>
                <w:color w:val="auto"/>
              </w:rPr>
              <w:t>Cash and cash equivalents:</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Beginning of period</w:t>
            </w:r>
          </w:p>
        </w:tc>
        <w:tc>
          <w:tcPr>
            <w:tcW w:w="1840" w:type="dxa"/>
            <w:vAlign w:val="bottom"/>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18,997</w:t>
            </w:r>
          </w:p>
        </w:tc>
        <w:tc>
          <w:tcPr>
            <w:tcW w:w="280" w:type="dxa"/>
            <w:vAlign w:val="bottom"/>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4,338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240" w:type="dxa"/>
            <w:vAlign w:val="bottom"/>
          </w:tcPr>
          <w:p>
            <w:pPr>
              <w:ind w:left="160"/>
              <w:spacing w:after="0"/>
              <w:rPr>
                <w:sz w:val="20"/>
                <w:szCs w:val="20"/>
                <w:color w:val="auto"/>
              </w:rPr>
            </w:pPr>
            <w:r>
              <w:rPr>
                <w:rFonts w:ascii="Arial" w:cs="Arial" w:eastAsia="Arial" w:hAnsi="Arial"/>
                <w:sz w:val="11"/>
                <w:szCs w:val="11"/>
                <w:color w:val="auto"/>
              </w:rPr>
              <w:t>End of period</w:t>
            </w:r>
          </w:p>
        </w:tc>
        <w:tc>
          <w:tcPr>
            <w:tcW w:w="2820" w:type="dxa"/>
            <w:vAlign w:val="bottom"/>
            <w:gridSpan w:val="2"/>
          </w:tcPr>
          <w:p>
            <w:pPr>
              <w:jc w:val="right"/>
              <w:ind w:right="892"/>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5,843</w:t>
            </w:r>
          </w:p>
        </w:tc>
        <w:tc>
          <w:tcPr>
            <w:tcW w:w="280" w:type="dxa"/>
            <w:vAlign w:val="bottom"/>
          </w:tcPr>
          <w:p>
            <w:pPr>
              <w:spacing w:after="0"/>
              <w:rPr>
                <w:sz w:val="11"/>
                <w:szCs w:val="11"/>
                <w:color w:val="auto"/>
              </w:rPr>
            </w:pP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26,147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2"/>
          <w:szCs w:val="12"/>
          <w:b w:val="1"/>
          <w:bCs w:val="1"/>
          <w:color w:val="auto"/>
        </w:rPr>
        <w:t>DESTINATION XL GROUP, INC.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Basis of Presentation</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In the opinion of management of Destination XL Group, Inc., a Delaware corporation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30, 2021 included in the Company’s Annual Report on Form 10-K, which was filed with the Securities and Exchange Commission on March 19, 2021.</w:t>
      </w:r>
    </w:p>
    <w:p>
      <w:pPr>
        <w:spacing w:after="0" w:line="124"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09" w:lineRule="exact"/>
        <w:rPr>
          <w:sz w:val="20"/>
          <w:szCs w:val="20"/>
          <w:color w:val="auto"/>
        </w:rPr>
      </w:pPr>
    </w:p>
    <w:p>
      <w:pPr>
        <w:spacing w:after="0"/>
        <w:rPr>
          <w:sz w:val="20"/>
          <w:szCs w:val="20"/>
          <w:color w:val="auto"/>
        </w:rPr>
      </w:pPr>
      <w:r>
        <w:rPr>
          <w:rFonts w:ascii="Arial" w:cs="Arial" w:eastAsia="Arial" w:hAnsi="Arial"/>
          <w:sz w:val="11"/>
          <w:szCs w:val="11"/>
          <w:color w:val="auto"/>
        </w:rPr>
        <w:t>The Company’s fiscal year is a 52- or 53- week period ending on the Saturday closest to January 31. Fiscal 2021 and fiscal 2020 are 52-week periods ending on January 29, 2022 and January 30, 2021,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COVID-19 Pandemic and its impact on results and comparability of financial statements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On March 11, 2020, the World Health Organization declared the current outbreak of a novel coronavirus disease (“COVID-19”) as a global pandemic. </w:t>
      </w:r>
      <w:r>
        <w:rPr>
          <w:rFonts w:ascii="Arial" w:cs="Arial" w:eastAsia="Arial" w:hAnsi="Arial"/>
          <w:sz w:val="12"/>
          <w:szCs w:val="12"/>
          <w:color w:val="212121"/>
        </w:rPr>
        <w:t>The COVID-19 pandemic had an adverse effect on the Company’s operations</w:t>
      </w:r>
      <w:r>
        <w:rPr>
          <w:rFonts w:ascii="Arial" w:cs="Arial" w:eastAsia="Arial" w:hAnsi="Arial"/>
          <w:sz w:val="12"/>
          <w:szCs w:val="12"/>
          <w:color w:val="auto"/>
        </w:rPr>
        <w:t xml:space="preserve"> </w:t>
      </w:r>
      <w:r>
        <w:rPr>
          <w:rFonts w:ascii="Arial" w:cs="Arial" w:eastAsia="Arial" w:hAnsi="Arial"/>
          <w:sz w:val="12"/>
          <w:szCs w:val="12"/>
          <w:color w:val="212121"/>
        </w:rPr>
        <w:t xml:space="preserve">during fiscal 2020. All of the Company’s store locations were closed temporarily on March 17, 2020 and the </w:t>
      </w:r>
      <w:r>
        <w:rPr>
          <w:rFonts w:ascii="Arial" w:cs="Arial" w:eastAsia="Arial" w:hAnsi="Arial"/>
          <w:sz w:val="12"/>
          <w:szCs w:val="12"/>
          <w:color w:val="000000"/>
        </w:rPr>
        <w:t>majority of the Company’s workforce was furloughed in March 2020.</w:t>
      </w:r>
      <w:r>
        <w:rPr>
          <w:rFonts w:ascii="Arial" w:cs="Arial" w:eastAsia="Arial" w:hAnsi="Arial"/>
          <w:sz w:val="12"/>
          <w:szCs w:val="12"/>
          <w:color w:val="212121"/>
        </w:rPr>
        <w:t xml:space="preserve"> The Company began reopening stores in late April and by the end of June 2020 all retail stores had been reopened but the majority with reduced operating hours. </w:t>
      </w:r>
      <w:r>
        <w:rPr>
          <w:rFonts w:ascii="Arial" w:cs="Arial" w:eastAsia="Arial" w:hAnsi="Arial"/>
          <w:sz w:val="12"/>
          <w:szCs w:val="12"/>
          <w:color w:val="000000"/>
        </w:rPr>
        <w:t>In March 2020, as a proactive measure, the Company drew $30.0 million under its revolving facility in order to increase</w:t>
      </w:r>
      <w:r>
        <w:rPr>
          <w:rFonts w:ascii="Arial" w:cs="Arial" w:eastAsia="Arial" w:hAnsi="Arial"/>
          <w:sz w:val="12"/>
          <w:szCs w:val="12"/>
          <w:color w:val="212121"/>
        </w:rPr>
        <w:t xml:space="preserve"> </w:t>
      </w:r>
      <w:r>
        <w:rPr>
          <w:rFonts w:ascii="Arial" w:cs="Arial" w:eastAsia="Arial" w:hAnsi="Arial"/>
          <w:sz w:val="12"/>
          <w:szCs w:val="12"/>
          <w:color w:val="000000"/>
        </w:rPr>
        <w:t>the Company’s cash position and preserve financial flexibility. During the second quarter of fiscal 2020, the Company entered into rent concessions with the majority of its landlords, in the form of rent abatements, rent deferments and, to a lesser extent, lease term extensions. As a result of the impact of the pandemic on our business in fiscal 2020, including the closure of all of our stores in the first quarter of fiscal 2020, results for the first quarter fiscal of 2021 may not be comparable to the results for the first quarter of fiscal 2020.</w:t>
      </w:r>
    </w:p>
    <w:p>
      <w:pPr>
        <w:spacing w:after="0" w:line="55"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While vaccines are being widely distributed and many areas where our stores are located are beginning to re-open with limited or no restrictions, the duration of the COVID-19 pandemic and its variants remain uncertain and could continue to have a material adverse impact on the Company’s results of operations, financial condition and cash flows.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Segment Information</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Company has three principal operating segments: its stores, direct and wholesale businesses. The Company considers its stores and direct operating segments to be similar in terms of economic characteristics, production processes and operations, and has therefore aggregated them into one reportable segment, retail segment, consistent with its omni-channel business approach. Due to the immateriality of the wholesale segment’s revenues, profits and assets, its operating results are aggregated with the retail segment for both periods.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Intangibles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In fiscal 2018, the Company purchased the rights to the domain name “dxl.com.” The domain name has a carrying value of $1.2 million and is considered an indefinite-lived asset. During the first three months ended May 1, 2021, no event or circumstance occurred which would cause a reduction in the fair value of this intangible asset.</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79"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 xml:space="preserve">ASC Topic 825, </w:t>
      </w:r>
      <w:r>
        <w:rPr>
          <w:rFonts w:ascii="Arial" w:cs="Arial" w:eastAsia="Arial" w:hAnsi="Arial"/>
          <w:sz w:val="12"/>
          <w:szCs w:val="12"/>
          <w:i w:val="1"/>
          <w:iCs w:val="1"/>
          <w:color w:val="auto"/>
        </w:rPr>
        <w:t>Financial Instruments</w:t>
      </w:r>
      <w:r>
        <w:rPr>
          <w:rFonts w:ascii="Arial" w:cs="Arial" w:eastAsia="Arial" w:hAnsi="Arial"/>
          <w:sz w:val="12"/>
          <w:szCs w:val="12"/>
          <w:color w:val="auto"/>
        </w:rPr>
        <w:t>, requires disclosure of the fair value of certain financial instruments. ASC Topic 820, “</w:t>
      </w:r>
      <w:r>
        <w:rPr>
          <w:rFonts w:ascii="Arial" w:cs="Arial" w:eastAsia="Arial" w:hAnsi="Arial"/>
          <w:sz w:val="12"/>
          <w:szCs w:val="12"/>
          <w:i w:val="1"/>
          <w:iCs w:val="1"/>
          <w:color w:val="auto"/>
        </w:rPr>
        <w:t>Fair Value Measurements and Disclosures</w:t>
      </w:r>
      <w:r>
        <w:rPr>
          <w:rFonts w:ascii="Arial" w:cs="Arial" w:eastAsia="Arial" w:hAnsi="Arial"/>
          <w:sz w:val="12"/>
          <w:szCs w:val="12"/>
          <w:color w:val="auto"/>
        </w:rPr>
        <w:t>,” defines fair value, establishes a framework for measuring fair value and enhances disclosures about fair value measurements.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 w:name="page9"/>
    <w:bookmarkEnd w:id="8"/>
    <w:p>
      <w:pPr>
        <w:ind w:right="20"/>
        <w:spacing w:after="0" w:line="279" w:lineRule="auto"/>
        <w:rPr>
          <w:sz w:val="20"/>
          <w:szCs w:val="20"/>
          <w:color w:val="auto"/>
        </w:rPr>
      </w:pPr>
      <w:r>
        <w:rPr>
          <w:rFonts w:ascii="Arial" w:cs="Arial" w:eastAsia="Arial" w:hAnsi="Arial"/>
          <w:sz w:val="12"/>
          <w:szCs w:val="12"/>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4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Level 1 – Quoted prices in active markets for identical assets or liabilities.</w:t>
      </w:r>
    </w:p>
    <w:p>
      <w:pPr>
        <w:spacing w:after="0" w:line="79" w:lineRule="exact"/>
        <w:rPr>
          <w:sz w:val="20"/>
          <w:szCs w:val="20"/>
          <w:color w:val="auto"/>
        </w:rPr>
      </w:pPr>
    </w:p>
    <w:p>
      <w:pPr>
        <w:ind w:left="240"/>
        <w:spacing w:after="0" w:line="279" w:lineRule="auto"/>
        <w:rPr>
          <w:sz w:val="20"/>
          <w:szCs w:val="20"/>
          <w:color w:val="auto"/>
        </w:rPr>
      </w:pPr>
      <w:r>
        <w:rPr>
          <w:rFonts w:ascii="Arial" w:cs="Arial" w:eastAsia="Arial" w:hAnsi="Arial"/>
          <w:sz w:val="12"/>
          <w:szCs w:val="12"/>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4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Level 3 – Unobservable inputs that are supported by little or no market activity and that are significant to the fair value of assets or liabilities.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Company utilizes observable market inputs (quoted market prices) when measuring fair value whenever possible.</w:t>
      </w:r>
    </w:p>
    <w:p>
      <w:pPr>
        <w:spacing w:after="0" w:line="152"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The fair value of long-term debt is classified within Level 2 of the valuation hierarchy. At May 1, 2021, the fair value approximated the carrying amount based upon terms available to the Company for borrowings with similar arrangements and remaining maturities.</w:t>
      </w:r>
    </w:p>
    <w:p>
      <w:pPr>
        <w:spacing w:after="0" w:line="114"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The fair value of the “dxl.com” domain name, an indefinite-lived asset, is measured on a non-recurring basis in connection with the Company’s annual impairment test and is classified within Level 3 of the valuation hierarchy. See Intangibles above.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carrying amounts of cash and cash equivalents, accounts receivable, accounts payable, accrued expenses and short-term borrowings approximate fair value because of the short maturity of these instruments.</w:t>
      </w:r>
    </w:p>
    <w:p>
      <w:pPr>
        <w:spacing w:after="0" w:line="2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Accumulated Other Comprehensive Income (Loss) - (“AOCI”)</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2"/>
          <w:szCs w:val="12"/>
          <w:color w:val="auto"/>
        </w:rPr>
        <w:t>Other comprehensive income (loss) includes amounts related to foreign currency and pension plans and is reported in the Consolidated Statements of Comprehensive Income (Loss). Other comprehensive income (loss) and reclassifications from AOCI for the three months ended May 1, 2021 and May 2, 2020, respectively, were as follows:</w:t>
      </w:r>
    </w:p>
    <w:tbl>
      <w:tblPr>
        <w:tblLayout w:type="fixed"/>
        <w:tblInd w:w="0" w:type="dxa"/>
        <w:tblCellMar>
          <w:top w:w="0" w:type="dxa"/>
          <w:left w:w="0" w:type="dxa"/>
          <w:bottom w:w="0" w:type="dxa"/>
          <w:right w:w="0" w:type="dxa"/>
        </w:tblCellMar>
      </w:tblPr>
      <w:tr>
        <w:trPr>
          <w:trHeight w:val="113"/>
        </w:trPr>
        <w:tc>
          <w:tcPr>
            <w:tcW w:w="5260" w:type="dxa"/>
            <w:vAlign w:val="bottom"/>
            <w:vMerge w:val="restart"/>
          </w:tcPr>
          <w:p>
            <w:pPr>
              <w:spacing w:after="0"/>
              <w:rPr>
                <w:sz w:val="20"/>
                <w:szCs w:val="20"/>
                <w:color w:val="auto"/>
              </w:rPr>
            </w:pPr>
            <w:r>
              <w:rPr>
                <w:rFonts w:ascii="Arial" w:cs="Arial" w:eastAsia="Arial" w:hAnsi="Arial"/>
                <w:sz w:val="10"/>
                <w:szCs w:val="10"/>
                <w:i w:val="1"/>
                <w:iCs w:val="1"/>
                <w:color w:val="auto"/>
              </w:rPr>
              <w:t>For the three months ended:</w:t>
            </w: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2"/>
          </w:tcPr>
          <w:p>
            <w:pPr>
              <w:jc w:val="center"/>
              <w:ind w:right="240"/>
              <w:spacing w:after="0" w:line="113" w:lineRule="exact"/>
              <w:rPr>
                <w:sz w:val="20"/>
                <w:szCs w:val="20"/>
                <w:color w:val="auto"/>
              </w:rPr>
            </w:pPr>
            <w:r>
              <w:rPr>
                <w:rFonts w:ascii="Arial" w:cs="Arial" w:eastAsia="Arial" w:hAnsi="Arial"/>
                <w:sz w:val="10"/>
                <w:szCs w:val="10"/>
                <w:color w:val="auto"/>
                <w:w w:val="90"/>
              </w:rPr>
              <w:t>May 1, 2021</w:t>
            </w: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2"/>
          </w:tcPr>
          <w:p>
            <w:pPr>
              <w:jc w:val="center"/>
              <w:ind w:right="340"/>
              <w:spacing w:after="0" w:line="113" w:lineRule="exact"/>
              <w:rPr>
                <w:sz w:val="20"/>
                <w:szCs w:val="20"/>
                <w:color w:val="auto"/>
              </w:rPr>
            </w:pPr>
            <w:r>
              <w:rPr>
                <w:rFonts w:ascii="Arial" w:cs="Arial" w:eastAsia="Arial" w:hAnsi="Arial"/>
                <w:sz w:val="10"/>
                <w:szCs w:val="10"/>
                <w:color w:val="auto"/>
                <w:w w:val="90"/>
              </w:rPr>
              <w:t>May 2, 2020</w:t>
            </w: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2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restart"/>
          </w:tcPr>
          <w:p>
            <w:pPr>
              <w:jc w:val="right"/>
              <w:ind w:right="480"/>
              <w:spacing w:after="0"/>
              <w:rPr>
                <w:sz w:val="20"/>
                <w:szCs w:val="20"/>
                <w:color w:val="auto"/>
              </w:rPr>
            </w:pPr>
            <w:r>
              <w:rPr>
                <w:rFonts w:ascii="Arial" w:cs="Arial" w:eastAsia="Arial" w:hAnsi="Arial"/>
                <w:sz w:val="10"/>
                <w:szCs w:val="10"/>
                <w:color w:val="auto"/>
              </w:rPr>
              <w:t>Pension</w:t>
            </w:r>
          </w:p>
        </w:tc>
        <w:tc>
          <w:tcPr>
            <w:tcW w:w="100" w:type="dxa"/>
            <w:vAlign w:val="bottom"/>
          </w:tcPr>
          <w:p>
            <w:pPr>
              <w:spacing w:after="0"/>
              <w:rPr>
                <w:sz w:val="9"/>
                <w:szCs w:val="9"/>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0"/>
                <w:szCs w:val="10"/>
                <w:color w:val="auto"/>
                <w:w w:val="88"/>
              </w:rPr>
              <w:t>Foreign</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4"/>
          </w:tcPr>
          <w:p>
            <w:pPr>
              <w:jc w:val="right"/>
              <w:ind w:right="20"/>
              <w:spacing w:after="0" w:line="111" w:lineRule="exact"/>
              <w:rPr>
                <w:sz w:val="20"/>
                <w:szCs w:val="20"/>
                <w:color w:val="auto"/>
              </w:rPr>
            </w:pPr>
            <w:r>
              <w:rPr>
                <w:rFonts w:ascii="Arial" w:cs="Arial" w:eastAsia="Arial" w:hAnsi="Arial"/>
                <w:sz w:val="10"/>
                <w:szCs w:val="10"/>
                <w:i w:val="1"/>
                <w:iCs w:val="1"/>
                <w:color w:val="auto"/>
              </w:rPr>
              <w:t>(in thousands)</w:t>
            </w:r>
          </w:p>
        </w:tc>
        <w:tc>
          <w:tcPr>
            <w:tcW w:w="740" w:type="dxa"/>
            <w:vAlign w:val="bottom"/>
            <w:gridSpan w:val="2"/>
            <w:vMerge w:val="restart"/>
          </w:tcPr>
          <w:p>
            <w:pPr>
              <w:jc w:val="right"/>
              <w:ind w:right="380"/>
              <w:spacing w:after="0"/>
              <w:rPr>
                <w:sz w:val="20"/>
                <w:szCs w:val="20"/>
                <w:color w:val="auto"/>
              </w:rPr>
            </w:pPr>
            <w:r>
              <w:rPr>
                <w:rFonts w:ascii="Arial" w:cs="Arial" w:eastAsia="Arial" w:hAnsi="Arial"/>
                <w:sz w:val="10"/>
                <w:szCs w:val="10"/>
                <w:color w:val="auto"/>
                <w:w w:val="93"/>
              </w:rPr>
              <w:t>Pension</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0"/>
                <w:szCs w:val="10"/>
                <w:color w:val="auto"/>
                <w:w w:val="88"/>
              </w:rPr>
              <w:t>Foreign</w:t>
            </w: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5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5260" w:type="dxa"/>
            <w:vAlign w:val="bottom"/>
            <w:vMerge w:val="restart"/>
          </w:tcPr>
          <w:p>
            <w:pPr>
              <w:spacing w:after="0"/>
              <w:rPr>
                <w:sz w:val="20"/>
                <w:szCs w:val="20"/>
                <w:color w:val="auto"/>
              </w:rPr>
            </w:pPr>
            <w:r>
              <w:rPr>
                <w:rFonts w:ascii="Arial" w:cs="Arial" w:eastAsia="Arial" w:hAnsi="Arial"/>
                <w:sz w:val="12"/>
                <w:szCs w:val="12"/>
                <w:color w:val="auto"/>
              </w:rPr>
              <w:t>Balance at beginning of the quarter</w:t>
            </w: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43"/>
              <w:spacing w:after="0" w:line="113" w:lineRule="exact"/>
              <w:rPr>
                <w:sz w:val="20"/>
                <w:szCs w:val="20"/>
                <w:color w:val="auto"/>
              </w:rPr>
            </w:pPr>
            <w:r>
              <w:rPr>
                <w:rFonts w:ascii="Arial" w:cs="Arial" w:eastAsia="Arial" w:hAnsi="Arial"/>
                <w:sz w:val="10"/>
                <w:szCs w:val="10"/>
                <w:color w:val="auto"/>
              </w:rPr>
              <w:t>Plans</w:t>
            </w: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44"/>
              <w:spacing w:after="0" w:line="113" w:lineRule="exact"/>
              <w:rPr>
                <w:sz w:val="20"/>
                <w:szCs w:val="20"/>
                <w:color w:val="auto"/>
              </w:rPr>
            </w:pPr>
            <w:r>
              <w:rPr>
                <w:rFonts w:ascii="Arial" w:cs="Arial" w:eastAsia="Arial" w:hAnsi="Arial"/>
                <w:sz w:val="10"/>
                <w:szCs w:val="10"/>
                <w:color w:val="auto"/>
                <w:w w:val="88"/>
              </w:rPr>
              <w:t>Currency</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43"/>
              <w:spacing w:after="0" w:line="113" w:lineRule="exact"/>
              <w:rPr>
                <w:sz w:val="20"/>
                <w:szCs w:val="20"/>
                <w:color w:val="auto"/>
              </w:rPr>
            </w:pPr>
            <w:r>
              <w:rPr>
                <w:rFonts w:ascii="Arial" w:cs="Arial" w:eastAsia="Arial" w:hAnsi="Arial"/>
                <w:sz w:val="10"/>
                <w:szCs w:val="10"/>
                <w:color w:val="auto"/>
              </w:rPr>
              <w:t>Total</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43"/>
              <w:spacing w:after="0" w:line="113" w:lineRule="exact"/>
              <w:rPr>
                <w:sz w:val="20"/>
                <w:szCs w:val="20"/>
                <w:color w:val="auto"/>
              </w:rPr>
            </w:pPr>
            <w:r>
              <w:rPr>
                <w:rFonts w:ascii="Arial" w:cs="Arial" w:eastAsia="Arial" w:hAnsi="Arial"/>
                <w:sz w:val="10"/>
                <w:szCs w:val="10"/>
                <w:color w:val="auto"/>
              </w:rPr>
              <w:t>Plans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center"/>
              <w:ind w:right="64"/>
              <w:spacing w:after="0" w:line="113" w:lineRule="exact"/>
              <w:rPr>
                <w:sz w:val="20"/>
                <w:szCs w:val="20"/>
                <w:color w:val="auto"/>
              </w:rPr>
            </w:pPr>
            <w:r>
              <w:rPr>
                <w:rFonts w:ascii="Arial" w:cs="Arial" w:eastAsia="Arial" w:hAnsi="Arial"/>
                <w:sz w:val="10"/>
                <w:szCs w:val="10"/>
                <w:color w:val="auto"/>
                <w:w w:val="88"/>
              </w:rPr>
              <w:t>Currency</w:t>
            </w: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42"/>
              <w:spacing w:after="0" w:line="113" w:lineRule="exact"/>
              <w:rPr>
                <w:sz w:val="20"/>
                <w:szCs w:val="20"/>
                <w:color w:val="auto"/>
              </w:rPr>
            </w:pPr>
            <w:r>
              <w:rPr>
                <w:rFonts w:ascii="Arial" w:cs="Arial" w:eastAsia="Arial" w:hAnsi="Arial"/>
                <w:sz w:val="10"/>
                <w:szCs w:val="10"/>
                <w:color w:val="auto"/>
              </w:rPr>
              <w:t>Total</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5260" w:type="dxa"/>
            <w:vAlign w:val="bottom"/>
            <w:vMerge w:val="continue"/>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(6,224)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(6,221)</w:t>
            </w: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(6,478)</w:t>
            </w: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47</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(6,431)</w:t>
            </w:r>
          </w:p>
        </w:tc>
        <w:tc>
          <w:tcPr>
            <w:tcW w:w="0" w:type="dxa"/>
            <w:vAlign w:val="bottom"/>
          </w:tcPr>
          <w:p>
            <w:pPr>
              <w:spacing w:after="0"/>
              <w:rPr>
                <w:sz w:val="1"/>
                <w:szCs w:val="1"/>
                <w:color w:val="auto"/>
              </w:rPr>
            </w:pPr>
          </w:p>
        </w:tc>
      </w:tr>
      <w:tr>
        <w:trPr>
          <w:trHeight w:val="154"/>
        </w:trPr>
        <w:tc>
          <w:tcPr>
            <w:tcW w:w="5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20"/>
                <w:szCs w:val="20"/>
                <w:color w:val="auto"/>
              </w:rPr>
            </w:pPr>
            <w:r>
              <w:rPr>
                <w:rFonts w:ascii="Arial" w:cs="Arial" w:eastAsia="Arial" w:hAnsi="Arial"/>
                <w:sz w:val="12"/>
                <w:szCs w:val="12"/>
                <w:color w:val="auto"/>
              </w:rPr>
              <w:t>Other comprehensive income (loss) before</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60" w:type="dxa"/>
            <w:vAlign w:val="bottom"/>
          </w:tcPr>
          <w:p>
            <w:pPr>
              <w:ind w:left="80"/>
              <w:spacing w:after="0"/>
              <w:rPr>
                <w:sz w:val="20"/>
                <w:szCs w:val="20"/>
                <w:color w:val="auto"/>
              </w:rPr>
            </w:pPr>
            <w:r>
              <w:rPr>
                <w:rFonts w:ascii="Arial" w:cs="Arial" w:eastAsia="Arial" w:hAnsi="Arial"/>
                <w:sz w:val="12"/>
                <w:szCs w:val="12"/>
                <w:color w:val="auto"/>
              </w:rPr>
              <w:t>reclassifications, net of taxes</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(34)</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20"/>
                <w:szCs w:val="20"/>
                <w:color w:val="auto"/>
              </w:rPr>
            </w:pPr>
            <w:r>
              <w:rPr>
                <w:rFonts w:ascii="Arial" w:cs="Arial" w:eastAsia="Arial" w:hAnsi="Arial"/>
                <w:sz w:val="12"/>
                <w:szCs w:val="12"/>
                <w:color w:val="auto"/>
              </w:rPr>
              <w:t>Amounts reclassified from accumulated other</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60" w:type="dxa"/>
            <w:vAlign w:val="bottom"/>
          </w:tcPr>
          <w:p>
            <w:pPr>
              <w:ind w:left="80"/>
              <w:spacing w:after="0"/>
              <w:rPr>
                <w:sz w:val="20"/>
                <w:szCs w:val="20"/>
                <w:color w:val="auto"/>
              </w:rPr>
            </w:pPr>
            <w:r>
              <w:rPr>
                <w:rFonts w:ascii="Arial" w:cs="Arial" w:eastAsia="Arial" w:hAnsi="Arial"/>
                <w:sz w:val="12"/>
                <w:szCs w:val="12"/>
                <w:color w:val="auto"/>
              </w:rPr>
              <w:t xml:space="preserve">comprehensive income, net of taxes </w:t>
            </w:r>
            <w:r>
              <w:rPr>
                <w:rFonts w:ascii="Arial" w:cs="Arial" w:eastAsia="Arial" w:hAnsi="Arial"/>
                <w:sz w:val="10"/>
                <w:szCs w:val="10"/>
                <w:color w:val="auto"/>
              </w:rPr>
              <w:t>(1)</w:t>
            </w:r>
          </w:p>
        </w:tc>
        <w:tc>
          <w:tcPr>
            <w:tcW w:w="14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60" w:type="dxa"/>
            <w:vAlign w:val="bottom"/>
          </w:tcPr>
          <w:p>
            <w:pPr>
              <w:spacing w:after="0"/>
              <w:rPr>
                <w:sz w:val="20"/>
                <w:szCs w:val="20"/>
                <w:color w:val="auto"/>
              </w:rPr>
            </w:pPr>
            <w:r>
              <w:rPr>
                <w:rFonts w:ascii="Arial" w:cs="Arial" w:eastAsia="Arial" w:hAnsi="Arial"/>
                <w:sz w:val="12"/>
                <w:szCs w:val="12"/>
                <w:color w:val="auto"/>
              </w:rPr>
              <w:t>Other comprehensive income (loss) for the period</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(34)</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260" w:type="dxa"/>
            <w:vAlign w:val="bottom"/>
          </w:tcPr>
          <w:p>
            <w:pPr>
              <w:spacing w:after="0"/>
              <w:rPr>
                <w:sz w:val="20"/>
                <w:szCs w:val="20"/>
                <w:color w:val="auto"/>
              </w:rPr>
            </w:pPr>
            <w:r>
              <w:rPr>
                <w:rFonts w:ascii="Arial" w:cs="Arial" w:eastAsia="Arial" w:hAnsi="Arial"/>
                <w:sz w:val="12"/>
                <w:szCs w:val="12"/>
                <w:color w:val="auto"/>
              </w:rPr>
              <w:t>Balance at end of quarter</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(6,146)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(22)</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(6,168)</w:t>
            </w: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(6,236)</w:t>
            </w: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(6,223)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left="740" w:hanging="376"/>
        <w:spacing w:after="0" w:line="265" w:lineRule="auto"/>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Includes the amortization of the unrecognized loss on pension plans, which was charged to “Selling, General and Administrative” Expense on the Consolidated Statements of Operations for all periods presented. The amortization of the unrecognized loss, before tax, was $165,000 for the three-month period ended May 2, 2020. For the three months ended May 1, 2021, the Company recognized income of $12,000 as a result of a change in amortization from average remaining future service to average remaining lifetime. There was no related tax effect for either period.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judgment. Actual results and future changes in estimates may differ from the Company’s current estimates.</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fair value of each stock option grant is estimated on the date of grant using the Black-Scholes option-pricing model based on the assumptions in the table below as it relates to stock options granted during the first three months of fiscal 2021. There were no grants of stock options during the first three months of fiscal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520" w:type="dxa"/>
            <w:vAlign w:val="bottom"/>
            <w:tcBorders>
              <w:bottom w:val="single" w:sz="8" w:color="CFF0FC"/>
            </w:tcBorders>
          </w:tcPr>
          <w:p>
            <w:pPr>
              <w:spacing w:after="0"/>
              <w:rPr>
                <w:sz w:val="10"/>
                <w:szCs w:val="10"/>
                <w:color w:val="auto"/>
              </w:rPr>
            </w:pPr>
          </w:p>
        </w:tc>
        <w:tc>
          <w:tcPr>
            <w:tcW w:w="3780" w:type="dxa"/>
            <w:vAlign w:val="bottom"/>
            <w:tcBorders>
              <w:bottom w:val="single" w:sz="8" w:color="auto"/>
            </w:tcBorders>
            <w:gridSpan w:val="2"/>
          </w:tcPr>
          <w:p>
            <w:pPr>
              <w:ind w:left="1640"/>
              <w:spacing w:after="0"/>
              <w:rPr>
                <w:sz w:val="20"/>
                <w:szCs w:val="20"/>
                <w:color w:val="auto"/>
              </w:rPr>
            </w:pPr>
            <w:r>
              <w:rPr>
                <w:rFonts w:ascii="Arial" w:cs="Arial" w:eastAsia="Arial" w:hAnsi="Arial"/>
                <w:sz w:val="10"/>
                <w:szCs w:val="10"/>
                <w:color w:val="auto"/>
              </w:rPr>
              <w:t>May 1, 2021</w:t>
            </w:r>
          </w:p>
        </w:tc>
      </w:tr>
      <w:tr>
        <w:trPr>
          <w:trHeight w:val="143"/>
        </w:trPr>
        <w:tc>
          <w:tcPr>
            <w:tcW w:w="7520" w:type="dxa"/>
            <w:vAlign w:val="bottom"/>
            <w:shd w:val="clear" w:color="auto" w:fill="CFF0FC"/>
          </w:tcPr>
          <w:p>
            <w:pPr>
              <w:spacing w:after="0"/>
              <w:rPr>
                <w:sz w:val="20"/>
                <w:szCs w:val="20"/>
                <w:color w:val="auto"/>
              </w:rPr>
            </w:pPr>
            <w:r>
              <w:rPr>
                <w:rFonts w:ascii="Arial" w:cs="Arial" w:eastAsia="Arial" w:hAnsi="Arial"/>
                <w:sz w:val="12"/>
                <w:szCs w:val="12"/>
                <w:color w:val="auto"/>
              </w:rPr>
              <w:t>Expected volatility</w:t>
            </w:r>
          </w:p>
        </w:tc>
        <w:tc>
          <w:tcPr>
            <w:tcW w:w="3780" w:type="dxa"/>
            <w:vAlign w:val="bottom"/>
            <w:gridSpan w:val="2"/>
            <w:shd w:val="clear" w:color="auto" w:fill="CFF0FC"/>
          </w:tcPr>
          <w:p>
            <w:pPr>
              <w:jc w:val="right"/>
              <w:ind w:right="1440"/>
              <w:spacing w:after="0"/>
              <w:rPr>
                <w:sz w:val="20"/>
                <w:szCs w:val="20"/>
                <w:color w:val="auto"/>
              </w:rPr>
            </w:pPr>
            <w:r>
              <w:rPr>
                <w:rFonts w:ascii="Arial" w:cs="Arial" w:eastAsia="Arial" w:hAnsi="Arial"/>
                <w:sz w:val="12"/>
                <w:szCs w:val="12"/>
                <w:color w:val="auto"/>
              </w:rPr>
              <w:t>97.4% - 104.9%</w:t>
            </w:r>
          </w:p>
        </w:tc>
      </w:tr>
      <w:tr>
        <w:trPr>
          <w:trHeight w:val="154"/>
        </w:trPr>
        <w:tc>
          <w:tcPr>
            <w:tcW w:w="7520" w:type="dxa"/>
            <w:vAlign w:val="bottom"/>
          </w:tcPr>
          <w:p>
            <w:pPr>
              <w:spacing w:after="0"/>
              <w:rPr>
                <w:sz w:val="20"/>
                <w:szCs w:val="20"/>
                <w:color w:val="auto"/>
              </w:rPr>
            </w:pPr>
            <w:r>
              <w:rPr>
                <w:rFonts w:ascii="Arial" w:cs="Arial" w:eastAsia="Arial" w:hAnsi="Arial"/>
                <w:sz w:val="12"/>
                <w:szCs w:val="12"/>
                <w:color w:val="auto"/>
              </w:rPr>
              <w:t>Risk-free interest rate</w:t>
            </w:r>
          </w:p>
        </w:tc>
        <w:tc>
          <w:tcPr>
            <w:tcW w:w="1860" w:type="dxa"/>
            <w:vAlign w:val="bottom"/>
          </w:tcPr>
          <w:p>
            <w:pPr>
              <w:jc w:val="right"/>
              <w:spacing w:after="0"/>
              <w:rPr>
                <w:sz w:val="20"/>
                <w:szCs w:val="20"/>
                <w:color w:val="auto"/>
              </w:rPr>
            </w:pPr>
            <w:r>
              <w:rPr>
                <w:rFonts w:ascii="Arial" w:cs="Arial" w:eastAsia="Arial" w:hAnsi="Arial"/>
                <w:sz w:val="12"/>
                <w:szCs w:val="12"/>
                <w:color w:val="auto"/>
              </w:rPr>
              <w:t>0.31%</w:t>
            </w:r>
          </w:p>
        </w:tc>
        <w:tc>
          <w:tcPr>
            <w:tcW w:w="1920" w:type="dxa"/>
            <w:vAlign w:val="bottom"/>
          </w:tcPr>
          <w:p>
            <w:pPr>
              <w:spacing w:after="0"/>
              <w:rPr>
                <w:sz w:val="20"/>
                <w:szCs w:val="20"/>
                <w:color w:val="auto"/>
              </w:rPr>
            </w:pPr>
            <w:r>
              <w:rPr>
                <w:rFonts w:ascii="Arial" w:cs="Arial" w:eastAsia="Arial" w:hAnsi="Arial"/>
                <w:sz w:val="12"/>
                <w:szCs w:val="12"/>
                <w:color w:val="auto"/>
              </w:rPr>
              <w:t>- 0.60%</w:t>
            </w:r>
          </w:p>
        </w:tc>
      </w:tr>
      <w:tr>
        <w:trPr>
          <w:trHeight w:val="154"/>
        </w:trPr>
        <w:tc>
          <w:tcPr>
            <w:tcW w:w="7520" w:type="dxa"/>
            <w:vAlign w:val="bottom"/>
            <w:shd w:val="clear" w:color="auto" w:fill="CFF0FC"/>
          </w:tcPr>
          <w:p>
            <w:pPr>
              <w:spacing w:after="0"/>
              <w:rPr>
                <w:sz w:val="20"/>
                <w:szCs w:val="20"/>
                <w:color w:val="auto"/>
              </w:rPr>
            </w:pPr>
            <w:r>
              <w:rPr>
                <w:rFonts w:ascii="Arial" w:cs="Arial" w:eastAsia="Arial" w:hAnsi="Arial"/>
                <w:sz w:val="12"/>
                <w:szCs w:val="12"/>
                <w:color w:val="auto"/>
              </w:rPr>
              <w:t>Expected life</w:t>
            </w: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1920" w:type="dxa"/>
            <w:vAlign w:val="bottom"/>
            <w:shd w:val="clear" w:color="auto" w:fill="CFF0FC"/>
          </w:tcPr>
          <w:p>
            <w:pPr>
              <w:spacing w:after="0"/>
              <w:rPr>
                <w:sz w:val="20"/>
                <w:szCs w:val="20"/>
                <w:color w:val="auto"/>
              </w:rPr>
            </w:pPr>
            <w:r>
              <w:rPr>
                <w:rFonts w:ascii="Arial" w:cs="Arial" w:eastAsia="Arial" w:hAnsi="Arial"/>
                <w:sz w:val="12"/>
                <w:szCs w:val="12"/>
                <w:color w:val="auto"/>
              </w:rPr>
              <w:t>- 4.0</w:t>
            </w:r>
          </w:p>
        </w:tc>
      </w:tr>
      <w:tr>
        <w:trPr>
          <w:trHeight w:val="154"/>
        </w:trPr>
        <w:tc>
          <w:tcPr>
            <w:tcW w:w="7520" w:type="dxa"/>
            <w:vAlign w:val="bottom"/>
          </w:tcPr>
          <w:p>
            <w:pPr>
              <w:spacing w:after="0"/>
              <w:rPr>
                <w:sz w:val="20"/>
                <w:szCs w:val="20"/>
                <w:color w:val="auto"/>
              </w:rPr>
            </w:pPr>
            <w:r>
              <w:rPr>
                <w:rFonts w:ascii="Arial" w:cs="Arial" w:eastAsia="Arial" w:hAnsi="Arial"/>
                <w:sz w:val="12"/>
                <w:szCs w:val="12"/>
                <w:color w:val="auto"/>
              </w:rPr>
              <w:t>Dividend rate</w:t>
            </w:r>
          </w:p>
        </w:tc>
        <w:tc>
          <w:tcPr>
            <w:tcW w:w="186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Arial" w:cs="Arial" w:eastAsia="Arial" w:hAnsi="Arial"/>
                <w:sz w:val="12"/>
                <w:szCs w:val="12"/>
                <w:color w:val="auto"/>
              </w:rPr>
              <w:t>-</w:t>
            </w:r>
          </w:p>
        </w:tc>
      </w:tr>
      <w:tr>
        <w:trPr>
          <w:trHeight w:val="154"/>
        </w:trPr>
        <w:tc>
          <w:tcPr>
            <w:tcW w:w="7520" w:type="dxa"/>
            <w:vAlign w:val="bottom"/>
            <w:shd w:val="clear" w:color="auto" w:fill="CFF0FC"/>
          </w:tcPr>
          <w:p>
            <w:pPr>
              <w:spacing w:after="0"/>
              <w:rPr>
                <w:sz w:val="20"/>
                <w:szCs w:val="20"/>
                <w:color w:val="auto"/>
              </w:rPr>
            </w:pPr>
            <w:r>
              <w:rPr>
                <w:rFonts w:ascii="Arial" w:cs="Arial" w:eastAsia="Arial" w:hAnsi="Arial"/>
                <w:sz w:val="12"/>
                <w:szCs w:val="12"/>
                <w:color w:val="auto"/>
              </w:rPr>
              <w:t>Weighted average fair value of options granted</w:t>
            </w:r>
          </w:p>
        </w:tc>
        <w:tc>
          <w:tcPr>
            <w:tcW w:w="3780" w:type="dxa"/>
            <w:vAlign w:val="bottom"/>
            <w:gridSpan w:val="2"/>
            <w:shd w:val="clear" w:color="auto" w:fill="CFF0FC"/>
          </w:tcPr>
          <w:p>
            <w:pPr>
              <w:jc w:val="right"/>
              <w:ind w:right="1700"/>
              <w:spacing w:after="0"/>
              <w:rPr>
                <w:sz w:val="20"/>
                <w:szCs w:val="20"/>
                <w:color w:val="auto"/>
              </w:rPr>
            </w:pPr>
            <w:r>
              <w:rPr>
                <w:rFonts w:ascii="Arial" w:cs="Arial" w:eastAsia="Arial" w:hAnsi="Arial"/>
                <w:sz w:val="12"/>
                <w:szCs w:val="12"/>
                <w:color w:val="auto"/>
              </w:rPr>
              <w:t>$0.47</w:t>
            </w:r>
          </w:p>
        </w:tc>
      </w:tr>
    </w:tbl>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Company has outstanding performance stock units (PSUs) with a market condition. The respective grant-date fair value and derived service periods assigned to the PSUs were determined using a Monte Carlo model. The valuation included assumptions with respect to the Company’s historical volatility, risk-free rate and cost of equity.</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of Long-Lived Assets</w:t>
      </w:r>
    </w:p>
    <w:p>
      <w:pPr>
        <w:spacing w:after="0" w:line="79"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w:t>
      </w:r>
    </w:p>
    <w:p>
      <w:pPr>
        <w:spacing w:after="0" w:line="37"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For the first quarter of fiscal 2021, the Company recognized a non-cash gain of $0.8 million, related to the Company’s decision to close certain retail stores, which resulted in a revaluation of the existing lease liabilities. To the extent that such gain related to previously recorded impairment charges against the operating lease right-of-use asset, $0.7 million of the gain was included as an offset to asset impairment charges with the remaining $0.1 million of the gain included as a reduction in store occupancy costs.</w:t>
      </w:r>
    </w:p>
    <w:p>
      <w:pPr>
        <w:spacing w:after="0" w:line="50"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In the first quarter of fiscal 2020, as a result of the significant impact of the COVID-19 pandemic on the Company’s business and the continued uncertainty at that time, the Company recorded an impairment charge of $16.3 million in the first quarter of fiscal 2020. The impairment charge included approximately $12.5 million for the write-down of certain right-of-use assets and $3.8 million for the write-down of property and equipment, related to stores where the carrying value exceeded fair value.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Leases</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Company adopted ASU 2016-02, “</w:t>
      </w:r>
      <w:r>
        <w:rPr>
          <w:rFonts w:ascii="Arial" w:cs="Arial" w:eastAsia="Arial" w:hAnsi="Arial"/>
          <w:sz w:val="12"/>
          <w:szCs w:val="12"/>
          <w:i w:val="1"/>
          <w:iCs w:val="1"/>
          <w:color w:val="auto"/>
        </w:rPr>
        <w:t>Leases (Topic 842)</w:t>
      </w:r>
      <w:r>
        <w:rPr>
          <w:rFonts w:ascii="Arial" w:cs="Arial" w:eastAsia="Arial" w:hAnsi="Arial"/>
          <w:sz w:val="12"/>
          <w:szCs w:val="12"/>
          <w:color w:val="auto"/>
        </w:rPr>
        <w:t>” in fiscal 2019. Under ASC 842, 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assets and lease liabilities are recognized at the commencement date based on the present value of the remaining future minimum lease payments, initial direct costs and any lease incentives are included in the value of those right-of use assets. As the interest 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842 will not be applied to certain, if any, non-store leases, with a term of 12 months or less, recognizing those lease payments on a straight-line basis over the lease term. At May 1, 2021, the Company had no short-term leases.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10" w:name="page11"/>
    <w:bookmarkEnd w:id="10"/>
    <w:p>
      <w:pPr>
        <w:jc w:val="both"/>
        <w:spacing w:after="0" w:line="287" w:lineRule="auto"/>
        <w:rPr>
          <w:sz w:val="20"/>
          <w:szCs w:val="20"/>
          <w:color w:val="auto"/>
        </w:rPr>
      </w:pPr>
      <w:r>
        <w:rPr>
          <w:rFonts w:ascii="Arial" w:cs="Arial" w:eastAsia="Arial" w:hAnsi="Arial"/>
          <w:sz w:val="11"/>
          <w:szCs w:val="11"/>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stores leases with an initial term of 5 years, the Company evaluates each lease independently and, only when the Company considers it reasonably certain that it will exercise an option to extend, will the associated payment of that option be included in the measurement of the right-of-use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headquarters and distribution center lease, which was entered into in 2006 and was for an initial 20-year term. At the end of the initial term, the Company will have the opportunity to extend this lease for six additional successive periods of five years.</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right-of-use assets and lease liabilities. Tenant allowances are included as an offset to the right-of-use asset and amortized as reductions to rent expense over the associated lease term.</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See Note 4 ‘‘</w:t>
      </w:r>
      <w:r>
        <w:rPr>
          <w:rFonts w:ascii="Arial" w:cs="Arial" w:eastAsia="Arial" w:hAnsi="Arial"/>
          <w:sz w:val="12"/>
          <w:szCs w:val="12"/>
          <w:i w:val="1"/>
          <w:iCs w:val="1"/>
          <w:color w:val="auto"/>
        </w:rPr>
        <w:t>Leases</w:t>
      </w:r>
      <w:r>
        <w:rPr>
          <w:rFonts w:ascii="Arial" w:cs="Arial" w:eastAsia="Arial" w:hAnsi="Arial"/>
          <w:sz w:val="12"/>
          <w:szCs w:val="12"/>
          <w:color w:val="auto"/>
        </w:rPr>
        <w:t>’’ for additional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Issued Accounting Pronouncements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No new accounting pronouncements, issued or effective during the first three months of fiscal 2021, have had or are expected to have a significant impact on the Company’s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Revenue Recognition</w:t>
      </w:r>
    </w:p>
    <w:p>
      <w:pPr>
        <w:spacing w:after="0" w:line="156" w:lineRule="exact"/>
        <w:rPr>
          <w:sz w:val="20"/>
          <w:szCs w:val="20"/>
          <w:color w:val="auto"/>
        </w:rPr>
      </w:pPr>
    </w:p>
    <w:p>
      <w:pPr>
        <w:jc w:val="both"/>
        <w:spacing w:after="0" w:line="328" w:lineRule="auto"/>
        <w:rPr>
          <w:sz w:val="20"/>
          <w:szCs w:val="20"/>
          <w:color w:val="auto"/>
        </w:rPr>
      </w:pPr>
      <w:r>
        <w:rPr>
          <w:rFonts w:ascii="Arial" w:cs="Arial" w:eastAsia="Arial" w:hAnsi="Arial"/>
          <w:sz w:val="10"/>
          <w:szCs w:val="10"/>
          <w:color w:val="212121"/>
        </w:rPr>
        <w:t xml:space="preserve">The Company operates as a retailer of big and tall men’s clothing, which includes stores, direct and wholesale. </w:t>
      </w:r>
      <w:r>
        <w:rPr>
          <w:rFonts w:ascii="Arial" w:cs="Arial" w:eastAsia="Arial" w:hAnsi="Arial"/>
          <w:sz w:val="10"/>
          <w:szCs w:val="10"/>
          <w:color w:val="000000"/>
        </w:rPr>
        <w:t>Revenue is recognized by the operating segment that initiates a customer’s order. Store sales are defined as sales that</w:t>
      </w:r>
      <w:r>
        <w:rPr>
          <w:rFonts w:ascii="Arial" w:cs="Arial" w:eastAsia="Arial" w:hAnsi="Arial"/>
          <w:sz w:val="10"/>
          <w:szCs w:val="10"/>
          <w:color w:val="212121"/>
        </w:rPr>
        <w:t xml:space="preserve"> </w:t>
      </w:r>
      <w:r>
        <w:rPr>
          <w:rFonts w:ascii="Arial" w:cs="Arial" w:eastAsia="Arial" w:hAnsi="Arial"/>
          <w:sz w:val="10"/>
          <w:szCs w:val="10"/>
          <w:color w:val="000000"/>
        </w:rPr>
        <w:t xml:space="preserve">originate and are fulfilled directly at the store level. Direct sales are defined as sales that originate online, including those initiated online at the store level, on its website or on third-party marketplaces. Wholesale sales are defined as sales made to wholesale customers pursuant to the terms of each customer’s contract with the Company. </w:t>
      </w:r>
      <w:r>
        <w:rPr>
          <w:rFonts w:ascii="Arial" w:cs="Arial" w:eastAsia="Arial" w:hAnsi="Arial"/>
          <w:sz w:val="10"/>
          <w:szCs w:val="10"/>
          <w:color w:val="212121"/>
        </w:rPr>
        <w:t>Generally, all revenues are recognized when control of the promised goods is transferred to customers, in an amount that reflects</w:t>
      </w:r>
      <w:r>
        <w:rPr>
          <w:rFonts w:ascii="Arial" w:cs="Arial" w:eastAsia="Arial" w:hAnsi="Arial"/>
          <w:sz w:val="10"/>
          <w:szCs w:val="10"/>
          <w:color w:val="000000"/>
        </w:rPr>
        <w:t xml:space="preserve"> </w:t>
      </w:r>
      <w:r>
        <w:rPr>
          <w:rFonts w:ascii="Arial" w:cs="Arial" w:eastAsia="Arial" w:hAnsi="Arial"/>
          <w:sz w:val="10"/>
          <w:szCs w:val="10"/>
          <w:color w:val="212121"/>
        </w:rPr>
        <w:t xml:space="preserve">the consideration in exchange for those goods. </w:t>
      </w:r>
      <w:r>
        <w:rPr>
          <w:rFonts w:ascii="Arial" w:cs="Arial" w:eastAsia="Arial" w:hAnsi="Arial"/>
          <w:sz w:val="10"/>
          <w:szCs w:val="10"/>
          <w:color w:val="000000"/>
        </w:rPr>
        <w:t>Sales tax collected from customers and remitted to taxing authorities is excluded from revenue and is included as part of accrued expenses on the Consolidated Balance Sheets.</w:t>
      </w:r>
    </w:p>
    <w:p>
      <w:pPr>
        <w:spacing w:after="0" w:line="23" w:lineRule="exact"/>
        <w:rPr>
          <w:sz w:val="20"/>
          <w:szCs w:val="20"/>
          <w:color w:val="auto"/>
        </w:rPr>
      </w:pPr>
    </w:p>
    <w:p>
      <w:pPr>
        <w:ind w:left="740" w:hanging="376"/>
        <w:spacing w:after="0"/>
        <w:tabs>
          <w:tab w:leader="none" w:pos="740" w:val="left"/>
        </w:tabs>
        <w:numPr>
          <w:ilvl w:val="0"/>
          <w:numId w:val="4"/>
        </w:numPr>
        <w:rPr>
          <w:rFonts w:ascii="Arial" w:cs="Arial" w:eastAsia="Arial" w:hAnsi="Arial"/>
          <w:sz w:val="12"/>
          <w:szCs w:val="12"/>
          <w:color w:val="212121"/>
        </w:rPr>
      </w:pPr>
      <w:r>
        <w:rPr>
          <w:rFonts w:ascii="Arial" w:cs="Arial" w:eastAsia="Arial" w:hAnsi="Arial"/>
          <w:sz w:val="12"/>
          <w:szCs w:val="12"/>
          <w:color w:val="auto"/>
        </w:rPr>
        <w:t>Revenue from the Company’s store operations is recorded upon purchase of merchandise by customers, net of an allowance for sales returns, which is estimated based upon historical experience.</w:t>
      </w:r>
    </w:p>
    <w:p>
      <w:pPr>
        <w:spacing w:after="0" w:line="79" w:lineRule="exact"/>
        <w:rPr>
          <w:rFonts w:ascii="Arial" w:cs="Arial" w:eastAsia="Arial" w:hAnsi="Arial"/>
          <w:sz w:val="12"/>
          <w:szCs w:val="12"/>
          <w:color w:val="212121"/>
        </w:rPr>
      </w:pPr>
    </w:p>
    <w:p>
      <w:pPr>
        <w:ind w:left="740" w:hanging="376"/>
        <w:spacing w:after="0"/>
        <w:tabs>
          <w:tab w:leader="none" w:pos="740" w:val="left"/>
        </w:tabs>
        <w:numPr>
          <w:ilvl w:val="0"/>
          <w:numId w:val="4"/>
        </w:numPr>
        <w:rPr>
          <w:rFonts w:ascii="Arial" w:cs="Arial" w:eastAsia="Arial" w:hAnsi="Arial"/>
          <w:sz w:val="12"/>
          <w:szCs w:val="12"/>
          <w:color w:val="212121"/>
        </w:rPr>
      </w:pPr>
      <w:r>
        <w:rPr>
          <w:rFonts w:ascii="Arial" w:cs="Arial" w:eastAsia="Arial" w:hAnsi="Arial"/>
          <w:sz w:val="12"/>
          <w:szCs w:val="12"/>
          <w:color w:val="auto"/>
        </w:rPr>
        <w:t>Revenue from the Company’s direct operations is recognized at the time a customer order is delivered, net of an allowance for sales returns, which is estimated based upon historical experience.</w:t>
      </w:r>
    </w:p>
    <w:p>
      <w:pPr>
        <w:spacing w:after="0" w:line="79" w:lineRule="exact"/>
        <w:rPr>
          <w:rFonts w:ascii="Arial" w:cs="Arial" w:eastAsia="Arial" w:hAnsi="Arial"/>
          <w:sz w:val="12"/>
          <w:szCs w:val="12"/>
          <w:color w:val="212121"/>
        </w:rPr>
      </w:pPr>
    </w:p>
    <w:p>
      <w:pPr>
        <w:ind w:left="740" w:right="20" w:hanging="376"/>
        <w:spacing w:after="0" w:line="279" w:lineRule="auto"/>
        <w:tabs>
          <w:tab w:leader="none" w:pos="740" w:val="left"/>
        </w:tabs>
        <w:numPr>
          <w:ilvl w:val="0"/>
          <w:numId w:val="4"/>
        </w:numPr>
        <w:rPr>
          <w:rFonts w:ascii="Arial" w:cs="Arial" w:eastAsia="Arial" w:hAnsi="Arial"/>
          <w:sz w:val="12"/>
          <w:szCs w:val="12"/>
          <w:color w:val="212121"/>
        </w:rPr>
      </w:pPr>
      <w:r>
        <w:rPr>
          <w:rFonts w:ascii="Arial" w:cs="Arial" w:eastAsia="Arial" w:hAnsi="Arial"/>
          <w:sz w:val="12"/>
          <w:szCs w:val="12"/>
          <w:color w:val="auto"/>
        </w:rPr>
        <w:t>Revenue from the Company’s wholesale operations is recognized at the time the wholesale customer takes physical receipt of the merchandise, net of any identified discounts in accordance with each individual order. For the first three months of fiscal 2021 and fiscal 2020, chargebacks were immaterial.</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2"/>
          <w:szCs w:val="12"/>
          <w:i w:val="1"/>
          <w:iCs w:val="1"/>
          <w:color w:val="auto"/>
        </w:rPr>
        <w:t xml:space="preserve">Unredeemed Gift Cards, Gift Certificates, and Credit Vouchers. </w:t>
      </w:r>
      <w:r>
        <w:rPr>
          <w:rFonts w:ascii="Arial" w:cs="Arial" w:eastAsia="Arial" w:hAnsi="Arial"/>
          <w:sz w:val="12"/>
          <w:szCs w:val="12"/>
          <w:color w:val="auto"/>
        </w:rPr>
        <w:t>Upon issuance of a gift card, gift certificate, or credit voucher, a liability is established for its cash value. The liability is relieved and net sales are recorded upon</w:t>
      </w:r>
      <w:r>
        <w:rPr>
          <w:rFonts w:ascii="Arial" w:cs="Arial" w:eastAsia="Arial" w:hAnsi="Arial"/>
          <w:sz w:val="12"/>
          <w:szCs w:val="12"/>
          <w:i w:val="1"/>
          <w:iCs w:val="1"/>
          <w:color w:val="auto"/>
        </w:rPr>
        <w:t xml:space="preserve"> </w:t>
      </w:r>
      <w:r>
        <w:rPr>
          <w:rFonts w:ascii="Arial" w:cs="Arial" w:eastAsia="Arial" w:hAnsi="Arial"/>
          <w:sz w:val="12"/>
          <w:szCs w:val="12"/>
          <w:color w:val="auto"/>
        </w:rPr>
        <w:t>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$2.2 million and $2.8 million at May 1, 2021 and January 30, 2021, respectively.</w:t>
      </w:r>
    </w:p>
    <w:p>
      <w:pPr>
        <w:spacing w:after="0" w:line="52" w:lineRule="exact"/>
        <w:rPr>
          <w:sz w:val="20"/>
          <w:szCs w:val="20"/>
          <w:color w:val="auto"/>
        </w:rPr>
      </w:pPr>
    </w:p>
    <w:p>
      <w:pPr>
        <w:jc w:val="both"/>
        <w:spacing w:after="0" w:line="261" w:lineRule="auto"/>
        <w:rPr>
          <w:sz w:val="20"/>
          <w:szCs w:val="20"/>
          <w:color w:val="auto"/>
        </w:rPr>
      </w:pPr>
      <w:r>
        <w:rPr>
          <w:rFonts w:ascii="Arial" w:cs="Arial" w:eastAsia="Arial" w:hAnsi="Arial"/>
          <w:sz w:val="12"/>
          <w:szCs w:val="12"/>
          <w:i w:val="1"/>
          <w:iCs w:val="1"/>
          <w:color w:val="auto"/>
        </w:rPr>
        <w:t xml:space="preserve">Unredeemed Loyalty Coupons. </w:t>
      </w:r>
      <w:r>
        <w:rPr>
          <w:rFonts w:ascii="Arial" w:cs="Arial" w:eastAsia="Arial" w:hAnsi="Arial"/>
          <w:sz w:val="12"/>
          <w:szCs w:val="12"/>
          <w:color w:val="auto"/>
        </w:rPr>
        <w:t>The Company offers a free loyalty program to its customers for which points accumulate based on the purchase of merchandise. Over 90% of the Company’s customers participate in the loyalty</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program. Under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these loyalty points provide the customer with a material right and a distinct performance obligation with revenue deferred and recognized when the points are expected to redeem or expire. The cycle of earning and redeeming loyalty points is generally under one year in duration. The loyalty accrual, net of breakage, was $1.0 million and $1.0 million at May 1, 2021 and January 30, 2021, respectively.</w:t>
      </w:r>
    </w:p>
    <w:p>
      <w:pPr>
        <w:spacing w:after="0" w:line="52" w:lineRule="exact"/>
        <w:rPr>
          <w:sz w:val="20"/>
          <w:szCs w:val="20"/>
          <w:color w:val="auto"/>
        </w:rPr>
      </w:pPr>
    </w:p>
    <w:p>
      <w:pPr>
        <w:jc w:val="both"/>
        <w:spacing w:after="0" w:line="279" w:lineRule="auto"/>
        <w:rPr>
          <w:sz w:val="20"/>
          <w:szCs w:val="20"/>
          <w:color w:val="auto"/>
        </w:rPr>
      </w:pPr>
      <w:r>
        <w:rPr>
          <w:rFonts w:ascii="Arial" w:cs="Arial" w:eastAsia="Arial" w:hAnsi="Arial"/>
          <w:sz w:val="12"/>
          <w:szCs w:val="12"/>
          <w:i w:val="1"/>
          <w:iCs w:val="1"/>
          <w:color w:val="auto"/>
        </w:rPr>
        <w:t xml:space="preserve">Shipping. </w:t>
      </w:r>
      <w:r>
        <w:rPr>
          <w:rFonts w:ascii="Arial" w:cs="Arial" w:eastAsia="Arial" w:hAnsi="Arial"/>
          <w:sz w:val="12"/>
          <w:szCs w:val="12"/>
          <w:color w:val="auto"/>
        </w:rPr>
        <w:t>Shipping and handling costs are accounted for as fulfillment costs and are included in cost of sales for all periods presented. Amounts related to shipping and handling that are billed to customers are recorded in sales,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related costs are recorded in cost of goods sold, including occupancy costs, in the Consolidated Statements of Operations.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Disaggregation of Revenue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 xml:space="preserve">As noted above under </w:t>
      </w:r>
      <w:r>
        <w:rPr>
          <w:rFonts w:ascii="Arial" w:cs="Arial" w:eastAsia="Arial" w:hAnsi="Arial"/>
          <w:sz w:val="12"/>
          <w:szCs w:val="12"/>
          <w:i w:val="1"/>
          <w:iCs w:val="1"/>
          <w:color w:val="auto"/>
        </w:rPr>
        <w:t>Segment Information</w:t>
      </w:r>
      <w:r>
        <w:rPr>
          <w:rFonts w:ascii="Arial" w:cs="Arial" w:eastAsia="Arial" w:hAnsi="Arial"/>
          <w:sz w:val="12"/>
          <w:szCs w:val="12"/>
          <w:color w:val="auto"/>
        </w:rPr>
        <w:t xml:space="preserve"> in Note 1, the Company’s business consists of one reportable segment, its retail segment. Substantially all of the Company’s revenue is generated from its stores and direct businesses. The operating results from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1" w:name="page12"/>
    <w:bookmarkEnd w:id="11"/>
    <w:p>
      <w:pPr>
        <w:jc w:val="both"/>
        <w:spacing w:after="0" w:line="279" w:lineRule="auto"/>
        <w:rPr>
          <w:sz w:val="20"/>
          <w:szCs w:val="20"/>
          <w:color w:val="auto"/>
        </w:rPr>
      </w:pPr>
      <w:r>
        <w:rPr>
          <w:rFonts w:ascii="Arial" w:cs="Arial" w:eastAsia="Arial" w:hAnsi="Arial"/>
          <w:sz w:val="12"/>
          <w:szCs w:val="12"/>
          <w:color w:val="auto"/>
        </w:rPr>
        <w:t>wholesale segment, which were immaterial, have been aggregated with this reportable segment, but the revenues are separately reported below. Accordingly, the Company has determined that the following sales channels depict the nature, amount, timing, and uncertainty of how revenue and cash flows are affected by economic factors: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0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20" w:type="dxa"/>
            <w:vAlign w:val="bottom"/>
            <w:gridSpan w:val="3"/>
          </w:tcPr>
          <w:p>
            <w:pPr>
              <w:jc w:val="right"/>
              <w:ind w:right="280"/>
              <w:spacing w:after="0"/>
              <w:rPr>
                <w:sz w:val="20"/>
                <w:szCs w:val="20"/>
                <w:color w:val="auto"/>
              </w:rPr>
            </w:pPr>
            <w:r>
              <w:rPr>
                <w:rFonts w:ascii="Arial" w:cs="Arial" w:eastAsia="Arial" w:hAnsi="Arial"/>
                <w:sz w:val="12"/>
                <w:szCs w:val="12"/>
                <w:color w:val="auto"/>
              </w:rPr>
              <w:t>For the three months ended</w:t>
            </w: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w:t>
            </w:r>
          </w:p>
        </w:tc>
        <w:tc>
          <w:tcPr>
            <w:tcW w:w="14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May 1, 2021</w:t>
            </w:r>
          </w:p>
        </w:tc>
        <w:tc>
          <w:tcPr>
            <w:tcW w:w="1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May 2, 2020</w:t>
            </w:r>
          </w:p>
        </w:tc>
        <w:tc>
          <w:tcPr>
            <w:tcW w:w="940" w:type="dxa"/>
            <w:vAlign w:val="bottom"/>
            <w:vMerge w:val="restart"/>
          </w:tcPr>
          <w:p>
            <w:pPr>
              <w:jc w:val="right"/>
              <w:spacing w:after="0"/>
              <w:rPr>
                <w:sz w:val="20"/>
                <w:szCs w:val="20"/>
                <w:color w:val="auto"/>
              </w:rPr>
            </w:pPr>
            <w:r>
              <w:rPr>
                <w:rFonts w:ascii="Arial" w:cs="Arial" w:eastAsia="Arial" w:hAnsi="Arial"/>
                <w:sz w:val="12"/>
                <w:szCs w:val="12"/>
                <w:i w:val="1"/>
                <w:iCs w:val="1"/>
                <w:color w:val="auto"/>
              </w:rPr>
              <w:t>58.6%</w:t>
            </w:r>
          </w:p>
        </w:tc>
        <w:tc>
          <w:tcPr>
            <w:tcW w:w="0" w:type="dxa"/>
            <w:vAlign w:val="bottom"/>
          </w:tcPr>
          <w:p>
            <w:pPr>
              <w:spacing w:after="0"/>
              <w:rPr>
                <w:sz w:val="1"/>
                <w:szCs w:val="1"/>
                <w:color w:val="auto"/>
              </w:rPr>
            </w:pPr>
          </w:p>
        </w:tc>
      </w:tr>
      <w:tr>
        <w:trPr>
          <w:trHeight w:val="143"/>
        </w:trPr>
        <w:tc>
          <w:tcPr>
            <w:tcW w:w="4040" w:type="dxa"/>
            <w:vAlign w:val="bottom"/>
          </w:tcPr>
          <w:p>
            <w:pPr>
              <w:spacing w:after="0"/>
              <w:rPr>
                <w:sz w:val="20"/>
                <w:szCs w:val="20"/>
                <w:color w:val="auto"/>
              </w:rPr>
            </w:pPr>
            <w:r>
              <w:rPr>
                <w:rFonts w:ascii="Arial" w:cs="Arial" w:eastAsia="Arial" w:hAnsi="Arial"/>
                <w:sz w:val="12"/>
                <w:szCs w:val="12"/>
                <w:color w:val="auto"/>
              </w:rPr>
              <w:t>Store sales</w:t>
            </w:r>
          </w:p>
        </w:tc>
        <w:tc>
          <w:tcPr>
            <w:tcW w:w="1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74,880</w:t>
            </w:r>
          </w:p>
        </w:tc>
        <w:tc>
          <w:tcPr>
            <w:tcW w:w="1500" w:type="dxa"/>
            <w:vAlign w:val="bottom"/>
            <w:gridSpan w:val="2"/>
          </w:tcPr>
          <w:p>
            <w:pPr>
              <w:jc w:val="right"/>
              <w:ind w:right="300"/>
              <w:spacing w:after="0"/>
              <w:rPr>
                <w:sz w:val="20"/>
                <w:szCs w:val="20"/>
                <w:color w:val="auto"/>
              </w:rPr>
            </w:pPr>
            <w:r>
              <w:rPr>
                <w:rFonts w:ascii="Arial" w:cs="Arial" w:eastAsia="Arial" w:hAnsi="Arial"/>
                <w:sz w:val="12"/>
                <w:szCs w:val="12"/>
                <w:i w:val="1"/>
                <w:iCs w:val="1"/>
                <w:color w:val="auto"/>
              </w:rPr>
              <w:t xml:space="preserve">69.1% </w:t>
            </w:r>
            <w:r>
              <w:rPr>
                <w:rFonts w:ascii="Arial" w:cs="Arial" w:eastAsia="Arial" w:hAnsi="Arial"/>
                <w:sz w:val="12"/>
                <w:szCs w:val="12"/>
                <w:color w:val="auto"/>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32,327</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040" w:type="dxa"/>
            <w:vAlign w:val="bottom"/>
            <w:shd w:val="clear" w:color="auto" w:fill="CFF0FC"/>
          </w:tcPr>
          <w:p>
            <w:pPr>
              <w:spacing w:after="0"/>
              <w:rPr>
                <w:sz w:val="20"/>
                <w:szCs w:val="20"/>
                <w:color w:val="auto"/>
              </w:rPr>
            </w:pPr>
            <w:r>
              <w:rPr>
                <w:rFonts w:ascii="Arial" w:cs="Arial" w:eastAsia="Arial" w:hAnsi="Arial"/>
                <w:sz w:val="12"/>
                <w:szCs w:val="12"/>
                <w:color w:val="auto"/>
              </w:rPr>
              <w:t>Direct sales</w:t>
            </w:r>
          </w:p>
        </w:tc>
        <w:tc>
          <w:tcPr>
            <w:tcW w:w="14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33,542</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i w:val="1"/>
                <w:iCs w:val="1"/>
                <w:color w:val="auto"/>
              </w:rPr>
              <w:t>30.9%</w:t>
            </w:r>
          </w:p>
        </w:tc>
        <w:tc>
          <w:tcPr>
            <w:tcW w:w="36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22,882</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i w:val="1"/>
                <w:iCs w:val="1"/>
                <w:color w:val="auto"/>
              </w:rPr>
              <w:t>41.4%</w:t>
            </w:r>
          </w:p>
        </w:tc>
        <w:tc>
          <w:tcPr>
            <w:tcW w:w="0" w:type="dxa"/>
            <w:vAlign w:val="bottom"/>
          </w:tcPr>
          <w:p>
            <w:pPr>
              <w:spacing w:after="0"/>
              <w:rPr>
                <w:sz w:val="1"/>
                <w:szCs w:val="1"/>
                <w:color w:val="auto"/>
              </w:rPr>
            </w:pPr>
          </w:p>
        </w:tc>
      </w:tr>
      <w:tr>
        <w:trPr>
          <w:trHeight w:val="143"/>
        </w:trPr>
        <w:tc>
          <w:tcPr>
            <w:tcW w:w="4040" w:type="dxa"/>
            <w:vAlign w:val="bottom"/>
          </w:tcPr>
          <w:p>
            <w:pPr>
              <w:spacing w:after="0"/>
              <w:rPr>
                <w:sz w:val="20"/>
                <w:szCs w:val="20"/>
                <w:color w:val="auto"/>
              </w:rPr>
            </w:pPr>
            <w:r>
              <w:rPr>
                <w:rFonts w:ascii="Arial" w:cs="Arial" w:eastAsia="Arial" w:hAnsi="Arial"/>
                <w:sz w:val="12"/>
                <w:szCs w:val="12"/>
                <w:color w:val="auto"/>
              </w:rPr>
              <w:t>Retail segment</w:t>
            </w:r>
          </w:p>
        </w:tc>
        <w:tc>
          <w:tcPr>
            <w:tcW w:w="1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108,422</w:t>
            </w:r>
          </w:p>
        </w:tc>
        <w:tc>
          <w:tcPr>
            <w:tcW w:w="15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55,209</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040" w:type="dxa"/>
            <w:vAlign w:val="bottom"/>
            <w:shd w:val="clear" w:color="auto" w:fill="CFF0FC"/>
          </w:tcPr>
          <w:p>
            <w:pPr>
              <w:spacing w:after="0"/>
              <w:rPr>
                <w:sz w:val="20"/>
                <w:szCs w:val="20"/>
                <w:color w:val="auto"/>
              </w:rPr>
            </w:pPr>
            <w:r>
              <w:rPr>
                <w:rFonts w:ascii="Arial" w:cs="Arial" w:eastAsia="Arial" w:hAnsi="Arial"/>
                <w:sz w:val="12"/>
                <w:szCs w:val="12"/>
                <w:color w:val="auto"/>
              </w:rPr>
              <w:t>Wholesale segment</w:t>
            </w:r>
          </w:p>
        </w:tc>
        <w:tc>
          <w:tcPr>
            <w:tcW w:w="14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3,072</w:t>
            </w:r>
          </w:p>
        </w:tc>
        <w:tc>
          <w:tcPr>
            <w:tcW w:w="114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2,018</w:t>
            </w:r>
          </w:p>
        </w:tc>
        <w:tc>
          <w:tcPr>
            <w:tcW w:w="9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040" w:type="dxa"/>
            <w:vAlign w:val="bottom"/>
          </w:tcPr>
          <w:p>
            <w:pPr>
              <w:spacing w:after="0"/>
              <w:rPr>
                <w:sz w:val="20"/>
                <w:szCs w:val="20"/>
                <w:color w:val="auto"/>
              </w:rPr>
            </w:pPr>
            <w:r>
              <w:rPr>
                <w:rFonts w:ascii="Arial" w:cs="Arial" w:eastAsia="Arial" w:hAnsi="Arial"/>
                <w:sz w:val="12"/>
                <w:szCs w:val="12"/>
                <w:color w:val="auto"/>
              </w:rPr>
              <w:t>Total Sales</w:t>
            </w:r>
          </w:p>
        </w:tc>
        <w:tc>
          <w:tcPr>
            <w:tcW w:w="1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111,494</w:t>
            </w:r>
          </w:p>
        </w:tc>
        <w:tc>
          <w:tcPr>
            <w:tcW w:w="15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57,227</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Debt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Credit Agreement with Bank of America, N.A.</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On May 24, 2018, the Company entered into the Seventh Amended and Restated Credit Agreement, as amended, with Bank of America, N.A., as agent, providing for a secured $125.0 million revolver facility and a $15.0 million “first-in, last-out” (FILO) term facility (the “existing FILO loan”). On March 16, 2021, the Company entered into the Fourth Amendment to the Seventh Amended and Restated Credit Facility, as amended (the “Fourth Amendment”) to allow for the refinancing of the “existing FILO loan”, which is discussed further under “</w:t>
      </w:r>
      <w:r>
        <w:rPr>
          <w:rFonts w:ascii="Arial" w:cs="Arial" w:eastAsia="Arial" w:hAnsi="Arial"/>
          <w:sz w:val="12"/>
          <w:szCs w:val="12"/>
          <w:i w:val="1"/>
          <w:iCs w:val="1"/>
          <w:color w:val="auto"/>
        </w:rPr>
        <w:t>Long-Term Debt</w:t>
      </w:r>
      <w:r>
        <w:rPr>
          <w:rFonts w:ascii="Arial" w:cs="Arial" w:eastAsia="Arial" w:hAnsi="Arial"/>
          <w:sz w:val="12"/>
          <w:szCs w:val="12"/>
          <w:color w:val="auto"/>
        </w:rPr>
        <w:t>” (as amended, the “Credit Facility”). The Fourth Amendment did not impact the terms to the Company’s $125.0 million revolver facility.</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 xml:space="preserve">The Credit Facility provides maximum committed borrowings of $125.0 million in revolver loans, with the ability, pursuant to an accordion feature, to increase the Credit Facility by an additional $50.0 million upon the request of the Company and the agreement of the lender(s) participating in the increase (the “Revolving Facility”). The Revolving Facility provides for a sublimit of $20.0 million for commercial and standby letters of credit and up to $15.0 million for swingline loans. The Company’s ability to borrow under the Revolving Facility (the “Loan Cap”) is determined using an availability formula based on eligible assets. Pursuant to the Third Amendment, the excess availability under the Credit Facility cannot be less than the greater of (i) 10% of the Revolving Loan Cap (calculated without giving effect to the FILO (first-in, last-out) Push Down Reserve) or (ii) $10.0 million. </w:t>
      </w:r>
      <w:r>
        <w:rPr>
          <w:rFonts w:ascii="Arial" w:cs="Arial" w:eastAsia="Arial" w:hAnsi="Arial"/>
          <w:sz w:val="12"/>
          <w:szCs w:val="12"/>
          <w:color w:val="000033"/>
        </w:rPr>
        <w:t>The maturity date of the Credit</w:t>
      </w:r>
      <w:r>
        <w:rPr>
          <w:rFonts w:ascii="Arial" w:cs="Arial" w:eastAsia="Arial" w:hAnsi="Arial"/>
          <w:sz w:val="12"/>
          <w:szCs w:val="12"/>
          <w:color w:val="auto"/>
        </w:rPr>
        <w:t xml:space="preserve"> </w:t>
      </w:r>
      <w:r>
        <w:rPr>
          <w:rFonts w:ascii="Arial" w:cs="Arial" w:eastAsia="Arial" w:hAnsi="Arial"/>
          <w:sz w:val="12"/>
          <w:szCs w:val="12"/>
          <w:color w:val="000033"/>
        </w:rPr>
        <w:t xml:space="preserve">Facility is May 24, 2023. </w:t>
      </w:r>
      <w:r>
        <w:rPr>
          <w:rFonts w:ascii="Arial" w:cs="Arial" w:eastAsia="Arial" w:hAnsi="Arial"/>
          <w:sz w:val="12"/>
          <w:szCs w:val="12"/>
          <w:color w:val="000000"/>
        </w:rPr>
        <w:t>The Company’s obligations under the Credit Facility are secured by a lien on substantially all of its assets.</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At May 1, 2021, the Company had outstanding borrowings under the Revolving Facility of $33.6 million, before unamortized debt issuance costs of $0.2 million. At May 1, 2021, outstanding standby letters of credit were $2.7 million and there were no outstanding documentary letters. Unused excess availability was $51.1 million at May 1, 2021. Average monthly borrowings outstanding under the Revolving Facility during the first three months of fiscal 2021 were $51.2 million, resulting in an average unused excess availability of approximately $24.3 million. The Company’s ability to borrow under the Revolving Facility was determined using an availability formula based on eligible assets, with increased advance rates based on seasonality.</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Borrowings made pursuant to the Revolving Facility bear interest, calculated under either the Federal Funds rate or the LIBOR rate, at a rate equal to the following: (a) the Federal Funds rate plus a varying percentage based on the Company’s excess availability, of either 1.75% or 2.00%, or (b) the LIBOR rate (the Company being able to select interest periods of 1 week, 1 month, 2 months, 3 months or 6 months) plus a varying percentage based on the Company’s excess availability, of either 2.75% or 3.00%. The Company was also subject to an unused line fee of 0.25%. At May 1, 2021, the Company’s prime-based interest rate was 5.25%. At May 1, 2021, the Company had approximately $28.0 million of its outstanding borrowings in LIBOR-based contracts with an interest rate of 4.00%. The LIBOR-based contracts expired on May 3, 2021. When a LIBOR-based borrowing expires, the borrowings revert back to prime-based borrowings unless the Company enters into a new LIBOR-based borrowing arrangement.</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Borrowings and repayments under the Revolving Facility for the three months ended May 1, 2021 and May 2, 2020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740" w:type="dxa"/>
            <w:vAlign w:val="bottom"/>
            <w:gridSpan w:val="3"/>
          </w:tcPr>
          <w:p>
            <w:pPr>
              <w:jc w:val="right"/>
              <w:ind w:right="250"/>
              <w:spacing w:after="0"/>
              <w:rPr>
                <w:sz w:val="20"/>
                <w:szCs w:val="20"/>
                <w:color w:val="auto"/>
              </w:rPr>
            </w:pPr>
            <w:r>
              <w:rPr>
                <w:rFonts w:ascii="Arial" w:cs="Arial" w:eastAsia="Arial" w:hAnsi="Arial"/>
                <w:sz w:val="10"/>
                <w:szCs w:val="10"/>
                <w:color w:val="auto"/>
              </w:rPr>
              <w:t>For the three months ended</w:t>
            </w: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500" w:type="dxa"/>
            <w:vAlign w:val="bottom"/>
            <w:tcBorders>
              <w:bottom w:val="single" w:sz="8" w:color="auto"/>
            </w:tcBorders>
          </w:tcPr>
          <w:p>
            <w:pPr>
              <w:spacing w:after="0" w:line="113" w:lineRule="exact"/>
              <w:rPr>
                <w:sz w:val="20"/>
                <w:szCs w:val="20"/>
                <w:color w:val="auto"/>
              </w:rPr>
            </w:pPr>
            <w:r>
              <w:rPr>
                <w:rFonts w:ascii="Arial" w:cs="Arial" w:eastAsia="Arial" w:hAnsi="Arial"/>
                <w:sz w:val="10"/>
                <w:szCs w:val="10"/>
                <w:i w:val="1"/>
                <w:iCs w:val="1"/>
                <w:color w:val="auto"/>
              </w:rPr>
              <w:t>(in thousands)</w:t>
            </w:r>
          </w:p>
        </w:tc>
        <w:tc>
          <w:tcPr>
            <w:tcW w:w="264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jc w:val="right"/>
              <w:ind w:right="924"/>
              <w:spacing w:after="0" w:line="113" w:lineRule="exact"/>
              <w:rPr>
                <w:sz w:val="20"/>
                <w:szCs w:val="20"/>
                <w:color w:val="auto"/>
              </w:rPr>
            </w:pPr>
            <w:r>
              <w:rPr>
                <w:rFonts w:ascii="Arial" w:cs="Arial" w:eastAsia="Arial" w:hAnsi="Arial"/>
                <w:sz w:val="10"/>
                <w:szCs w:val="10"/>
                <w:color w:val="auto"/>
              </w:rPr>
              <w:t>May 1, 2021</w:t>
            </w:r>
          </w:p>
        </w:tc>
        <w:tc>
          <w:tcPr>
            <w:tcW w:w="320" w:type="dxa"/>
            <w:vAlign w:val="bottom"/>
            <w:tcBorders>
              <w:bottom w:val="single" w:sz="8" w:color="CFF0FC"/>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jc w:val="right"/>
              <w:ind w:right="743"/>
              <w:spacing w:after="0" w:line="113" w:lineRule="exact"/>
              <w:rPr>
                <w:sz w:val="20"/>
                <w:szCs w:val="20"/>
                <w:color w:val="auto"/>
              </w:rPr>
            </w:pPr>
            <w:r>
              <w:rPr>
                <w:rFonts w:ascii="Arial" w:cs="Arial" w:eastAsia="Arial" w:hAnsi="Arial"/>
                <w:sz w:val="10"/>
                <w:szCs w:val="10"/>
                <w:color w:val="auto"/>
              </w:rPr>
              <w:t>May 2, 2020</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500" w:type="dxa"/>
            <w:vAlign w:val="bottom"/>
            <w:shd w:val="clear" w:color="auto" w:fill="CFF0FC"/>
          </w:tcPr>
          <w:p>
            <w:pPr>
              <w:spacing w:after="0"/>
              <w:rPr>
                <w:sz w:val="20"/>
                <w:szCs w:val="20"/>
                <w:color w:val="auto"/>
              </w:rPr>
            </w:pPr>
            <w:r>
              <w:rPr>
                <w:rFonts w:ascii="Arial" w:cs="Arial" w:eastAsia="Arial" w:hAnsi="Arial"/>
                <w:sz w:val="12"/>
                <w:szCs w:val="12"/>
                <w:color w:val="auto"/>
              </w:rPr>
              <w:t>Borrowings</w:t>
            </w:r>
          </w:p>
        </w:tc>
        <w:tc>
          <w:tcPr>
            <w:tcW w:w="3360" w:type="dxa"/>
            <w:vAlign w:val="bottom"/>
            <w:gridSpan w:val="3"/>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15,136</w:t>
            </w:r>
          </w:p>
        </w:tc>
        <w:tc>
          <w:tcPr>
            <w:tcW w:w="32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390"/>
              <w:spacing w:after="0"/>
              <w:rPr>
                <w:sz w:val="20"/>
                <w:szCs w:val="20"/>
                <w:color w:val="auto"/>
              </w:rPr>
            </w:pPr>
            <w:r>
              <w:rPr>
                <w:rFonts w:ascii="Arial" w:cs="Arial" w:eastAsia="Arial" w:hAnsi="Arial"/>
                <w:sz w:val="10"/>
                <w:szCs w:val="10"/>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52,560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500" w:type="dxa"/>
            <w:vAlign w:val="bottom"/>
          </w:tcPr>
          <w:p>
            <w:pPr>
              <w:spacing w:after="0"/>
              <w:rPr>
                <w:sz w:val="20"/>
                <w:szCs w:val="20"/>
                <w:color w:val="auto"/>
              </w:rPr>
            </w:pPr>
            <w:r>
              <w:rPr>
                <w:rFonts w:ascii="Arial" w:cs="Arial" w:eastAsia="Arial" w:hAnsi="Arial"/>
                <w:sz w:val="12"/>
                <w:szCs w:val="12"/>
                <w:color w:val="auto"/>
              </w:rPr>
              <w:t>Repayments</w:t>
            </w:r>
          </w:p>
        </w:tc>
        <w:tc>
          <w:tcPr>
            <w:tcW w:w="2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40" w:type="dxa"/>
            <w:vAlign w:val="bottom"/>
            <w:gridSpan w:val="2"/>
          </w:tcPr>
          <w:p>
            <w:pPr>
              <w:jc w:val="right"/>
              <w:ind w:right="280"/>
              <w:spacing w:after="0"/>
              <w:rPr>
                <w:sz w:val="20"/>
                <w:szCs w:val="20"/>
                <w:color w:val="auto"/>
              </w:rPr>
            </w:pPr>
            <w:r>
              <w:rPr>
                <w:rFonts w:ascii="Arial" w:cs="Arial" w:eastAsia="Arial" w:hAnsi="Arial"/>
                <w:sz w:val="12"/>
                <w:szCs w:val="12"/>
                <w:color w:val="auto"/>
              </w:rPr>
              <w:t>(41,309)</w:t>
            </w:r>
          </w:p>
        </w:tc>
        <w:tc>
          <w:tcPr>
            <w:tcW w:w="500" w:type="dxa"/>
            <w:vAlign w:val="bottom"/>
          </w:tcPr>
          <w:p>
            <w:pPr>
              <w:spacing w:after="0"/>
              <w:rPr>
                <w:sz w:val="13"/>
                <w:szCs w:val="13"/>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2"/>
                <w:szCs w:val="12"/>
                <w:color w:val="auto"/>
              </w:rPr>
              <w:t>(12,346)</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borrowings (repayments)</w:t>
            </w:r>
          </w:p>
        </w:tc>
        <w:tc>
          <w:tcPr>
            <w:tcW w:w="26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00" w:type="dxa"/>
            <w:vAlign w:val="bottom"/>
            <w:vMerge w:val="continue"/>
            <w:shd w:val="clear" w:color="auto" w:fill="CFF0FC"/>
          </w:tcPr>
          <w:p>
            <w:pPr>
              <w:spacing w:after="0"/>
              <w:rPr>
                <w:sz w:val="14"/>
                <w:szCs w:val="14"/>
                <w:color w:val="auto"/>
              </w:rPr>
            </w:pPr>
          </w:p>
        </w:tc>
        <w:tc>
          <w:tcPr>
            <w:tcW w:w="3360" w:type="dxa"/>
            <w:vAlign w:val="bottom"/>
            <w:gridSpan w:val="3"/>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22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(26,173)</w:t>
            </w:r>
          </w:p>
        </w:tc>
        <w:tc>
          <w:tcPr>
            <w:tcW w:w="500" w:type="dxa"/>
            <w:vAlign w:val="bottom"/>
            <w:shd w:val="clear" w:color="auto" w:fill="CFF0FC"/>
          </w:tcPr>
          <w:p>
            <w:pPr>
              <w:jc w:val="right"/>
              <w:ind w:right="390"/>
              <w:spacing w:after="0"/>
              <w:rPr>
                <w:sz w:val="20"/>
                <w:szCs w:val="20"/>
                <w:color w:val="auto"/>
              </w:rPr>
            </w:pPr>
            <w:r>
              <w:rPr>
                <w:rFonts w:ascii="Arial" w:cs="Arial" w:eastAsia="Arial" w:hAnsi="Arial"/>
                <w:sz w:val="10"/>
                <w:szCs w:val="10"/>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40,214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40"/>
        </w:trPr>
        <w:tc>
          <w:tcPr>
            <w:tcW w:w="3500" w:type="dxa"/>
            <w:vAlign w:val="bottom"/>
            <w:tcBorders>
              <w:top w:val="single" w:sz="8" w:color="CFF0FC"/>
            </w:tcBorders>
          </w:tcPr>
          <w:p>
            <w:pPr>
              <w:spacing w:after="0"/>
              <w:rPr>
                <w:sz w:val="24"/>
                <w:szCs w:val="24"/>
                <w:color w:val="auto"/>
              </w:rPr>
            </w:pPr>
          </w:p>
        </w:tc>
        <w:tc>
          <w:tcPr>
            <w:tcW w:w="2640" w:type="dxa"/>
            <w:vAlign w:val="bottom"/>
            <w:tcBorders>
              <w:top w:val="single" w:sz="8" w:color="CFF0FC"/>
            </w:tcBorders>
          </w:tcPr>
          <w:p>
            <w:pPr>
              <w:jc w:val="right"/>
              <w:ind w:right="380"/>
              <w:spacing w:after="0"/>
              <w:rPr>
                <w:sz w:val="20"/>
                <w:szCs w:val="20"/>
                <w:color w:val="auto"/>
              </w:rPr>
            </w:pPr>
            <w:r>
              <w:rPr>
                <w:rFonts w:ascii="Arial" w:cs="Arial" w:eastAsia="Arial" w:hAnsi="Arial"/>
                <w:sz w:val="12"/>
                <w:szCs w:val="12"/>
                <w:color w:val="auto"/>
              </w:rPr>
              <w:t>12</w:t>
            </w:r>
          </w:p>
        </w:tc>
        <w:tc>
          <w:tcPr>
            <w:tcW w:w="22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3500" w:type="dxa"/>
            <w:vAlign w:val="bottom"/>
            <w:tcBorders>
              <w:bottom w:val="single" w:sz="8" w:color="9A9A9A"/>
            </w:tcBorders>
          </w:tcPr>
          <w:p>
            <w:pPr>
              <w:spacing w:after="0"/>
              <w:rPr>
                <w:sz w:val="6"/>
                <w:szCs w:val="6"/>
                <w:color w:val="auto"/>
              </w:rPr>
            </w:pPr>
          </w:p>
        </w:tc>
        <w:tc>
          <w:tcPr>
            <w:tcW w:w="26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-23495</wp:posOffset>
            </wp:positionV>
            <wp:extent cx="311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54"/>
        </w:trPr>
        <w:tc>
          <w:tcPr>
            <w:tcW w:w="6460" w:type="dxa"/>
            <w:vAlign w:val="bottom"/>
          </w:tcPr>
          <w:p>
            <w:pPr>
              <w:spacing w:after="0"/>
              <w:rPr>
                <w:sz w:val="20"/>
                <w:szCs w:val="20"/>
                <w:color w:val="auto"/>
              </w:rPr>
            </w:pPr>
            <w:r>
              <w:rPr>
                <w:rFonts w:ascii="Arial" w:cs="Arial" w:eastAsia="Arial" w:hAnsi="Arial"/>
                <w:sz w:val="12"/>
                <w:szCs w:val="12"/>
                <w:color w:val="auto"/>
              </w:rPr>
              <w:t>The fair value of the amount outstanding under the Revolving Facility at May 1, 2021 approximated the carrying value.</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0"/>
        </w:trPr>
        <w:tc>
          <w:tcPr>
            <w:tcW w:w="6460" w:type="dxa"/>
            <w:vAlign w:val="bottom"/>
          </w:tcPr>
          <w:p>
            <w:pPr>
              <w:spacing w:after="0"/>
              <w:rPr>
                <w:sz w:val="20"/>
                <w:szCs w:val="20"/>
                <w:color w:val="auto"/>
              </w:rPr>
            </w:pPr>
            <w:r>
              <w:rPr>
                <w:rFonts w:ascii="Arial" w:cs="Arial" w:eastAsia="Arial" w:hAnsi="Arial"/>
                <w:sz w:val="12"/>
                <w:szCs w:val="12"/>
                <w:b w:val="1"/>
                <w:bCs w:val="1"/>
                <w:color w:val="auto"/>
              </w:rPr>
              <w:t>Long-Term Debt</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0"/>
        </w:trPr>
        <w:tc>
          <w:tcPr>
            <w:tcW w:w="6460" w:type="dxa"/>
            <w:vAlign w:val="bottom"/>
          </w:tcPr>
          <w:p>
            <w:pPr>
              <w:spacing w:after="0"/>
              <w:rPr>
                <w:sz w:val="20"/>
                <w:szCs w:val="20"/>
                <w:color w:val="auto"/>
              </w:rPr>
            </w:pPr>
            <w:r>
              <w:rPr>
                <w:rFonts w:ascii="Arial" w:cs="Arial" w:eastAsia="Arial" w:hAnsi="Arial"/>
                <w:sz w:val="12"/>
                <w:szCs w:val="12"/>
                <w:color w:val="auto"/>
              </w:rPr>
              <w:t>Long-term debt at May 1, 2021 and January 30, 2021 is as follows:</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4"/>
        </w:trPr>
        <w:tc>
          <w:tcPr>
            <w:tcW w:w="64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(in thousands)</w:t>
            </w:r>
          </w:p>
        </w:tc>
        <w:tc>
          <w:tcPr>
            <w:tcW w:w="2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ind w:right="780"/>
              <w:spacing w:after="0"/>
              <w:rPr>
                <w:sz w:val="20"/>
                <w:szCs w:val="20"/>
                <w:color w:val="auto"/>
              </w:rPr>
            </w:pPr>
            <w:r>
              <w:rPr>
                <w:rFonts w:ascii="Arial" w:cs="Arial" w:eastAsia="Arial" w:hAnsi="Arial"/>
                <w:sz w:val="12"/>
                <w:szCs w:val="12"/>
                <w:color w:val="auto"/>
              </w:rPr>
              <w:t>May 1, 2021</w:t>
            </w:r>
          </w:p>
        </w:tc>
        <w:tc>
          <w:tcPr>
            <w:tcW w:w="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rPr>
              <w:t>January 30, 2021</w:t>
            </w:r>
          </w:p>
        </w:tc>
        <w:tc>
          <w:tcPr>
            <w:tcW w:w="120" w:type="dxa"/>
            <w:vAlign w:val="bottom"/>
            <w:tcBorders>
              <w:bottom w:val="single" w:sz="8" w:color="CFF0FC"/>
            </w:tcBorders>
          </w:tcPr>
          <w:p>
            <w:pPr>
              <w:spacing w:after="0"/>
              <w:rPr>
                <w:sz w:val="13"/>
                <w:szCs w:val="13"/>
                <w:color w:val="auto"/>
              </w:rPr>
            </w:pPr>
          </w:p>
        </w:tc>
      </w:tr>
      <w:tr>
        <w:trPr>
          <w:trHeight w:val="143"/>
        </w:trPr>
        <w:tc>
          <w:tcPr>
            <w:tcW w:w="6460" w:type="dxa"/>
            <w:vAlign w:val="bottom"/>
            <w:shd w:val="clear" w:color="auto" w:fill="CFF0FC"/>
          </w:tcPr>
          <w:p>
            <w:pPr>
              <w:spacing w:after="0"/>
              <w:rPr>
                <w:sz w:val="20"/>
                <w:szCs w:val="20"/>
                <w:color w:val="auto"/>
              </w:rPr>
            </w:pPr>
            <w:r>
              <w:rPr>
                <w:rFonts w:ascii="Arial" w:cs="Arial" w:eastAsia="Arial" w:hAnsi="Arial"/>
                <w:sz w:val="12"/>
                <w:szCs w:val="12"/>
                <w:color w:val="auto"/>
              </w:rPr>
              <w:t>FILO Loan –existing</w:t>
            </w: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14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15,000</w:t>
            </w:r>
          </w:p>
        </w:tc>
        <w:tc>
          <w:tcPr>
            <w:tcW w:w="120" w:type="dxa"/>
            <w:vAlign w:val="bottom"/>
            <w:shd w:val="clear" w:color="auto" w:fill="CFF0FC"/>
          </w:tcPr>
          <w:p>
            <w:pPr>
              <w:spacing w:after="0"/>
              <w:rPr>
                <w:sz w:val="12"/>
                <w:szCs w:val="12"/>
                <w:color w:val="auto"/>
              </w:rPr>
            </w:pPr>
          </w:p>
        </w:tc>
      </w:tr>
      <w:tr>
        <w:trPr>
          <w:trHeight w:val="154"/>
        </w:trPr>
        <w:tc>
          <w:tcPr>
            <w:tcW w:w="6460" w:type="dxa"/>
            <w:vAlign w:val="bottom"/>
          </w:tcPr>
          <w:p>
            <w:pPr>
              <w:spacing w:after="0"/>
              <w:rPr>
                <w:sz w:val="20"/>
                <w:szCs w:val="20"/>
                <w:color w:val="auto"/>
              </w:rPr>
            </w:pPr>
            <w:r>
              <w:rPr>
                <w:rFonts w:ascii="Arial" w:cs="Arial" w:eastAsia="Arial" w:hAnsi="Arial"/>
                <w:sz w:val="12"/>
                <w:szCs w:val="12"/>
                <w:color w:val="auto"/>
              </w:rPr>
              <w:t>FILO Loan – new</w:t>
            </w:r>
          </w:p>
        </w:tc>
        <w:tc>
          <w:tcPr>
            <w:tcW w:w="640" w:type="dxa"/>
            <w:vAlign w:val="bottom"/>
            <w:gridSpan w:val="2"/>
          </w:tcPr>
          <w:p>
            <w:pPr>
              <w:jc w:val="right"/>
              <w:ind w:right="330"/>
              <w:spacing w:after="0"/>
              <w:rPr>
                <w:sz w:val="20"/>
                <w:szCs w:val="20"/>
                <w:color w:val="auto"/>
              </w:rPr>
            </w:pPr>
            <w:r>
              <w:rPr>
                <w:rFonts w:ascii="Arial" w:cs="Arial" w:eastAsia="Arial" w:hAnsi="Arial"/>
                <w:sz w:val="12"/>
                <w:szCs w:val="12"/>
                <w:color w:val="auto"/>
              </w:rPr>
              <w:t>$</w:t>
            </w:r>
          </w:p>
        </w:tc>
        <w:tc>
          <w:tcPr>
            <w:tcW w:w="1840" w:type="dxa"/>
            <w:vAlign w:val="bottom"/>
          </w:tcPr>
          <w:p>
            <w:pPr>
              <w:jc w:val="right"/>
              <w:spacing w:after="0"/>
              <w:rPr>
                <w:sz w:val="20"/>
                <w:szCs w:val="20"/>
                <w:color w:val="auto"/>
              </w:rPr>
            </w:pPr>
            <w:r>
              <w:rPr>
                <w:rFonts w:ascii="Arial" w:cs="Arial" w:eastAsia="Arial" w:hAnsi="Arial"/>
                <w:sz w:val="12"/>
                <w:szCs w:val="12"/>
                <w:color w:val="auto"/>
              </w:rPr>
              <w:t>17,500</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4"/>
        </w:trPr>
        <w:tc>
          <w:tcPr>
            <w:tcW w:w="6460" w:type="dxa"/>
            <w:vAlign w:val="bottom"/>
            <w:shd w:val="clear" w:color="auto" w:fill="CFF0FC"/>
          </w:tcPr>
          <w:p>
            <w:pPr>
              <w:spacing w:after="0"/>
              <w:rPr>
                <w:sz w:val="20"/>
                <w:szCs w:val="20"/>
                <w:color w:val="auto"/>
              </w:rPr>
            </w:pPr>
            <w:r>
              <w:rPr>
                <w:rFonts w:ascii="Arial" w:cs="Arial" w:eastAsia="Arial" w:hAnsi="Arial"/>
                <w:sz w:val="12"/>
                <w:szCs w:val="12"/>
                <w:color w:val="auto"/>
              </w:rPr>
              <w:t>Less: unamortized debt issuance costs</w:t>
            </w:r>
          </w:p>
        </w:tc>
        <w:tc>
          <w:tcPr>
            <w:tcW w:w="2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1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(757)</w:t>
            </w:r>
          </w:p>
        </w:tc>
        <w:tc>
          <w:tcPr>
            <w:tcW w:w="30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(131)</w:t>
            </w:r>
          </w:p>
        </w:tc>
      </w:tr>
      <w:tr>
        <w:trPr>
          <w:trHeight w:val="143"/>
        </w:trPr>
        <w:tc>
          <w:tcPr>
            <w:tcW w:w="6460" w:type="dxa"/>
            <w:vAlign w:val="bottom"/>
          </w:tcPr>
          <w:p>
            <w:pPr>
              <w:spacing w:after="0"/>
              <w:rPr>
                <w:sz w:val="20"/>
                <w:szCs w:val="20"/>
                <w:color w:val="auto"/>
              </w:rPr>
            </w:pPr>
            <w:r>
              <w:rPr>
                <w:rFonts w:ascii="Arial" w:cs="Arial" w:eastAsia="Arial" w:hAnsi="Arial"/>
                <w:sz w:val="12"/>
                <w:szCs w:val="12"/>
                <w:color w:val="auto"/>
              </w:rPr>
              <w:t>Total long-term debt</w:t>
            </w:r>
          </w:p>
        </w:tc>
        <w:tc>
          <w:tcPr>
            <w:tcW w:w="2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16,743</w:t>
            </w: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14,869</w:t>
            </w:r>
          </w:p>
        </w:tc>
        <w:tc>
          <w:tcPr>
            <w:tcW w:w="120" w:type="dxa"/>
            <w:vAlign w:val="bottom"/>
          </w:tcPr>
          <w:p>
            <w:pPr>
              <w:spacing w:after="0"/>
              <w:rPr>
                <w:sz w:val="12"/>
                <w:szCs w:val="12"/>
                <w:color w:val="auto"/>
              </w:rPr>
            </w:pPr>
          </w:p>
        </w:tc>
      </w:tr>
      <w:tr>
        <w:trPr>
          <w:trHeight w:val="154"/>
        </w:trPr>
        <w:tc>
          <w:tcPr>
            <w:tcW w:w="6460" w:type="dxa"/>
            <w:vAlign w:val="bottom"/>
            <w:shd w:val="clear" w:color="auto" w:fill="CFF0FC"/>
          </w:tcPr>
          <w:p>
            <w:pPr>
              <w:spacing w:after="0"/>
              <w:rPr>
                <w:sz w:val="20"/>
                <w:szCs w:val="20"/>
                <w:color w:val="auto"/>
              </w:rPr>
            </w:pPr>
            <w:r>
              <w:rPr>
                <w:rFonts w:ascii="Arial" w:cs="Arial" w:eastAsia="Arial" w:hAnsi="Arial"/>
                <w:sz w:val="12"/>
                <w:szCs w:val="12"/>
                <w:color w:val="auto"/>
              </w:rPr>
              <w:t>Less: current portion of long-term debt, net of debt issuance costs</w:t>
            </w:r>
          </w:p>
        </w:tc>
        <w:tc>
          <w:tcPr>
            <w:tcW w:w="2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1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(74)</w:t>
            </w:r>
          </w:p>
        </w:tc>
        <w:tc>
          <w:tcPr>
            <w:tcW w:w="30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0"/>
        </w:trPr>
        <w:tc>
          <w:tcPr>
            <w:tcW w:w="6460" w:type="dxa"/>
            <w:vAlign w:val="bottom"/>
          </w:tcPr>
          <w:p>
            <w:pPr>
              <w:spacing w:after="0"/>
              <w:rPr>
                <w:sz w:val="20"/>
                <w:szCs w:val="20"/>
                <w:color w:val="auto"/>
              </w:rPr>
            </w:pPr>
            <w:r>
              <w:rPr>
                <w:rFonts w:ascii="Arial" w:cs="Arial" w:eastAsia="Arial" w:hAnsi="Arial"/>
                <w:sz w:val="12"/>
                <w:szCs w:val="12"/>
                <w:color w:val="auto"/>
              </w:rPr>
              <w:t>Long-term debt, net of current portion</w:t>
            </w:r>
          </w:p>
        </w:tc>
        <w:tc>
          <w:tcPr>
            <w:tcW w:w="2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16,669</w:t>
            </w:r>
          </w:p>
        </w:tc>
        <w:tc>
          <w:tcPr>
            <w:tcW w:w="30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14,869</w:t>
            </w:r>
          </w:p>
        </w:tc>
        <w:tc>
          <w:tcPr>
            <w:tcW w:w="120" w:type="dxa"/>
            <w:vAlign w:val="bottom"/>
          </w:tcPr>
          <w:p>
            <w:pPr>
              <w:spacing w:after="0"/>
              <w:rPr>
                <w:sz w:val="13"/>
                <w:szCs w:val="13"/>
                <w:color w:val="auto"/>
              </w:rPr>
            </w:pPr>
          </w:p>
        </w:tc>
      </w:tr>
    </w:tbl>
    <w:p>
      <w:pPr>
        <w:spacing w:after="0" w:line="281" w:lineRule="exact"/>
        <w:rPr>
          <w:sz w:val="20"/>
          <w:szCs w:val="20"/>
          <w:color w:val="auto"/>
        </w:rPr>
      </w:pPr>
    </w:p>
    <w:p>
      <w:pPr>
        <w:jc w:val="both"/>
        <w:ind w:right="20"/>
        <w:spacing w:after="0" w:line="265" w:lineRule="auto"/>
        <w:rPr>
          <w:sz w:val="20"/>
          <w:szCs w:val="20"/>
          <w:color w:val="auto"/>
        </w:rPr>
      </w:pPr>
      <w:r>
        <w:rPr>
          <w:rFonts w:ascii="Arial" w:cs="Arial" w:eastAsia="Arial" w:hAnsi="Arial"/>
          <w:sz w:val="12"/>
          <w:szCs w:val="12"/>
          <w:color w:val="auto"/>
        </w:rPr>
        <w:t>On March 16, 2021, the Company refinanced its existing $15.0 million FILO loan and entered into a new $17.5 million FILO loan (the “new FILO loan”). The total borrowing capacity under the new FILO loan is based on a borrowing base, generally defined as a specified percentage of the value of eligible accounts (including certain trade names) that step down over time, plus a specified percentage of the value of eligible inventory that steps down over time.</w:t>
      </w:r>
    </w:p>
    <w:p>
      <w:pPr>
        <w:spacing w:after="0" w:line="123"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The new FILO loan will be subject to quarterly principal repayments of $218,750 beginning December 31, 2021. The new FILO loan is subject to a prepayment penalty, if any portion of the principal for the new FILO Loan is prepaid during the initial two-year period, equal to the greater of (i) the incremental interest that would have been incurred with respect to that principal repayment during the two year period and (ii) 3% of the principal prepayment, unless the prepayment occurs after March 16, 2022 in connection with the Company’s renegotiation of its Credit Agreement in which case the prepayment premium would be equal to 1% of the principal prepayment. The new FILO loan expires on May 24, 2023, but may be automatically extended in connection with any extension of the revolving facility under the Credit Agreement, but no later than March 16, 2026, without approval from the FILO lender.</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Borrowings made under the new FILO loan will bear interest, at the LIBOR rate (with a LIBOR floor of 1.0%) plus an applicable margin rate of 7.50% through September 16, 2021. Thereafter, the applicable margin rate will be 7.50% for so long as the Company’s 12-month trailing consolidated EBITDA (as defined in the Credit Facility, as amended) measured as of the end of each month is less than $18.0 million, or 7.00% when the 12-month trailing consolidated EBITDA is equal to or greater than $18.0 million. Accordingly, the interest rate at May 1, 2021 was 8.5%.</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The Company paid interest and fees totaling $1.1 million and $0.7 million for the three months ended May 1, 2021 and May 2, 2020,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Leases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 The initial term of the lease for the corporate headquarter was for 20 years, with the opportunity to extend for six additional successive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52" w:lineRule="exact"/>
        <w:rPr>
          <w:sz w:val="20"/>
          <w:szCs w:val="20"/>
          <w:color w:val="auto"/>
        </w:rPr>
      </w:pPr>
    </w:p>
    <w:p>
      <w:pPr>
        <w:jc w:val="both"/>
        <w:spacing w:after="0" w:line="322" w:lineRule="auto"/>
        <w:rPr>
          <w:sz w:val="20"/>
          <w:szCs w:val="20"/>
          <w:color w:val="auto"/>
        </w:rPr>
      </w:pPr>
      <w:r>
        <w:rPr>
          <w:rFonts w:ascii="Arial" w:cs="Arial" w:eastAsia="Arial" w:hAnsi="Arial"/>
          <w:sz w:val="10"/>
          <w:szCs w:val="10"/>
          <w:color w:val="auto"/>
        </w:rPr>
        <w:t>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In April 2020, the FASB issued guidance allowing entities to make a policy election to account for lease concessions related to the COVID-19 pandemic as though enforceable rights and obligations for those concessions existed. The election applies to any lessor-provided lease concession related to the impact of the COVID-19 pandemic, provided the concession does not result in a substantial increase in the rights of the lessor or in the obligations of the lessee. The Company has opted not to elect this practical expedient and instead account for these rent concessions as lease modifications in accordance with ASC 842. As of May 1, 2021, the Company’s operating leases liabilities represent the present value of the remaining future minimum lease payments updated based on concessions and lease modifications.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3" w:name="page14"/>
    <w:bookmarkEnd w:id="13"/>
    <w:p>
      <w:pPr>
        <w:spacing w:after="0"/>
        <w:rPr>
          <w:sz w:val="20"/>
          <w:szCs w:val="20"/>
          <w:color w:val="auto"/>
        </w:rPr>
      </w:pPr>
      <w:r>
        <w:rPr>
          <w:rFonts w:ascii="Arial" w:cs="Arial" w:eastAsia="Arial" w:hAnsi="Arial"/>
          <w:sz w:val="12"/>
          <w:szCs w:val="12"/>
          <w:color w:val="auto"/>
        </w:rPr>
        <w:t>The following table is a summary of the Company’s components of net lease cost for the first quarter ended May 1, 2021 and May 2, 2020: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900" w:type="dxa"/>
            <w:vAlign w:val="bottom"/>
            <w:gridSpan w:val="3"/>
            <w:shd w:val="clear" w:color="auto" w:fill="CFF0FC"/>
          </w:tcPr>
          <w:p>
            <w:pPr>
              <w:jc w:val="right"/>
              <w:ind w:right="340"/>
              <w:spacing w:after="0"/>
              <w:rPr>
                <w:sz w:val="20"/>
                <w:szCs w:val="20"/>
                <w:color w:val="auto"/>
              </w:rPr>
            </w:pPr>
            <w:r>
              <w:rPr>
                <w:rFonts w:ascii="Arial" w:cs="Arial" w:eastAsia="Arial" w:hAnsi="Arial"/>
                <w:sz w:val="12"/>
                <w:szCs w:val="12"/>
                <w:color w:val="auto"/>
                <w:w w:val="99"/>
              </w:rPr>
              <w:t>For the three months ended</w:t>
            </w:r>
          </w:p>
        </w:tc>
        <w:tc>
          <w:tcPr>
            <w:tcW w:w="6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r>
      <w:tr>
        <w:trPr>
          <w:trHeight w:val="134"/>
        </w:trPr>
        <w:tc>
          <w:tcPr>
            <w:tcW w:w="5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27" w:lineRule="exact"/>
              <w:rPr>
                <w:sz w:val="20"/>
                <w:szCs w:val="20"/>
                <w:color w:val="auto"/>
              </w:rPr>
            </w:pPr>
            <w:r>
              <w:rPr>
                <w:rFonts w:ascii="Arial" w:cs="Arial" w:eastAsia="Arial" w:hAnsi="Arial"/>
                <w:sz w:val="12"/>
                <w:szCs w:val="12"/>
                <w:color w:val="auto"/>
              </w:rPr>
              <w:t>May 1, 2021</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20" w:type="dxa"/>
            <w:vAlign w:val="bottom"/>
            <w:gridSpan w:val="3"/>
          </w:tcPr>
          <w:p>
            <w:pPr>
              <w:spacing w:after="0" w:line="127" w:lineRule="exact"/>
              <w:rPr>
                <w:sz w:val="20"/>
                <w:szCs w:val="20"/>
                <w:color w:val="auto"/>
              </w:rPr>
            </w:pPr>
            <w:r>
              <w:rPr>
                <w:rFonts w:ascii="Arial" w:cs="Arial" w:eastAsia="Arial" w:hAnsi="Arial"/>
                <w:sz w:val="12"/>
                <w:szCs w:val="12"/>
                <w:color w:val="auto"/>
              </w:rPr>
              <w:t>May 2, 2020</w:t>
            </w:r>
          </w:p>
        </w:tc>
      </w:tr>
      <w:tr>
        <w:trPr>
          <w:trHeight w:val="154"/>
        </w:trPr>
        <w:tc>
          <w:tcPr>
            <w:tcW w:w="590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(in thousands)</w:t>
            </w:r>
          </w:p>
        </w:tc>
        <w:tc>
          <w:tcPr>
            <w:tcW w:w="860" w:type="dxa"/>
            <w:vAlign w:val="bottom"/>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r>
      <w:tr>
        <w:trPr>
          <w:trHeight w:val="154"/>
        </w:trPr>
        <w:tc>
          <w:tcPr>
            <w:tcW w:w="5900" w:type="dxa"/>
            <w:vAlign w:val="bottom"/>
          </w:tcPr>
          <w:p>
            <w:pPr>
              <w:spacing w:after="0"/>
              <w:rPr>
                <w:sz w:val="20"/>
                <w:szCs w:val="20"/>
                <w:color w:val="auto"/>
              </w:rPr>
            </w:pPr>
            <w:r>
              <w:rPr>
                <w:rFonts w:ascii="Arial" w:cs="Arial" w:eastAsia="Arial" w:hAnsi="Arial"/>
                <w:sz w:val="12"/>
                <w:szCs w:val="12"/>
                <w:color w:val="auto"/>
              </w:rPr>
              <w:t>Operating lease cost</w:t>
            </w:r>
          </w:p>
        </w:tc>
        <w:tc>
          <w:tcPr>
            <w:tcW w:w="860" w:type="dxa"/>
            <w:vAlign w:val="bottom"/>
          </w:tcPr>
          <w:p>
            <w:pPr>
              <w:jc w:val="right"/>
              <w:ind w:right="750"/>
              <w:spacing w:after="0"/>
              <w:rPr>
                <w:sz w:val="20"/>
                <w:szCs w:val="20"/>
                <w:color w:val="auto"/>
              </w:rPr>
            </w:pPr>
            <w:r>
              <w:rPr>
                <w:rFonts w:ascii="Arial" w:cs="Arial" w:eastAsia="Arial" w:hAnsi="Arial"/>
                <w:sz w:val="10"/>
                <w:szCs w:val="10"/>
                <w:color w:val="auto"/>
                <w:w w:val="71"/>
              </w:rPr>
              <w: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11,126</w:t>
            </w:r>
          </w:p>
        </w:tc>
        <w:tc>
          <w:tcPr>
            <w:tcW w:w="120" w:type="dxa"/>
            <w:vAlign w:val="bottom"/>
          </w:tcPr>
          <w:p>
            <w:pPr>
              <w:spacing w:after="0"/>
              <w:rPr>
                <w:sz w:val="13"/>
                <w:szCs w:val="13"/>
                <w:color w:val="auto"/>
              </w:rPr>
            </w:pPr>
          </w:p>
        </w:tc>
        <w:tc>
          <w:tcPr>
            <w:tcW w:w="1120" w:type="dxa"/>
            <w:vAlign w:val="bottom"/>
          </w:tcPr>
          <w:p>
            <w:pPr>
              <w:jc w:val="right"/>
              <w:ind w:right="740"/>
              <w:spacing w:after="0"/>
              <w:rPr>
                <w:sz w:val="20"/>
                <w:szCs w:val="20"/>
                <w:color w:val="auto"/>
              </w:rPr>
            </w:pPr>
            <w:r>
              <w:rPr>
                <w:rFonts w:ascii="Arial" w:cs="Arial" w:eastAsia="Arial" w:hAnsi="Arial"/>
                <w:sz w:val="12"/>
                <w:szCs w:val="12"/>
                <w:color w:val="auto"/>
              </w:rPr>
              <w:t>$</w:t>
            </w:r>
          </w:p>
        </w:tc>
        <w:tc>
          <w:tcPr>
            <w:tcW w:w="1480" w:type="dxa"/>
            <w:vAlign w:val="bottom"/>
            <w:gridSpan w:val="2"/>
          </w:tcPr>
          <w:p>
            <w:pPr>
              <w:jc w:val="right"/>
              <w:spacing w:after="0"/>
              <w:rPr>
                <w:sz w:val="20"/>
                <w:szCs w:val="20"/>
                <w:color w:val="auto"/>
              </w:rPr>
            </w:pPr>
            <w:r>
              <w:rPr>
                <w:rFonts w:ascii="Arial" w:cs="Arial" w:eastAsia="Arial" w:hAnsi="Arial"/>
                <w:sz w:val="12"/>
                <w:szCs w:val="12"/>
                <w:color w:val="auto"/>
              </w:rPr>
              <w:t>12,640</w:t>
            </w:r>
          </w:p>
        </w:tc>
        <w:tc>
          <w:tcPr>
            <w:tcW w:w="340" w:type="dxa"/>
            <w:vAlign w:val="bottom"/>
          </w:tcPr>
          <w:p>
            <w:pPr>
              <w:spacing w:after="0"/>
              <w:rPr>
                <w:sz w:val="13"/>
                <w:szCs w:val="13"/>
                <w:color w:val="auto"/>
              </w:rPr>
            </w:pPr>
          </w:p>
        </w:tc>
      </w:tr>
      <w:tr>
        <w:trPr>
          <w:trHeight w:val="154"/>
        </w:trPr>
        <w:tc>
          <w:tcPr>
            <w:tcW w:w="5900" w:type="dxa"/>
            <w:vAlign w:val="bottom"/>
            <w:shd w:val="clear" w:color="auto" w:fill="CFF0FC"/>
          </w:tcPr>
          <w:p>
            <w:pPr>
              <w:spacing w:after="0"/>
              <w:rPr>
                <w:sz w:val="20"/>
                <w:szCs w:val="20"/>
                <w:color w:val="auto"/>
              </w:rPr>
            </w:pPr>
            <w:r>
              <w:rPr>
                <w:rFonts w:ascii="Arial" w:cs="Arial" w:eastAsia="Arial" w:hAnsi="Arial"/>
                <w:sz w:val="12"/>
                <w:szCs w:val="12"/>
                <w:color w:val="auto"/>
              </w:rPr>
              <w:t>Variable lease costs</w:t>
            </w:r>
            <w:r>
              <w:rPr>
                <w:rFonts w:ascii="Arial" w:cs="Arial" w:eastAsia="Arial" w:hAnsi="Arial"/>
                <w:sz w:val="10"/>
                <w:szCs w:val="10"/>
                <w:color w:val="auto"/>
              </w:rPr>
              <w:t>(1)</w:t>
            </w:r>
          </w:p>
        </w:tc>
        <w:tc>
          <w:tcPr>
            <w:tcW w:w="8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3,774</w:t>
            </w:r>
          </w:p>
        </w:tc>
        <w:tc>
          <w:tcPr>
            <w:tcW w:w="120" w:type="dxa"/>
            <w:vAlign w:val="bottom"/>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3,800</w:t>
            </w:r>
          </w:p>
        </w:tc>
        <w:tc>
          <w:tcPr>
            <w:tcW w:w="340" w:type="dxa"/>
            <w:vAlign w:val="bottom"/>
            <w:shd w:val="clear" w:color="auto" w:fill="CFF0FC"/>
          </w:tcPr>
          <w:p>
            <w:pPr>
              <w:spacing w:after="0"/>
              <w:rPr>
                <w:sz w:val="13"/>
                <w:szCs w:val="13"/>
                <w:color w:val="auto"/>
              </w:rPr>
            </w:pPr>
          </w:p>
        </w:tc>
      </w:tr>
      <w:tr>
        <w:trPr>
          <w:trHeight w:val="150"/>
        </w:trPr>
        <w:tc>
          <w:tcPr>
            <w:tcW w:w="5900" w:type="dxa"/>
            <w:vAlign w:val="bottom"/>
          </w:tcPr>
          <w:p>
            <w:pPr>
              <w:spacing w:after="0"/>
              <w:rPr>
                <w:sz w:val="20"/>
                <w:szCs w:val="20"/>
                <w:color w:val="auto"/>
              </w:rPr>
            </w:pPr>
            <w:r>
              <w:rPr>
                <w:rFonts w:ascii="Arial" w:cs="Arial" w:eastAsia="Arial" w:hAnsi="Arial"/>
                <w:sz w:val="12"/>
                <w:szCs w:val="12"/>
                <w:color w:val="auto"/>
              </w:rPr>
              <w:t>Total lease costs</w:t>
            </w:r>
          </w:p>
        </w:tc>
        <w:tc>
          <w:tcPr>
            <w:tcW w:w="860" w:type="dxa"/>
            <w:vAlign w:val="bottom"/>
            <w:tcBorders>
              <w:bottom w:val="single" w:sz="8" w:color="auto"/>
            </w:tcBorders>
          </w:tcPr>
          <w:p>
            <w:pPr>
              <w:jc w:val="right"/>
              <w:ind w:right="75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14,900</w:t>
            </w:r>
          </w:p>
        </w:tc>
        <w:tc>
          <w:tcPr>
            <w:tcW w:w="120" w:type="dxa"/>
            <w:vAlign w:val="bottom"/>
          </w:tcPr>
          <w:p>
            <w:pPr>
              <w:spacing w:after="0"/>
              <w:rPr>
                <w:sz w:val="13"/>
                <w:szCs w:val="13"/>
                <w:color w:val="auto"/>
              </w:rPr>
            </w:pPr>
          </w:p>
        </w:tc>
        <w:tc>
          <w:tcPr>
            <w:tcW w:w="1120" w:type="dxa"/>
            <w:vAlign w:val="bottom"/>
            <w:tcBorders>
              <w:bottom w:val="single" w:sz="8" w:color="auto"/>
            </w:tcBorders>
          </w:tcPr>
          <w:p>
            <w:pPr>
              <w:jc w:val="right"/>
              <w:ind w:right="740"/>
              <w:spacing w:after="0"/>
              <w:rPr>
                <w:sz w:val="20"/>
                <w:szCs w:val="20"/>
                <w:color w:val="auto"/>
              </w:rPr>
            </w:pPr>
            <w:r>
              <w:rPr>
                <w:rFonts w:ascii="Arial" w:cs="Arial" w:eastAsia="Arial" w:hAnsi="Arial"/>
                <w:sz w:val="12"/>
                <w:szCs w:val="12"/>
                <w:color w:val="auto"/>
              </w:rPr>
              <w:t>$</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16,440</w:t>
            </w:r>
          </w:p>
        </w:tc>
        <w:tc>
          <w:tcPr>
            <w:tcW w:w="340" w:type="dxa"/>
            <w:vAlign w:val="bottom"/>
          </w:tcPr>
          <w:p>
            <w:pPr>
              <w:spacing w:after="0"/>
              <w:rPr>
                <w:sz w:val="13"/>
                <w:szCs w:val="13"/>
                <w:color w:val="auto"/>
              </w:rPr>
            </w:pPr>
          </w:p>
        </w:tc>
      </w:tr>
    </w:tbl>
    <w:p>
      <w:pPr>
        <w:spacing w:after="0" w:line="136" w:lineRule="exact"/>
        <w:rPr>
          <w:sz w:val="20"/>
          <w:szCs w:val="20"/>
          <w:color w:val="auto"/>
        </w:rPr>
      </w:pPr>
    </w:p>
    <w:p>
      <w:pPr>
        <w:ind w:right="4380" w:firstLine="364"/>
        <w:spacing w:after="0" w:line="836" w:lineRule="auto"/>
        <w:tabs>
          <w:tab w:leader="none" w:pos="743" w:val="left"/>
        </w:tabs>
        <w:numPr>
          <w:ilvl w:val="0"/>
          <w:numId w:val="5"/>
        </w:numPr>
        <w:rPr>
          <w:rFonts w:ascii="Arial" w:cs="Arial" w:eastAsia="Arial" w:hAnsi="Arial"/>
          <w:sz w:val="10"/>
          <w:szCs w:val="10"/>
          <w:color w:val="auto"/>
        </w:rPr>
      </w:pPr>
      <w:r>
        <w:rPr>
          <w:rFonts w:ascii="Arial" w:cs="Arial" w:eastAsia="Arial" w:hAnsi="Arial"/>
          <w:sz w:val="10"/>
          <w:szCs w:val="10"/>
          <w:color w:val="auto"/>
        </w:rPr>
        <w:t>Variable lease costs include the cost of property taxes, insurance and common area maintenance fees related to its leases. Supplemental cash flow and balance sheet information related to leases for the three months ended May 1, 2021 and May 2, 2020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48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(dollars in thousands)</w:t>
            </w: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140" w:type="dxa"/>
            <w:vAlign w:val="bottom"/>
            <w:gridSpan w:val="5"/>
            <w:shd w:val="clear" w:color="auto" w:fill="CFF0FC"/>
          </w:tcPr>
          <w:p>
            <w:pPr>
              <w:jc w:val="right"/>
              <w:ind w:right="1140"/>
              <w:spacing w:after="0"/>
              <w:rPr>
                <w:sz w:val="20"/>
                <w:szCs w:val="20"/>
                <w:color w:val="auto"/>
              </w:rPr>
            </w:pPr>
            <w:r>
              <w:rPr>
                <w:rFonts w:ascii="Arial" w:cs="Arial" w:eastAsia="Arial" w:hAnsi="Arial"/>
                <w:sz w:val="12"/>
                <w:szCs w:val="12"/>
                <w:color w:val="auto"/>
              </w:rPr>
              <w:t>For the three months ended</w:t>
            </w:r>
          </w:p>
        </w:tc>
      </w:tr>
      <w:tr>
        <w:trPr>
          <w:trHeight w:val="134"/>
        </w:trPr>
        <w:tc>
          <w:tcPr>
            <w:tcW w:w="7480" w:type="dxa"/>
            <w:vAlign w:val="bottom"/>
          </w:tcPr>
          <w:p>
            <w:pPr>
              <w:spacing w:after="0" w:line="127" w:lineRule="exact"/>
              <w:rPr>
                <w:sz w:val="20"/>
                <w:szCs w:val="20"/>
                <w:color w:val="auto"/>
              </w:rPr>
            </w:pPr>
            <w:r>
              <w:rPr>
                <w:rFonts w:ascii="Arial" w:cs="Arial" w:eastAsia="Arial" w:hAnsi="Arial"/>
                <w:sz w:val="12"/>
                <w:szCs w:val="12"/>
                <w:color w:val="auto"/>
              </w:rPr>
              <w:t>Cash paid for amounts included in the measurement of lease liabilities:</w:t>
            </w:r>
          </w:p>
        </w:tc>
        <w:tc>
          <w:tcPr>
            <w:tcW w:w="480" w:type="dxa"/>
            <w:vAlign w:val="bottom"/>
          </w:tcPr>
          <w:p>
            <w:pPr>
              <w:spacing w:after="0"/>
              <w:rPr>
                <w:sz w:val="11"/>
                <w:szCs w:val="11"/>
                <w:color w:val="auto"/>
              </w:rPr>
            </w:pPr>
          </w:p>
        </w:tc>
        <w:tc>
          <w:tcPr>
            <w:tcW w:w="1420" w:type="dxa"/>
            <w:vAlign w:val="bottom"/>
            <w:gridSpan w:val="3"/>
          </w:tcPr>
          <w:p>
            <w:pPr>
              <w:jc w:val="center"/>
              <w:ind w:right="340"/>
              <w:spacing w:after="0" w:line="127" w:lineRule="exact"/>
              <w:rPr>
                <w:sz w:val="20"/>
                <w:szCs w:val="20"/>
                <w:color w:val="auto"/>
              </w:rPr>
            </w:pPr>
            <w:r>
              <w:rPr>
                <w:rFonts w:ascii="Arial" w:cs="Arial" w:eastAsia="Arial" w:hAnsi="Arial"/>
                <w:sz w:val="12"/>
                <w:szCs w:val="12"/>
                <w:color w:val="auto"/>
                <w:w w:val="93"/>
              </w:rPr>
              <w:t>May 1, 2021</w:t>
            </w:r>
          </w:p>
        </w:tc>
        <w:tc>
          <w:tcPr>
            <w:tcW w:w="660" w:type="dxa"/>
            <w:vAlign w:val="bottom"/>
          </w:tcPr>
          <w:p>
            <w:pPr>
              <w:spacing w:after="0"/>
              <w:rPr>
                <w:sz w:val="11"/>
                <w:szCs w:val="11"/>
                <w:color w:val="auto"/>
              </w:rPr>
            </w:pPr>
          </w:p>
        </w:tc>
        <w:tc>
          <w:tcPr>
            <w:tcW w:w="1260" w:type="dxa"/>
            <w:vAlign w:val="bottom"/>
            <w:gridSpan w:val="2"/>
          </w:tcPr>
          <w:p>
            <w:pPr>
              <w:jc w:val="center"/>
              <w:ind w:right="580"/>
              <w:spacing w:after="0" w:line="127" w:lineRule="exact"/>
              <w:rPr>
                <w:sz w:val="20"/>
                <w:szCs w:val="20"/>
                <w:color w:val="auto"/>
              </w:rPr>
            </w:pPr>
            <w:r>
              <w:rPr>
                <w:rFonts w:ascii="Arial" w:cs="Arial" w:eastAsia="Arial" w:hAnsi="Arial"/>
                <w:sz w:val="12"/>
                <w:szCs w:val="12"/>
                <w:color w:val="auto"/>
                <w:w w:val="93"/>
              </w:rPr>
              <w:t>May 2, 2020</w:t>
            </w:r>
          </w:p>
        </w:tc>
      </w:tr>
      <w:tr>
        <w:trPr>
          <w:trHeight w:val="154"/>
        </w:trPr>
        <w:tc>
          <w:tcPr>
            <w:tcW w:w="7480" w:type="dxa"/>
            <w:vAlign w:val="bottom"/>
            <w:shd w:val="clear" w:color="auto" w:fill="CFF0FC"/>
          </w:tcPr>
          <w:p>
            <w:pPr>
              <w:ind w:left="80"/>
              <w:spacing w:after="0"/>
              <w:rPr>
                <w:sz w:val="20"/>
                <w:szCs w:val="20"/>
                <w:color w:val="auto"/>
              </w:rPr>
            </w:pPr>
            <w:r>
              <w:rPr>
                <w:rFonts w:ascii="Arial" w:cs="Arial" w:eastAsia="Arial" w:hAnsi="Arial"/>
                <w:sz w:val="12"/>
                <w:szCs w:val="12"/>
                <w:color w:val="auto"/>
              </w:rPr>
              <w:t xml:space="preserve">Operating cash flows for operating leases </w:t>
            </w:r>
            <w:r>
              <w:rPr>
                <w:rFonts w:ascii="Arial" w:cs="Arial" w:eastAsia="Arial" w:hAnsi="Arial"/>
                <w:sz w:val="10"/>
                <w:szCs w:val="10"/>
                <w:color w:val="auto"/>
              </w:rPr>
              <w:t>(1)</w:t>
            </w:r>
          </w:p>
        </w:tc>
        <w:tc>
          <w:tcPr>
            <w:tcW w:w="480" w:type="dxa"/>
            <w:vAlign w:val="bottom"/>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600" w:type="dxa"/>
            <w:vAlign w:val="bottom"/>
            <w:shd w:val="clear" w:color="auto" w:fill="CFF0FC"/>
          </w:tcPr>
          <w:p>
            <w:pPr>
              <w:jc w:val="right"/>
              <w:ind w:right="80"/>
              <w:spacing w:after="0"/>
              <w:rPr>
                <w:sz w:val="20"/>
                <w:szCs w:val="20"/>
                <w:color w:val="auto"/>
              </w:rPr>
            </w:pPr>
            <w:r>
              <w:rPr>
                <w:rFonts w:ascii="Arial" w:cs="Arial" w:eastAsia="Arial" w:hAnsi="Arial"/>
                <w:sz w:val="12"/>
                <w:szCs w:val="12"/>
                <w:color w:val="auto"/>
              </w:rPr>
              <w:t>17,112</w:t>
            </w:r>
          </w:p>
        </w:tc>
        <w:tc>
          <w:tcPr>
            <w:tcW w:w="660" w:type="dxa"/>
            <w:vAlign w:val="bottom"/>
            <w:shd w:val="clear" w:color="auto" w:fill="CFF0FC"/>
          </w:tcPr>
          <w:p>
            <w:pPr>
              <w:jc w:val="right"/>
              <w:ind w:right="40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tcBorders>
            <w:shd w:val="clear" w:color="auto" w:fill="CFF0FC"/>
          </w:tcPr>
          <w:p>
            <w:pPr>
              <w:spacing w:after="0"/>
              <w:rPr>
                <w:sz w:val="13"/>
                <w:szCs w:val="13"/>
                <w:color w:val="auto"/>
              </w:rPr>
            </w:pPr>
          </w:p>
        </w:tc>
        <w:tc>
          <w:tcPr>
            <w:tcW w:w="640" w:type="dxa"/>
            <w:vAlign w:val="bottom"/>
            <w:shd w:val="clear" w:color="auto" w:fill="CFF0FC"/>
          </w:tcPr>
          <w:p>
            <w:pPr>
              <w:jc w:val="right"/>
              <w:ind w:right="80"/>
              <w:spacing w:after="0"/>
              <w:rPr>
                <w:sz w:val="20"/>
                <w:szCs w:val="20"/>
                <w:color w:val="auto"/>
              </w:rPr>
            </w:pPr>
            <w:r>
              <w:rPr>
                <w:rFonts w:ascii="Arial" w:cs="Arial" w:eastAsia="Arial" w:hAnsi="Arial"/>
                <w:sz w:val="12"/>
                <w:szCs w:val="12"/>
                <w:color w:val="auto"/>
              </w:rPr>
              <w:t>9,805</w:t>
            </w:r>
          </w:p>
        </w:tc>
      </w:tr>
      <w:tr>
        <w:trPr>
          <w:trHeight w:val="154"/>
        </w:trPr>
        <w:tc>
          <w:tcPr>
            <w:tcW w:w="7480" w:type="dxa"/>
            <w:vAlign w:val="bottom"/>
          </w:tcPr>
          <w:p>
            <w:pPr>
              <w:spacing w:after="0"/>
              <w:rPr>
                <w:sz w:val="20"/>
                <w:szCs w:val="20"/>
                <w:color w:val="auto"/>
              </w:rPr>
            </w:pPr>
            <w:r>
              <w:rPr>
                <w:rFonts w:ascii="Arial" w:cs="Arial" w:eastAsia="Arial" w:hAnsi="Arial"/>
                <w:sz w:val="12"/>
                <w:szCs w:val="12"/>
                <w:color w:val="auto"/>
              </w:rPr>
              <w:t>Non-cash operating activities: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7480" w:type="dxa"/>
            <w:vAlign w:val="bottom"/>
            <w:shd w:val="clear" w:color="auto" w:fill="CFF0FC"/>
          </w:tcPr>
          <w:p>
            <w:pPr>
              <w:ind w:left="80"/>
              <w:spacing w:after="0"/>
              <w:rPr>
                <w:sz w:val="20"/>
                <w:szCs w:val="20"/>
                <w:color w:val="auto"/>
              </w:rPr>
            </w:pPr>
            <w:r>
              <w:rPr>
                <w:rFonts w:ascii="Arial" w:cs="Arial" w:eastAsia="Arial" w:hAnsi="Arial"/>
                <w:sz w:val="12"/>
                <w:szCs w:val="12"/>
                <w:color w:val="auto"/>
              </w:rPr>
              <w:t>Right-of-use assets obtained in exchange for operating lease liabilities</w:t>
            </w:r>
          </w:p>
        </w:tc>
        <w:tc>
          <w:tcPr>
            <w:tcW w:w="480" w:type="dxa"/>
            <w:vAlign w:val="bottom"/>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42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2,137</w:t>
            </w:r>
          </w:p>
        </w:tc>
        <w:tc>
          <w:tcPr>
            <w:tcW w:w="660" w:type="dxa"/>
            <w:vAlign w:val="bottom"/>
            <w:shd w:val="clear" w:color="auto" w:fill="CFF0FC"/>
          </w:tcPr>
          <w:p>
            <w:pPr>
              <w:jc w:val="right"/>
              <w:ind w:right="40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559</w:t>
            </w:r>
          </w:p>
        </w:tc>
      </w:tr>
      <w:tr>
        <w:trPr>
          <w:trHeight w:val="154"/>
        </w:trPr>
        <w:tc>
          <w:tcPr>
            <w:tcW w:w="74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4"/>
        </w:trPr>
        <w:tc>
          <w:tcPr>
            <w:tcW w:w="7480" w:type="dxa"/>
            <w:vAlign w:val="bottom"/>
          </w:tcPr>
          <w:p>
            <w:pPr>
              <w:spacing w:after="0"/>
              <w:rPr>
                <w:sz w:val="20"/>
                <w:szCs w:val="20"/>
                <w:color w:val="auto"/>
              </w:rPr>
            </w:pPr>
            <w:r>
              <w:rPr>
                <w:rFonts w:ascii="Arial" w:cs="Arial" w:eastAsia="Arial" w:hAnsi="Arial"/>
                <w:sz w:val="12"/>
                <w:szCs w:val="12"/>
                <w:color w:val="auto"/>
              </w:rPr>
              <w:t>Weighted average remaining lease term</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2"/>
                <w:szCs w:val="12"/>
                <w:color w:val="auto"/>
                <w:w w:val="91"/>
              </w:rPr>
              <w:t>4.4 yrs.</w:t>
            </w:r>
          </w:p>
        </w:tc>
        <w:tc>
          <w:tcPr>
            <w:tcW w:w="660" w:type="dxa"/>
            <w:vAlign w:val="bottom"/>
          </w:tcPr>
          <w:p>
            <w:pPr>
              <w:spacing w:after="0"/>
              <w:rPr>
                <w:sz w:val="13"/>
                <w:szCs w:val="13"/>
                <w:color w:val="auto"/>
              </w:rPr>
            </w:pPr>
          </w:p>
        </w:tc>
        <w:tc>
          <w:tcPr>
            <w:tcW w:w="1260" w:type="dxa"/>
            <w:vAlign w:val="bottom"/>
            <w:gridSpan w:val="2"/>
          </w:tcPr>
          <w:p>
            <w:pPr>
              <w:jc w:val="center"/>
              <w:ind w:right="600"/>
              <w:spacing w:after="0"/>
              <w:rPr>
                <w:sz w:val="20"/>
                <w:szCs w:val="20"/>
                <w:color w:val="auto"/>
              </w:rPr>
            </w:pPr>
            <w:r>
              <w:rPr>
                <w:rFonts w:ascii="Arial" w:cs="Arial" w:eastAsia="Arial" w:hAnsi="Arial"/>
                <w:sz w:val="12"/>
                <w:szCs w:val="12"/>
                <w:color w:val="auto"/>
                <w:w w:val="91"/>
              </w:rPr>
              <w:t>5.2 yrs.</w:t>
            </w:r>
          </w:p>
        </w:tc>
      </w:tr>
      <w:tr>
        <w:trPr>
          <w:trHeight w:val="154"/>
        </w:trPr>
        <w:tc>
          <w:tcPr>
            <w:tcW w:w="7480" w:type="dxa"/>
            <w:vAlign w:val="bottom"/>
            <w:shd w:val="clear" w:color="auto" w:fill="CFF0FC"/>
          </w:tcPr>
          <w:p>
            <w:pPr>
              <w:spacing w:after="0"/>
              <w:rPr>
                <w:sz w:val="20"/>
                <w:szCs w:val="20"/>
                <w:color w:val="auto"/>
              </w:rPr>
            </w:pPr>
            <w:r>
              <w:rPr>
                <w:rFonts w:ascii="Arial" w:cs="Arial" w:eastAsia="Arial" w:hAnsi="Arial"/>
                <w:sz w:val="12"/>
                <w:szCs w:val="12"/>
                <w:color w:val="auto"/>
              </w:rPr>
              <w:t>Weighted average discount rate</w:t>
            </w:r>
          </w:p>
        </w:tc>
        <w:tc>
          <w:tcPr>
            <w:tcW w:w="4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center"/>
              <w:ind w:left="120"/>
              <w:spacing w:after="0"/>
              <w:rPr>
                <w:sz w:val="20"/>
                <w:szCs w:val="20"/>
                <w:color w:val="auto"/>
              </w:rPr>
            </w:pPr>
            <w:r>
              <w:rPr>
                <w:rFonts w:ascii="Arial" w:cs="Arial" w:eastAsia="Arial" w:hAnsi="Arial"/>
                <w:sz w:val="12"/>
                <w:szCs w:val="12"/>
                <w:color w:val="auto"/>
                <w:w w:val="93"/>
              </w:rPr>
              <w:t>6.72%</w:t>
            </w:r>
          </w:p>
        </w:tc>
        <w:tc>
          <w:tcPr>
            <w:tcW w:w="6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7.08%</w:t>
            </w:r>
          </w:p>
        </w:tc>
        <w:tc>
          <w:tcPr>
            <w:tcW w:w="640" w:type="dxa"/>
            <w:vAlign w:val="bottom"/>
            <w:shd w:val="clear" w:color="auto" w:fill="CFF0FC"/>
          </w:tcPr>
          <w:p>
            <w:pPr>
              <w:spacing w:after="0"/>
              <w:rPr>
                <w:sz w:val="13"/>
                <w:szCs w:val="13"/>
                <w:color w:val="auto"/>
              </w:rPr>
            </w:pPr>
          </w:p>
        </w:tc>
      </w:tr>
    </w:tbl>
    <w:p>
      <w:pPr>
        <w:spacing w:after="0" w:line="136" w:lineRule="exact"/>
        <w:rPr>
          <w:sz w:val="20"/>
          <w:szCs w:val="20"/>
          <w:color w:val="auto"/>
        </w:rPr>
      </w:pPr>
    </w:p>
    <w:p>
      <w:pPr>
        <w:ind w:left="740" w:hanging="376"/>
        <w:spacing w:after="0" w:line="326" w:lineRule="auto"/>
        <w:tabs>
          <w:tab w:leader="none" w:pos="740" w:val="left"/>
        </w:tabs>
        <w:numPr>
          <w:ilvl w:val="0"/>
          <w:numId w:val="6"/>
        </w:numPr>
        <w:rPr>
          <w:rFonts w:ascii="Arial" w:cs="Arial" w:eastAsia="Arial" w:hAnsi="Arial"/>
          <w:sz w:val="11"/>
          <w:szCs w:val="11"/>
          <w:color w:val="auto"/>
        </w:rPr>
      </w:pPr>
      <w:r>
        <w:rPr>
          <w:rFonts w:ascii="Arial" w:cs="Arial" w:eastAsia="Arial" w:hAnsi="Arial"/>
          <w:sz w:val="11"/>
          <w:szCs w:val="11"/>
          <w:color w:val="auto"/>
        </w:rPr>
        <w:t>The cash paid for the first quarter of fiscal 2021 includes prepaid rent for May 2021 of $3.8 million. There was no unpaid rent at May 1, 2021. Due to store closures in the first quarter of fiscal 2020, the Company did not make scheduled rent payments, due April 1, 2020, of $4.2 million. This amount was included in the Accounts Payable at May 2, 2020. The Company also did not prepay May rent in the first quarter of fiscal 2020.</w:t>
      </w:r>
    </w:p>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The table below reconciles the undiscounted cash flows for each of the first five years and total of the remaining years to the operating lease liabilities recorded on the Consolidated Balance Sheet as of May 1,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92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4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2021 (remaining)</w:t>
            </w:r>
          </w:p>
        </w:tc>
        <w:tc>
          <w:tcPr>
            <w:tcW w:w="4140" w:type="dxa"/>
            <w:vAlign w:val="bottom"/>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35,609</w:t>
            </w:r>
          </w:p>
        </w:tc>
        <w:tc>
          <w:tcPr>
            <w:tcW w:w="120" w:type="dxa"/>
            <w:vAlign w:val="bottom"/>
            <w:shd w:val="clear" w:color="auto" w:fill="CFF0FC"/>
          </w:tcPr>
          <w:p>
            <w:pPr>
              <w:spacing w:after="0"/>
              <w:rPr>
                <w:sz w:val="13"/>
                <w:szCs w:val="13"/>
                <w:color w:val="auto"/>
              </w:rPr>
            </w:pPr>
          </w:p>
        </w:tc>
      </w:tr>
      <w:tr>
        <w:trPr>
          <w:trHeight w:val="154"/>
        </w:trPr>
        <w:tc>
          <w:tcPr>
            <w:tcW w:w="5920" w:type="dxa"/>
            <w:vAlign w:val="bottom"/>
          </w:tcPr>
          <w:p>
            <w:pPr>
              <w:spacing w:after="0"/>
              <w:rPr>
                <w:sz w:val="20"/>
                <w:szCs w:val="20"/>
                <w:color w:val="auto"/>
              </w:rPr>
            </w:pPr>
            <w:r>
              <w:rPr>
                <w:rFonts w:ascii="Arial" w:cs="Arial" w:eastAsia="Arial" w:hAnsi="Arial"/>
                <w:sz w:val="12"/>
                <w:szCs w:val="12"/>
                <w:color w:val="auto"/>
              </w:rPr>
              <w:t>2022</w:t>
            </w:r>
          </w:p>
        </w:tc>
        <w:tc>
          <w:tcPr>
            <w:tcW w:w="4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48,389</w:t>
            </w:r>
          </w:p>
        </w:tc>
        <w:tc>
          <w:tcPr>
            <w:tcW w:w="120" w:type="dxa"/>
            <w:vAlign w:val="bottom"/>
          </w:tcPr>
          <w:p>
            <w:pPr>
              <w:spacing w:after="0"/>
              <w:rPr>
                <w:sz w:val="13"/>
                <w:szCs w:val="13"/>
                <w:color w:val="auto"/>
              </w:rPr>
            </w:pPr>
          </w:p>
        </w:tc>
      </w:tr>
      <w:tr>
        <w:trPr>
          <w:trHeight w:val="154"/>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4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40,987</w:t>
            </w:r>
          </w:p>
        </w:tc>
        <w:tc>
          <w:tcPr>
            <w:tcW w:w="120" w:type="dxa"/>
            <w:vAlign w:val="bottom"/>
            <w:shd w:val="clear" w:color="auto" w:fill="CFF0FC"/>
          </w:tcPr>
          <w:p>
            <w:pPr>
              <w:spacing w:after="0"/>
              <w:rPr>
                <w:sz w:val="13"/>
                <w:szCs w:val="13"/>
                <w:color w:val="auto"/>
              </w:rPr>
            </w:pPr>
          </w:p>
        </w:tc>
      </w:tr>
      <w:tr>
        <w:trPr>
          <w:trHeight w:val="154"/>
        </w:trPr>
        <w:tc>
          <w:tcPr>
            <w:tcW w:w="5920" w:type="dxa"/>
            <w:vAlign w:val="bottom"/>
          </w:tcPr>
          <w:p>
            <w:pPr>
              <w:spacing w:after="0"/>
              <w:rPr>
                <w:sz w:val="20"/>
                <w:szCs w:val="20"/>
                <w:color w:val="auto"/>
              </w:rPr>
            </w:pPr>
            <w:r>
              <w:rPr>
                <w:rFonts w:ascii="Arial" w:cs="Arial" w:eastAsia="Arial" w:hAnsi="Arial"/>
                <w:sz w:val="12"/>
                <w:szCs w:val="12"/>
                <w:color w:val="auto"/>
              </w:rPr>
              <w:t>2024</w:t>
            </w:r>
          </w:p>
        </w:tc>
        <w:tc>
          <w:tcPr>
            <w:tcW w:w="4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31,691</w:t>
            </w:r>
          </w:p>
        </w:tc>
        <w:tc>
          <w:tcPr>
            <w:tcW w:w="120" w:type="dxa"/>
            <w:vAlign w:val="bottom"/>
          </w:tcPr>
          <w:p>
            <w:pPr>
              <w:spacing w:after="0"/>
              <w:rPr>
                <w:sz w:val="13"/>
                <w:szCs w:val="13"/>
                <w:color w:val="auto"/>
              </w:rPr>
            </w:pPr>
          </w:p>
        </w:tc>
      </w:tr>
      <w:tr>
        <w:trPr>
          <w:trHeight w:val="154"/>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2025</w:t>
            </w:r>
          </w:p>
        </w:tc>
        <w:tc>
          <w:tcPr>
            <w:tcW w:w="4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23,102</w:t>
            </w:r>
          </w:p>
        </w:tc>
        <w:tc>
          <w:tcPr>
            <w:tcW w:w="120" w:type="dxa"/>
            <w:vAlign w:val="bottom"/>
            <w:shd w:val="clear" w:color="auto" w:fill="CFF0FC"/>
          </w:tcPr>
          <w:p>
            <w:pPr>
              <w:spacing w:after="0"/>
              <w:rPr>
                <w:sz w:val="13"/>
                <w:szCs w:val="13"/>
                <w:color w:val="auto"/>
              </w:rPr>
            </w:pPr>
          </w:p>
        </w:tc>
      </w:tr>
      <w:tr>
        <w:trPr>
          <w:trHeight w:val="154"/>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Thereafter</w:t>
            </w:r>
          </w:p>
        </w:tc>
        <w:tc>
          <w:tcPr>
            <w:tcW w:w="4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15,787</w:t>
            </w:r>
          </w:p>
        </w:tc>
        <w:tc>
          <w:tcPr>
            <w:tcW w:w="120" w:type="dxa"/>
            <w:vAlign w:val="bottom"/>
            <w:tcBorders>
              <w:bottom w:val="single" w:sz="8" w:color="CFF0FC"/>
            </w:tcBorders>
          </w:tcPr>
          <w:p>
            <w:pPr>
              <w:spacing w:after="0"/>
              <w:rPr>
                <w:sz w:val="13"/>
                <w:szCs w:val="13"/>
                <w:color w:val="auto"/>
              </w:rPr>
            </w:pPr>
          </w:p>
        </w:tc>
      </w:tr>
      <w:tr>
        <w:trPr>
          <w:trHeight w:val="143"/>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Total minimum lease payments</w:t>
            </w:r>
          </w:p>
        </w:tc>
        <w:tc>
          <w:tcPr>
            <w:tcW w:w="4140" w:type="dxa"/>
            <w:vAlign w:val="bottom"/>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195,565</w:t>
            </w:r>
          </w:p>
        </w:tc>
        <w:tc>
          <w:tcPr>
            <w:tcW w:w="120" w:type="dxa"/>
            <w:vAlign w:val="bottom"/>
            <w:shd w:val="clear" w:color="auto" w:fill="CFF0FC"/>
          </w:tcPr>
          <w:p>
            <w:pPr>
              <w:spacing w:after="0"/>
              <w:rPr>
                <w:sz w:val="12"/>
                <w:szCs w:val="12"/>
                <w:color w:val="auto"/>
              </w:rPr>
            </w:pPr>
          </w:p>
        </w:tc>
      </w:tr>
      <w:tr>
        <w:trPr>
          <w:trHeight w:val="154"/>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amount of lease payments representing interest</w:t>
            </w:r>
          </w:p>
        </w:tc>
        <w:tc>
          <w:tcPr>
            <w:tcW w:w="4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27,378</w:t>
            </w:r>
          </w:p>
        </w:tc>
        <w:tc>
          <w:tcPr>
            <w:tcW w:w="120" w:type="dxa"/>
            <w:vAlign w:val="bottom"/>
            <w:tcBorders>
              <w:bottom w:val="single" w:sz="8" w:color="CFF0FC"/>
            </w:tcBorders>
          </w:tcPr>
          <w:p>
            <w:pPr>
              <w:spacing w:after="0"/>
              <w:rPr>
                <w:sz w:val="13"/>
                <w:szCs w:val="13"/>
                <w:color w:val="auto"/>
              </w:rPr>
            </w:pPr>
          </w:p>
        </w:tc>
      </w:tr>
      <w:tr>
        <w:trPr>
          <w:trHeight w:val="143"/>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Present value of future minimum lease payments</w:t>
            </w:r>
          </w:p>
        </w:tc>
        <w:tc>
          <w:tcPr>
            <w:tcW w:w="4140" w:type="dxa"/>
            <w:vAlign w:val="bottom"/>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168,187</w:t>
            </w:r>
          </w:p>
        </w:tc>
        <w:tc>
          <w:tcPr>
            <w:tcW w:w="120" w:type="dxa"/>
            <w:vAlign w:val="bottom"/>
            <w:shd w:val="clear" w:color="auto" w:fill="CFF0FC"/>
          </w:tcPr>
          <w:p>
            <w:pPr>
              <w:spacing w:after="0"/>
              <w:rPr>
                <w:sz w:val="12"/>
                <w:szCs w:val="12"/>
                <w:color w:val="auto"/>
              </w:rPr>
            </w:pPr>
          </w:p>
        </w:tc>
      </w:tr>
      <w:tr>
        <w:trPr>
          <w:trHeight w:val="154"/>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current obligations under leases</w:t>
            </w:r>
          </w:p>
        </w:tc>
        <w:tc>
          <w:tcPr>
            <w:tcW w:w="4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38,331</w:t>
            </w:r>
          </w:p>
        </w:tc>
        <w:tc>
          <w:tcPr>
            <w:tcW w:w="120" w:type="dxa"/>
            <w:vAlign w:val="bottom"/>
            <w:tcBorders>
              <w:bottom w:val="single" w:sz="8" w:color="CFF0FC"/>
            </w:tcBorders>
          </w:tcPr>
          <w:p>
            <w:pPr>
              <w:spacing w:after="0"/>
              <w:rPr>
                <w:sz w:val="13"/>
                <w:szCs w:val="13"/>
                <w:color w:val="auto"/>
              </w:rPr>
            </w:pPr>
          </w:p>
        </w:tc>
      </w:tr>
      <w:tr>
        <w:trPr>
          <w:trHeight w:val="143"/>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Long-term lease obligations</w:t>
            </w:r>
          </w:p>
        </w:tc>
        <w:tc>
          <w:tcPr>
            <w:tcW w:w="4140" w:type="dxa"/>
            <w:vAlign w:val="bottom"/>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129,856</w:t>
            </w:r>
          </w:p>
        </w:tc>
        <w:tc>
          <w:tcPr>
            <w:tcW w:w="120" w:type="dxa"/>
            <w:vAlign w:val="bottom"/>
            <w:shd w:val="clear" w:color="auto" w:fill="CFF0FC"/>
          </w:tcPr>
          <w:p>
            <w:pPr>
              <w:spacing w:after="0"/>
              <w:rPr>
                <w:sz w:val="12"/>
                <w:szCs w:val="12"/>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Long-Term Incentive Plans</w:t>
      </w:r>
    </w:p>
    <w:p>
      <w:pPr>
        <w:spacing w:after="0" w:line="83"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 xml:space="preserve">The following is a summary of the Company’s Long-Term Incentive Plan (“LTIP”). All equity awards granted under long-term incentive plans are issued from the Company’s stockholder-approved 2016 Incentive Compensation Plan. See Note 6, </w:t>
      </w:r>
      <w:r>
        <w:rPr>
          <w:rFonts w:ascii="Arial" w:cs="Arial" w:eastAsia="Arial" w:hAnsi="Arial"/>
          <w:sz w:val="12"/>
          <w:szCs w:val="12"/>
          <w:i w:val="1"/>
          <w:iCs w:val="1"/>
          <w:color w:val="auto"/>
        </w:rPr>
        <w:t>Stock-Based Compensation</w:t>
      </w:r>
      <w:r>
        <w:rPr>
          <w:rFonts w:ascii="Arial" w:cs="Arial" w:eastAsia="Arial" w:hAnsi="Arial"/>
          <w:sz w:val="12"/>
          <w:szCs w:val="12"/>
          <w:color w:val="auto"/>
        </w:rPr>
        <w:t>.</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At May 1, 2021, the Company has three active LTIPs: 2019-2021 LTIP, 2020-2022 LTIP and the 2021-2023 LTIP. Each participant in the plan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The time-based awards under the 2019-2021 LTIP were granted in a combination of 50% RSUs and 50% cash. For the 2020-2022 LTIP, the time-based awards were granted in a combination of 50% stock options and 50% cash, and for the 2021-2023 LTIP the time-based awards were granted in a combination of 25% stock options and 75% cash.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2"/>
          <w:szCs w:val="12"/>
          <w:color w:val="auto"/>
        </w:rPr>
        <w:t>Performance targets for the 2019-2021 LTIP, 2020-2022 LTIP and 2021-2023 LTIP were established and approved by the Compensation Committee on August 7, 2019, June 11, 2020, and March 8, 2021, respectively. The performance period for each LTIP is three years. Awards for any achievement of performance targets will not be granted until the performance targets are achieved and then will be subject to additional vesting through August 31, 2022, August 31, 2023 and August, 31, 2024, respectively. The time-based awards under the 2019-2021 LTIP, 2020-2022 LTIP and 2021-2023 LTIP vest in four equal installments through April 1, 2023, April 1, 2024 and April 1, 2025, respectively. Assuming that the Company achieves the performance targets at target levels and all time-based awards vest, the compensation expense associated with the 2019-2021 LTIP, 2020-2022 LTIP and 2021-2023 LTIP is estimated to be approximately $3.8 million, $3.8 million and $4.0 million, respectively. Approximately half of the compensation expense for each LTIP relates to the time-based awards, which are being expensed straight-line over 44 months, 46 months and 49 months, respectively.</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At May 1, 2021, the performance targets under the 2019-2021 LTIP was not deemed probable and, therefore, no accrual related to performance awards has been recorded. The Company has accrued $0.3 million under the 2020-2022 LTIP and $0.1 million under the 2021-2023 LTIP for the performance awards.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Stock-Based Compensation</w:t>
      </w:r>
    </w:p>
    <w:p>
      <w:pPr>
        <w:spacing w:after="0" w:line="156"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The Company has one active stock-based compensation plan: the 2016 Incentive Compensation Plan (the “2016 Plan”). The initial share reserve under the 2016 Plan was 5,725,538 shares of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The Company’s shareholders approved amendments to increase the share reserve by 2,800,000 shares on August 8, 2019 and by an additional 1,740,000 shares on August 12, 2020. At May 1, 2021, the Company had 22,901 shares available under the 2016 Plan.</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 basis and full-value awards being added back on a 1 to 1.9 basis. At May 1, 2021, 412,826 stock options remained outstanding under the 2006 Plan.</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summarize the share activity and stock option activity for the first three months of fiscal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0"/>
                <w:szCs w:val="10"/>
                <w:color w:val="auto"/>
                <w:w w:val="85"/>
              </w:rPr>
              <w:t>Weighted-average</w:t>
            </w:r>
          </w:p>
        </w:tc>
        <w:tc>
          <w:tcPr>
            <w:tcW w:w="0" w:type="dxa"/>
            <w:vAlign w:val="bottom"/>
          </w:tcPr>
          <w:p>
            <w:pPr>
              <w:spacing w:after="0"/>
              <w:rPr>
                <w:sz w:val="1"/>
                <w:szCs w:val="1"/>
                <w:color w:val="auto"/>
              </w:rPr>
            </w:pPr>
          </w:p>
        </w:tc>
      </w:tr>
      <w:tr>
        <w:trPr>
          <w:trHeight w:val="103"/>
        </w:trPr>
        <w:tc>
          <w:tcPr>
            <w:tcW w:w="5340" w:type="dxa"/>
            <w:vAlign w:val="bottom"/>
          </w:tcPr>
          <w:p>
            <w:pPr>
              <w:spacing w:after="0"/>
              <w:rPr>
                <w:sz w:val="8"/>
                <w:szCs w:val="8"/>
                <w:color w:val="auto"/>
              </w:rPr>
            </w:pPr>
          </w:p>
        </w:tc>
        <w:tc>
          <w:tcPr>
            <w:tcW w:w="1260" w:type="dxa"/>
            <w:vAlign w:val="bottom"/>
            <w:gridSpan w:val="2"/>
            <w:vMerge w:val="restart"/>
          </w:tcPr>
          <w:p>
            <w:pPr>
              <w:jc w:val="right"/>
              <w:ind w:right="580"/>
              <w:spacing w:after="0"/>
              <w:rPr>
                <w:sz w:val="20"/>
                <w:szCs w:val="20"/>
                <w:color w:val="auto"/>
              </w:rPr>
            </w:pPr>
            <w:r>
              <w:rPr>
                <w:rFonts w:ascii="Arial" w:cs="Arial" w:eastAsia="Arial" w:hAnsi="Arial"/>
                <w:sz w:val="10"/>
                <w:szCs w:val="10"/>
                <w:color w:val="auto"/>
              </w:rPr>
              <w:t xml:space="preserve">RSUs </w:t>
            </w:r>
            <w:r>
              <w:rPr>
                <w:rFonts w:ascii="Arial" w:cs="Arial" w:eastAsia="Arial" w:hAnsi="Arial"/>
                <w:sz w:val="8"/>
                <w:szCs w:val="8"/>
                <w:color w:val="auto"/>
              </w:rPr>
              <w:t>(1)</w:t>
            </w:r>
          </w:p>
        </w:tc>
        <w:tc>
          <w:tcPr>
            <w:tcW w:w="1140" w:type="dxa"/>
            <w:vAlign w:val="bottom"/>
            <w:gridSpan w:val="2"/>
            <w:vMerge w:val="restart"/>
          </w:tcPr>
          <w:p>
            <w:pPr>
              <w:ind w:left="120"/>
              <w:spacing w:after="0"/>
              <w:rPr>
                <w:sz w:val="20"/>
                <w:szCs w:val="20"/>
                <w:color w:val="auto"/>
              </w:rPr>
            </w:pPr>
            <w:r>
              <w:rPr>
                <w:rFonts w:ascii="Arial" w:cs="Arial" w:eastAsia="Arial" w:hAnsi="Arial"/>
                <w:sz w:val="10"/>
                <w:szCs w:val="10"/>
                <w:color w:val="auto"/>
              </w:rPr>
              <w:t xml:space="preserve">Deferred shares </w:t>
            </w:r>
            <w:r>
              <w:rPr>
                <w:rFonts w:ascii="Arial" w:cs="Arial" w:eastAsia="Arial" w:hAnsi="Arial"/>
                <w:sz w:val="8"/>
                <w:szCs w:val="8"/>
                <w:color w:val="auto"/>
              </w:rPr>
              <w:t>(2)</w:t>
            </w:r>
          </w:p>
        </w:tc>
        <w:tc>
          <w:tcPr>
            <w:tcW w:w="1280" w:type="dxa"/>
            <w:vAlign w:val="bottom"/>
            <w:gridSpan w:val="2"/>
          </w:tcPr>
          <w:p>
            <w:pPr>
              <w:ind w:left="40"/>
              <w:spacing w:after="0" w:line="104" w:lineRule="exact"/>
              <w:rPr>
                <w:sz w:val="20"/>
                <w:szCs w:val="20"/>
                <w:color w:val="auto"/>
              </w:rPr>
            </w:pPr>
            <w:r>
              <w:rPr>
                <w:rFonts w:ascii="Arial" w:cs="Arial" w:eastAsia="Arial" w:hAnsi="Arial"/>
                <w:sz w:val="10"/>
                <w:szCs w:val="10"/>
                <w:color w:val="auto"/>
              </w:rPr>
              <w:t>Performance Share Units</w:t>
            </w:r>
          </w:p>
        </w:tc>
        <w:tc>
          <w:tcPr>
            <w:tcW w:w="1260" w:type="dxa"/>
            <w:vAlign w:val="bottom"/>
            <w:gridSpan w:val="2"/>
            <w:vMerge w:val="restart"/>
          </w:tcPr>
          <w:p>
            <w:pPr>
              <w:jc w:val="right"/>
              <w:ind w:right="300"/>
              <w:spacing w:after="0"/>
              <w:rPr>
                <w:sz w:val="20"/>
                <w:szCs w:val="20"/>
                <w:color w:val="auto"/>
              </w:rPr>
            </w:pPr>
            <w:r>
              <w:rPr>
                <w:rFonts w:ascii="Arial" w:cs="Arial" w:eastAsia="Arial" w:hAnsi="Arial"/>
                <w:sz w:val="10"/>
                <w:szCs w:val="10"/>
                <w:color w:val="auto"/>
                <w:w w:val="91"/>
              </w:rPr>
              <w:t>Total number of shares</w:t>
            </w:r>
          </w:p>
        </w:tc>
        <w:tc>
          <w:tcPr>
            <w:tcW w:w="80" w:type="dxa"/>
            <w:vAlign w:val="bottom"/>
          </w:tcPr>
          <w:p>
            <w:pPr>
              <w:spacing w:after="0"/>
              <w:rPr>
                <w:sz w:val="8"/>
                <w:szCs w:val="8"/>
                <w:color w:val="auto"/>
              </w:rPr>
            </w:pPr>
          </w:p>
        </w:tc>
        <w:tc>
          <w:tcPr>
            <w:tcW w:w="940" w:type="dxa"/>
            <w:vAlign w:val="bottom"/>
            <w:gridSpan w:val="2"/>
          </w:tcPr>
          <w:p>
            <w:pPr>
              <w:jc w:val="center"/>
              <w:ind w:right="220"/>
              <w:spacing w:after="0" w:line="104" w:lineRule="exact"/>
              <w:rPr>
                <w:sz w:val="20"/>
                <w:szCs w:val="20"/>
                <w:color w:val="auto"/>
              </w:rPr>
            </w:pPr>
            <w:r>
              <w:rPr>
                <w:rFonts w:ascii="Arial" w:cs="Arial" w:eastAsia="Arial" w:hAnsi="Arial"/>
                <w:sz w:val="10"/>
                <w:szCs w:val="10"/>
                <w:color w:val="auto"/>
                <w:w w:val="87"/>
              </w:rPr>
              <w:t>grant-date</w:t>
            </w:r>
          </w:p>
        </w:tc>
        <w:tc>
          <w:tcPr>
            <w:tcW w:w="0" w:type="dxa"/>
            <w:vAlign w:val="bottom"/>
          </w:tcPr>
          <w:p>
            <w:pPr>
              <w:spacing w:after="0"/>
              <w:rPr>
                <w:sz w:val="1"/>
                <w:szCs w:val="1"/>
                <w:color w:val="auto"/>
              </w:rPr>
            </w:pPr>
          </w:p>
        </w:tc>
      </w:tr>
      <w:tr>
        <w:trPr>
          <w:trHeight w:val="109"/>
        </w:trPr>
        <w:tc>
          <w:tcPr>
            <w:tcW w:w="5340" w:type="dxa"/>
            <w:vAlign w:val="bottom"/>
            <w:vMerge w:val="restart"/>
          </w:tcPr>
          <w:p>
            <w:pPr>
              <w:spacing w:after="0"/>
              <w:rPr>
                <w:sz w:val="20"/>
                <w:szCs w:val="20"/>
                <w:color w:val="auto"/>
              </w:rPr>
            </w:pPr>
            <w:r>
              <w:rPr>
                <w:rFonts w:ascii="Arial" w:cs="Arial" w:eastAsia="Arial" w:hAnsi="Arial"/>
                <w:sz w:val="12"/>
                <w:szCs w:val="12"/>
                <w:b w:val="1"/>
                <w:bCs w:val="1"/>
                <w:color w:val="auto"/>
              </w:rPr>
              <w:t>Shares</w:t>
            </w:r>
          </w:p>
        </w:tc>
        <w:tc>
          <w:tcPr>
            <w:tcW w:w="126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040" w:type="dxa"/>
            <w:vAlign w:val="bottom"/>
          </w:tcPr>
          <w:p>
            <w:pPr>
              <w:jc w:val="right"/>
              <w:ind w:right="424"/>
              <w:spacing w:after="0"/>
              <w:rPr>
                <w:sz w:val="20"/>
                <w:szCs w:val="20"/>
                <w:color w:val="auto"/>
              </w:rPr>
            </w:pPr>
            <w:r>
              <w:rPr>
                <w:rFonts w:ascii="Arial" w:cs="Arial" w:eastAsia="Arial" w:hAnsi="Arial"/>
                <w:sz w:val="8"/>
                <w:szCs w:val="8"/>
                <w:color w:val="auto"/>
              </w:rPr>
              <w:t>(3)</w:t>
            </w: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220"/>
              <w:spacing w:after="0" w:line="109" w:lineRule="exact"/>
              <w:rPr>
                <w:sz w:val="20"/>
                <w:szCs w:val="20"/>
                <w:color w:val="auto"/>
              </w:rPr>
            </w:pPr>
            <w:r>
              <w:rPr>
                <w:rFonts w:ascii="Arial" w:cs="Arial" w:eastAsia="Arial" w:hAnsi="Arial"/>
                <w:sz w:val="10"/>
                <w:szCs w:val="10"/>
                <w:color w:val="auto"/>
                <w:w w:val="88"/>
              </w:rPr>
              <w:t>fair value</w:t>
            </w:r>
          </w:p>
        </w:tc>
        <w:tc>
          <w:tcPr>
            <w:tcW w:w="0" w:type="dxa"/>
            <w:vAlign w:val="bottom"/>
          </w:tcPr>
          <w:p>
            <w:pPr>
              <w:spacing w:after="0"/>
              <w:rPr>
                <w:sz w:val="1"/>
                <w:szCs w:val="1"/>
                <w:color w:val="auto"/>
              </w:rPr>
            </w:pPr>
          </w:p>
        </w:tc>
      </w:tr>
      <w:tr>
        <w:trPr>
          <w:trHeight w:val="143"/>
        </w:trPr>
        <w:tc>
          <w:tcPr>
            <w:tcW w:w="5340" w:type="dxa"/>
            <w:vAlign w:val="bottom"/>
            <w:vMerge w:val="continue"/>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3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Outstanding non-vested shares at beginning of year</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815,292</w:t>
            </w: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435,568</w:t>
            </w: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720,000</w:t>
            </w:r>
          </w:p>
        </w:tc>
        <w:tc>
          <w:tcPr>
            <w:tcW w:w="24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1,970,860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340" w:type="dxa"/>
            <w:vAlign w:val="bottom"/>
          </w:tcPr>
          <w:p>
            <w:pPr>
              <w:ind w:left="160"/>
              <w:spacing w:after="0"/>
              <w:rPr>
                <w:sz w:val="20"/>
                <w:szCs w:val="20"/>
                <w:color w:val="auto"/>
              </w:rPr>
            </w:pPr>
            <w:r>
              <w:rPr>
                <w:rFonts w:ascii="Arial" w:cs="Arial" w:eastAsia="Arial" w:hAnsi="Arial"/>
                <w:sz w:val="12"/>
                <w:szCs w:val="12"/>
                <w:color w:val="auto"/>
              </w:rPr>
              <w:t>Shares granted</w:t>
            </w:r>
          </w:p>
        </w:tc>
        <w:tc>
          <w:tcPr>
            <w:tcW w:w="1040" w:type="dxa"/>
            <w:vAlign w:val="bottom"/>
          </w:tcPr>
          <w:p>
            <w:pPr>
              <w:jc w:val="right"/>
              <w:spacing w:after="0"/>
              <w:rPr>
                <w:sz w:val="20"/>
                <w:szCs w:val="20"/>
                <w:color w:val="auto"/>
              </w:rPr>
            </w:pPr>
            <w:r>
              <w:rPr>
                <w:rFonts w:ascii="Arial" w:cs="Arial" w:eastAsia="Arial" w:hAnsi="Arial"/>
                <w:sz w:val="12"/>
                <w:szCs w:val="12"/>
                <w:color w:val="auto"/>
              </w:rPr>
              <w:t>8,054</w:t>
            </w:r>
          </w:p>
        </w:tc>
        <w:tc>
          <w:tcPr>
            <w:tcW w:w="22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8,054</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0.66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3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Shares vested/issued</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(308,055)</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(308,055)</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340" w:type="dxa"/>
            <w:vAlign w:val="bottom"/>
          </w:tcPr>
          <w:p>
            <w:pPr>
              <w:ind w:left="160"/>
              <w:spacing w:after="0"/>
              <w:rPr>
                <w:sz w:val="20"/>
                <w:szCs w:val="20"/>
                <w:color w:val="auto"/>
              </w:rPr>
            </w:pPr>
            <w:r>
              <w:rPr>
                <w:rFonts w:ascii="Arial" w:cs="Arial" w:eastAsia="Arial" w:hAnsi="Arial"/>
                <w:sz w:val="12"/>
                <w:szCs w:val="12"/>
                <w:color w:val="auto"/>
              </w:rPr>
              <w:t>Shares canceled</w:t>
            </w: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5340" w:type="dxa"/>
            <w:vAlign w:val="bottom"/>
            <w:tcBorders>
              <w:top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Outstanding non-vested shares at end of quarter</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515,291</w:t>
            </w:r>
          </w:p>
        </w:tc>
        <w:tc>
          <w:tcPr>
            <w:tcW w:w="220" w:type="dxa"/>
            <w:vAlign w:val="bottom"/>
            <w:tcBorders>
              <w:top w:val="single" w:sz="8" w:color="CFF0FC"/>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435,568</w:t>
            </w:r>
          </w:p>
        </w:tc>
        <w:tc>
          <w:tcPr>
            <w:tcW w:w="18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720,000</w:t>
            </w:r>
          </w:p>
        </w:tc>
        <w:tc>
          <w:tcPr>
            <w:tcW w:w="24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1,670,859</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1.58</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740" w:hanging="376"/>
        <w:spacing w:after="0"/>
        <w:tabs>
          <w:tab w:leader="none" w:pos="740"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During the first three months of fiscal 2021, the vesting of RSUs was primarily related to the time-based awards under the Company’s LTIP plans, see Note 5, </w:t>
      </w:r>
      <w:r>
        <w:rPr>
          <w:rFonts w:ascii="Arial" w:cs="Arial" w:eastAsia="Arial" w:hAnsi="Arial"/>
          <w:sz w:val="12"/>
          <w:szCs w:val="12"/>
          <w:i w:val="1"/>
          <w:iCs w:val="1"/>
          <w:color w:val="auto"/>
        </w:rPr>
        <w:t>Long-Term Incentive Plans</w:t>
      </w:r>
      <w:r>
        <w:rPr>
          <w:rFonts w:ascii="Arial" w:cs="Arial" w:eastAsia="Arial" w:hAnsi="Arial"/>
          <w:sz w:val="12"/>
          <w:szCs w:val="12"/>
          <w:color w:val="auto"/>
        </w:rPr>
        <w:t>.</w:t>
      </w:r>
    </w:p>
    <w:p>
      <w:pPr>
        <w:spacing w:after="0" w:line="79" w:lineRule="exact"/>
        <w:rPr>
          <w:rFonts w:ascii="Arial" w:cs="Arial" w:eastAsia="Arial" w:hAnsi="Arial"/>
          <w:sz w:val="12"/>
          <w:szCs w:val="12"/>
          <w:color w:val="auto"/>
        </w:rPr>
      </w:pPr>
    </w:p>
    <w:p>
      <w:pPr>
        <w:ind w:left="740" w:right="20" w:hanging="376"/>
        <w:spacing w:after="0" w:line="279" w:lineRule="auto"/>
        <w:tabs>
          <w:tab w:leader="none" w:pos="74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compensation to certain directors in lieu of cash, in accordance with their irrevocable elections. Beginning in fiscal 2021, all equity issued to directors for compensation, in lieu of cash, is issued only from the Non-Employee Director Compensation Plan. The outstanding deferred shares will vest upon the director’s separation from service.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15" w:name="page16"/>
    <w:bookmarkEnd w:id="15"/>
    <w:p>
      <w:pPr>
        <w:jc w:val="both"/>
        <w:ind w:left="740" w:hanging="376"/>
        <w:spacing w:after="0" w:line="258" w:lineRule="auto"/>
        <w:tabs>
          <w:tab w:leader="none" w:pos="74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720,000 shares of performance stock units (“PSUs”), with a fair value of $1.0 million, represent a sign-on grant to Mr. Kanter. The PSUs vest in installments when the following milestones are met: one-third of the PSUs vest when the trailing 90-day volume-weighted average closing stock price (“VWAP”) is $4.00, one-third of the PSUs vest when the VWAP is $6.00 and one-third when the VWAP is $8.00. All PSUs will expire on April 1, 2023 if no performance metric is achieved. The $1.0 million is being expensed over the respective derived service periods of each tranche of 16 months, 25 months and 30 months, respectively. The respective fair value and derived service periods assigned to the PSUs were determined using a Monte Carlo model based on: the Company’s historical volatility of 55.9%, a term of 4.1 years, stock price on the date of grant of $2.50 per share, a risk-free rate of 2.5% and a cost of equity of 9.5%.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9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0"/>
                <w:szCs w:val="10"/>
                <w:color w:val="auto"/>
                <w:w w:val="85"/>
              </w:rPr>
              <w:t>Weighted-average</w:t>
            </w:r>
          </w:p>
        </w:tc>
        <w:tc>
          <w:tcPr>
            <w:tcW w:w="1160" w:type="dxa"/>
            <w:vAlign w:val="bottom"/>
          </w:tcPr>
          <w:p>
            <w:pPr>
              <w:jc w:val="center"/>
              <w:spacing w:after="0"/>
              <w:rPr>
                <w:sz w:val="20"/>
                <w:szCs w:val="20"/>
                <w:color w:val="auto"/>
              </w:rPr>
            </w:pPr>
            <w:r>
              <w:rPr>
                <w:rFonts w:ascii="Arial" w:cs="Arial" w:eastAsia="Arial" w:hAnsi="Arial"/>
                <w:sz w:val="10"/>
                <w:szCs w:val="10"/>
                <w:color w:val="auto"/>
                <w:w w:val="85"/>
              </w:rPr>
              <w:t>Weighted-average</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00"/>
        </w:trPr>
        <w:tc>
          <w:tcPr>
            <w:tcW w:w="5920" w:type="dxa"/>
            <w:vAlign w:val="bottom"/>
          </w:tcPr>
          <w:p>
            <w:pPr>
              <w:spacing w:after="0"/>
              <w:rPr>
                <w:sz w:val="8"/>
                <w:szCs w:val="8"/>
                <w:color w:val="auto"/>
              </w:rPr>
            </w:pPr>
          </w:p>
        </w:tc>
        <w:tc>
          <w:tcPr>
            <w:tcW w:w="1400" w:type="dxa"/>
            <w:vAlign w:val="bottom"/>
            <w:gridSpan w:val="2"/>
          </w:tcPr>
          <w:p>
            <w:pPr>
              <w:jc w:val="right"/>
              <w:ind w:right="600"/>
              <w:spacing w:after="0" w:line="100" w:lineRule="exact"/>
              <w:rPr>
                <w:sz w:val="20"/>
                <w:szCs w:val="20"/>
                <w:color w:val="auto"/>
              </w:rPr>
            </w:pPr>
            <w:r>
              <w:rPr>
                <w:rFonts w:ascii="Arial" w:cs="Arial" w:eastAsia="Arial" w:hAnsi="Arial"/>
                <w:sz w:val="10"/>
                <w:szCs w:val="10"/>
                <w:color w:val="auto"/>
              </w:rPr>
              <w:t>Number of</w:t>
            </w:r>
          </w:p>
        </w:tc>
        <w:tc>
          <w:tcPr>
            <w:tcW w:w="120" w:type="dxa"/>
            <w:vAlign w:val="bottom"/>
          </w:tcPr>
          <w:p>
            <w:pPr>
              <w:spacing w:after="0"/>
              <w:rPr>
                <w:sz w:val="8"/>
                <w:szCs w:val="8"/>
                <w:color w:val="auto"/>
              </w:rPr>
            </w:pPr>
          </w:p>
        </w:tc>
        <w:tc>
          <w:tcPr>
            <w:tcW w:w="1160" w:type="dxa"/>
            <w:vAlign w:val="bottom"/>
            <w:gridSpan w:val="2"/>
          </w:tcPr>
          <w:p>
            <w:pPr>
              <w:jc w:val="center"/>
              <w:ind w:right="320"/>
              <w:spacing w:after="0" w:line="100" w:lineRule="exact"/>
              <w:rPr>
                <w:sz w:val="20"/>
                <w:szCs w:val="20"/>
                <w:color w:val="auto"/>
              </w:rPr>
            </w:pPr>
            <w:r>
              <w:rPr>
                <w:rFonts w:ascii="Arial" w:cs="Arial" w:eastAsia="Arial" w:hAnsi="Arial"/>
                <w:sz w:val="10"/>
                <w:szCs w:val="10"/>
                <w:color w:val="auto"/>
                <w:w w:val="84"/>
              </w:rPr>
              <w:t>exercise price</w:t>
            </w:r>
          </w:p>
        </w:tc>
        <w:tc>
          <w:tcPr>
            <w:tcW w:w="1160" w:type="dxa"/>
            <w:vAlign w:val="bottom"/>
          </w:tcPr>
          <w:p>
            <w:pPr>
              <w:jc w:val="center"/>
              <w:spacing w:after="0" w:line="100" w:lineRule="exact"/>
              <w:rPr>
                <w:sz w:val="20"/>
                <w:szCs w:val="20"/>
                <w:color w:val="auto"/>
              </w:rPr>
            </w:pPr>
            <w:r>
              <w:rPr>
                <w:rFonts w:ascii="Arial" w:cs="Arial" w:eastAsia="Arial" w:hAnsi="Arial"/>
                <w:sz w:val="10"/>
                <w:szCs w:val="10"/>
                <w:color w:val="auto"/>
                <w:w w:val="90"/>
              </w:rPr>
              <w:t>remaining</w:t>
            </w: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300"/>
              <w:spacing w:after="0" w:line="100" w:lineRule="exact"/>
              <w:rPr>
                <w:sz w:val="20"/>
                <w:szCs w:val="20"/>
                <w:color w:val="auto"/>
              </w:rPr>
            </w:pPr>
            <w:r>
              <w:rPr>
                <w:rFonts w:ascii="Arial" w:cs="Arial" w:eastAsia="Arial" w:hAnsi="Arial"/>
                <w:sz w:val="10"/>
                <w:szCs w:val="10"/>
                <w:color w:val="auto"/>
                <w:w w:val="86"/>
              </w:rPr>
              <w:t>Aggregate</w:t>
            </w:r>
          </w:p>
        </w:tc>
      </w:tr>
      <w:tr>
        <w:trPr>
          <w:trHeight w:val="112"/>
        </w:trPr>
        <w:tc>
          <w:tcPr>
            <w:tcW w:w="5920" w:type="dxa"/>
            <w:vAlign w:val="bottom"/>
          </w:tcPr>
          <w:p>
            <w:pPr>
              <w:spacing w:after="0"/>
              <w:rPr>
                <w:sz w:val="9"/>
                <w:szCs w:val="9"/>
                <w:color w:val="auto"/>
              </w:rPr>
            </w:pPr>
          </w:p>
        </w:tc>
        <w:tc>
          <w:tcPr>
            <w:tcW w:w="1400" w:type="dxa"/>
            <w:vAlign w:val="bottom"/>
            <w:gridSpan w:val="2"/>
          </w:tcPr>
          <w:p>
            <w:pPr>
              <w:jc w:val="right"/>
              <w:ind w:right="700"/>
              <w:spacing w:after="0" w:line="113" w:lineRule="exact"/>
              <w:rPr>
                <w:sz w:val="20"/>
                <w:szCs w:val="20"/>
                <w:color w:val="auto"/>
              </w:rPr>
            </w:pPr>
            <w:r>
              <w:rPr>
                <w:rFonts w:ascii="Arial" w:cs="Arial" w:eastAsia="Arial" w:hAnsi="Arial"/>
                <w:sz w:val="10"/>
                <w:szCs w:val="10"/>
                <w:color w:val="auto"/>
              </w:rPr>
              <w:t>shares</w:t>
            </w:r>
          </w:p>
        </w:tc>
        <w:tc>
          <w:tcPr>
            <w:tcW w:w="120" w:type="dxa"/>
            <w:vAlign w:val="bottom"/>
          </w:tcPr>
          <w:p>
            <w:pPr>
              <w:spacing w:after="0"/>
              <w:rPr>
                <w:sz w:val="9"/>
                <w:szCs w:val="9"/>
                <w:color w:val="auto"/>
              </w:rPr>
            </w:pPr>
          </w:p>
        </w:tc>
        <w:tc>
          <w:tcPr>
            <w:tcW w:w="1160" w:type="dxa"/>
            <w:vAlign w:val="bottom"/>
            <w:gridSpan w:val="2"/>
          </w:tcPr>
          <w:p>
            <w:pPr>
              <w:jc w:val="center"/>
              <w:ind w:right="320"/>
              <w:spacing w:after="0" w:line="113" w:lineRule="exact"/>
              <w:rPr>
                <w:sz w:val="20"/>
                <w:szCs w:val="20"/>
                <w:color w:val="auto"/>
              </w:rPr>
            </w:pPr>
            <w:r>
              <w:rPr>
                <w:rFonts w:ascii="Arial" w:cs="Arial" w:eastAsia="Arial" w:hAnsi="Arial"/>
                <w:sz w:val="10"/>
                <w:szCs w:val="10"/>
                <w:color w:val="auto"/>
                <w:w w:val="89"/>
              </w:rPr>
              <w:t>per option</w:t>
            </w:r>
          </w:p>
        </w:tc>
        <w:tc>
          <w:tcPr>
            <w:tcW w:w="1160" w:type="dxa"/>
            <w:vAlign w:val="bottom"/>
          </w:tcPr>
          <w:p>
            <w:pPr>
              <w:jc w:val="center"/>
              <w:spacing w:after="0" w:line="113" w:lineRule="exact"/>
              <w:rPr>
                <w:sz w:val="20"/>
                <w:szCs w:val="20"/>
                <w:color w:val="auto"/>
              </w:rPr>
            </w:pPr>
            <w:r>
              <w:rPr>
                <w:rFonts w:ascii="Arial" w:cs="Arial" w:eastAsia="Arial" w:hAnsi="Arial"/>
                <w:sz w:val="10"/>
                <w:szCs w:val="10"/>
                <w:color w:val="auto"/>
                <w:w w:val="89"/>
              </w:rPr>
              <w:t>contractual term</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tcPr>
          <w:p>
            <w:pPr>
              <w:jc w:val="center"/>
              <w:ind w:right="320"/>
              <w:spacing w:after="0" w:line="113" w:lineRule="exact"/>
              <w:rPr>
                <w:sz w:val="20"/>
                <w:szCs w:val="20"/>
                <w:color w:val="auto"/>
              </w:rPr>
            </w:pPr>
            <w:r>
              <w:rPr>
                <w:rFonts w:ascii="Arial" w:cs="Arial" w:eastAsia="Arial" w:hAnsi="Arial"/>
                <w:sz w:val="10"/>
                <w:szCs w:val="10"/>
                <w:color w:val="auto"/>
                <w:w w:val="89"/>
              </w:rPr>
              <w:t>intrinsic value</w:t>
            </w:r>
          </w:p>
        </w:tc>
      </w:tr>
      <w:tr>
        <w:trPr>
          <w:trHeight w:val="143"/>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Stock Options</w:t>
            </w:r>
          </w:p>
        </w:tc>
        <w:tc>
          <w:tcPr>
            <w:tcW w:w="11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5920" w:type="dxa"/>
            <w:vAlign w:val="bottom"/>
          </w:tcPr>
          <w:p>
            <w:pPr>
              <w:ind w:left="160"/>
              <w:spacing w:after="0"/>
              <w:rPr>
                <w:sz w:val="20"/>
                <w:szCs w:val="20"/>
                <w:color w:val="auto"/>
              </w:rPr>
            </w:pPr>
            <w:r>
              <w:rPr>
                <w:rFonts w:ascii="Arial" w:cs="Arial" w:eastAsia="Arial" w:hAnsi="Arial"/>
                <w:sz w:val="12"/>
                <w:szCs w:val="12"/>
                <w:color w:val="auto"/>
              </w:rPr>
              <w:t>Outstanding options at beginning of year</w:t>
            </w:r>
          </w:p>
        </w:tc>
        <w:tc>
          <w:tcPr>
            <w:tcW w:w="1160" w:type="dxa"/>
            <w:vAlign w:val="bottom"/>
          </w:tcPr>
          <w:p>
            <w:pPr>
              <w:jc w:val="right"/>
              <w:spacing w:after="0"/>
              <w:rPr>
                <w:sz w:val="20"/>
                <w:szCs w:val="20"/>
                <w:color w:val="auto"/>
              </w:rPr>
            </w:pPr>
            <w:r>
              <w:rPr>
                <w:rFonts w:ascii="Arial" w:cs="Arial" w:eastAsia="Arial" w:hAnsi="Arial"/>
                <w:sz w:val="12"/>
                <w:szCs w:val="12"/>
                <w:color w:val="auto"/>
              </w:rPr>
              <w:t>3,647,581</w:t>
            </w:r>
          </w:p>
        </w:tc>
        <w:tc>
          <w:tcPr>
            <w:tcW w:w="240" w:type="dxa"/>
            <w:vAlign w:val="bottom"/>
          </w:tcPr>
          <w:p>
            <w:pPr>
              <w:spacing w:after="0"/>
              <w:rPr>
                <w:sz w:val="13"/>
                <w:szCs w:val="13"/>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1.09</w:t>
            </w: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8.5 years</w:t>
            </w: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810,596</w:t>
            </w:r>
          </w:p>
        </w:tc>
        <w:tc>
          <w:tcPr>
            <w:tcW w:w="120" w:type="dxa"/>
            <w:vAlign w:val="bottom"/>
          </w:tcPr>
          <w:p>
            <w:pPr>
              <w:spacing w:after="0"/>
              <w:rPr>
                <w:sz w:val="13"/>
                <w:szCs w:val="13"/>
                <w:color w:val="auto"/>
              </w:rPr>
            </w:pPr>
          </w:p>
        </w:tc>
      </w:tr>
      <w:tr>
        <w:trPr>
          <w:trHeight w:val="154"/>
        </w:trPr>
        <w:tc>
          <w:tcPr>
            <w:tcW w:w="5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 xml:space="preserve">Options granted </w:t>
            </w:r>
            <w:r>
              <w:rPr>
                <w:rFonts w:ascii="Arial" w:cs="Arial" w:eastAsia="Arial" w:hAnsi="Arial"/>
                <w:sz w:val="10"/>
                <w:szCs w:val="10"/>
                <w:color w:val="auto"/>
              </w:rPr>
              <w:t>(1)</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1,518,154</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0.71</w:t>
            </w:r>
          </w:p>
        </w:tc>
        <w:tc>
          <w:tcPr>
            <w:tcW w:w="20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4"/>
        </w:trPr>
        <w:tc>
          <w:tcPr>
            <w:tcW w:w="5920" w:type="dxa"/>
            <w:vAlign w:val="bottom"/>
          </w:tcPr>
          <w:p>
            <w:pPr>
              <w:ind w:left="160"/>
              <w:spacing w:after="0"/>
              <w:rPr>
                <w:sz w:val="20"/>
                <w:szCs w:val="20"/>
                <w:color w:val="auto"/>
              </w:rPr>
            </w:pPr>
            <w:r>
              <w:rPr>
                <w:rFonts w:ascii="Arial" w:cs="Arial" w:eastAsia="Arial" w:hAnsi="Arial"/>
                <w:sz w:val="12"/>
                <w:szCs w:val="12"/>
                <w:color w:val="auto"/>
              </w:rPr>
              <w:t>Options expired and canceled</w:t>
            </w:r>
          </w:p>
        </w:tc>
        <w:tc>
          <w:tcPr>
            <w:tcW w:w="1400" w:type="dxa"/>
            <w:vAlign w:val="bottom"/>
            <w:gridSpan w:val="2"/>
          </w:tcPr>
          <w:p>
            <w:pPr>
              <w:jc w:val="right"/>
              <w:ind w:right="200"/>
              <w:spacing w:after="0"/>
              <w:rPr>
                <w:sz w:val="20"/>
                <w:szCs w:val="20"/>
                <w:color w:val="auto"/>
              </w:rPr>
            </w:pPr>
            <w:r>
              <w:rPr>
                <w:rFonts w:ascii="Arial" w:cs="Arial" w:eastAsia="Arial" w:hAnsi="Arial"/>
                <w:sz w:val="12"/>
                <w:szCs w:val="12"/>
                <w:color w:val="auto"/>
              </w:rPr>
              <w:t>(22,542)</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4.19</w:t>
            </w: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4"/>
        </w:trPr>
        <w:tc>
          <w:tcPr>
            <w:tcW w:w="5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Options exercised</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43"/>
        </w:trPr>
        <w:tc>
          <w:tcPr>
            <w:tcW w:w="5920" w:type="dxa"/>
            <w:vAlign w:val="bottom"/>
          </w:tcPr>
          <w:p>
            <w:pPr>
              <w:ind w:left="160"/>
              <w:spacing w:after="0"/>
              <w:rPr>
                <w:sz w:val="20"/>
                <w:szCs w:val="20"/>
                <w:color w:val="auto"/>
              </w:rPr>
            </w:pPr>
            <w:r>
              <w:rPr>
                <w:rFonts w:ascii="Arial" w:cs="Arial" w:eastAsia="Arial" w:hAnsi="Arial"/>
                <w:sz w:val="12"/>
                <w:szCs w:val="12"/>
                <w:color w:val="auto"/>
              </w:rPr>
              <w:t>Outstanding options at end of quarter</w:t>
            </w:r>
          </w:p>
        </w:tc>
        <w:tc>
          <w:tcPr>
            <w:tcW w:w="1160" w:type="dxa"/>
            <w:vAlign w:val="bottom"/>
          </w:tcPr>
          <w:p>
            <w:pPr>
              <w:jc w:val="right"/>
              <w:spacing w:after="0"/>
              <w:rPr>
                <w:sz w:val="20"/>
                <w:szCs w:val="20"/>
                <w:color w:val="auto"/>
              </w:rPr>
            </w:pPr>
            <w:r>
              <w:rPr>
                <w:rFonts w:ascii="Arial" w:cs="Arial" w:eastAsia="Arial" w:hAnsi="Arial"/>
                <w:sz w:val="12"/>
                <w:szCs w:val="12"/>
                <w:color w:val="auto"/>
              </w:rPr>
              <w:t>5,143,193</w:t>
            </w:r>
          </w:p>
        </w:tc>
        <w:tc>
          <w:tcPr>
            <w:tcW w:w="240" w:type="dxa"/>
            <w:vAlign w:val="bottom"/>
          </w:tcPr>
          <w:p>
            <w:pPr>
              <w:spacing w:after="0"/>
              <w:rPr>
                <w:sz w:val="12"/>
                <w:szCs w:val="12"/>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0.96</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8.8 years</w:t>
            </w: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4,434,327</w:t>
            </w:r>
          </w:p>
        </w:tc>
        <w:tc>
          <w:tcPr>
            <w:tcW w:w="120" w:type="dxa"/>
            <w:vAlign w:val="bottom"/>
          </w:tcPr>
          <w:p>
            <w:pPr>
              <w:spacing w:after="0"/>
              <w:rPr>
                <w:sz w:val="12"/>
                <w:szCs w:val="12"/>
                <w:color w:val="auto"/>
              </w:rPr>
            </w:pPr>
          </w:p>
        </w:tc>
      </w:tr>
      <w:tr>
        <w:trPr>
          <w:trHeight w:val="154"/>
        </w:trPr>
        <w:tc>
          <w:tcPr>
            <w:tcW w:w="5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Options exercisable at end of quarter</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439,497</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4.87</w:t>
            </w:r>
          </w:p>
        </w:tc>
        <w:tc>
          <w:tcPr>
            <w:tcW w:w="20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 years</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bl>
    <w:p>
      <w:pPr>
        <w:spacing w:after="0" w:line="154" w:lineRule="exact"/>
        <w:rPr>
          <w:sz w:val="20"/>
          <w:szCs w:val="20"/>
          <w:color w:val="auto"/>
        </w:rPr>
      </w:pPr>
    </w:p>
    <w:p>
      <w:pPr>
        <w:jc w:val="both"/>
        <w:ind w:left="1120" w:right="20" w:hanging="376"/>
        <w:spacing w:after="0" w:line="265" w:lineRule="auto"/>
        <w:tabs>
          <w:tab w:leader="none" w:pos="1120" w:val="left"/>
        </w:tabs>
        <w:numPr>
          <w:ilvl w:val="0"/>
          <w:numId w:val="9"/>
        </w:numPr>
        <w:rPr>
          <w:rFonts w:ascii="Arial" w:cs="Arial" w:eastAsia="Arial" w:hAnsi="Arial"/>
          <w:sz w:val="12"/>
          <w:szCs w:val="12"/>
          <w:color w:val="auto"/>
        </w:rPr>
      </w:pPr>
      <w:r>
        <w:rPr>
          <w:rFonts w:ascii="Arial" w:cs="Arial" w:eastAsia="Arial" w:hAnsi="Arial"/>
          <w:sz w:val="12"/>
          <w:szCs w:val="12"/>
          <w:color w:val="auto"/>
        </w:rPr>
        <w:t xml:space="preserve">Primarily represents the grant of stock options to purchase an aggregate of 1,078,913 shares of the Company’s common stock, at an exercise price of $0.69 per share, in connection with the time-based grant of awards under its 2021-2023 LTIP, see Note 5, </w:t>
      </w:r>
      <w:r>
        <w:rPr>
          <w:rFonts w:ascii="Arial" w:cs="Arial" w:eastAsia="Arial" w:hAnsi="Arial"/>
          <w:sz w:val="12"/>
          <w:szCs w:val="12"/>
          <w:i w:val="1"/>
          <w:iCs w:val="1"/>
          <w:color w:val="auto"/>
        </w:rPr>
        <w:t>Long-Term Incentive Plans.</w:t>
      </w:r>
      <w:r>
        <w:rPr>
          <w:rFonts w:ascii="Arial" w:cs="Arial" w:eastAsia="Arial" w:hAnsi="Arial"/>
          <w:sz w:val="12"/>
          <w:szCs w:val="12"/>
          <w:color w:val="auto"/>
        </w:rPr>
        <w:t xml:space="preserve"> In the first quarter of fiscal 2021, the Company also granted to active participants of the LTIP, a discretionary grant of stock options to purchase an aggregate 414,337 shares of the Company’s common stock, at an exercise price of $0.75 per share, which will vest ratably over 3 years</w:t>
      </w:r>
    </w:p>
    <w:p>
      <w:pPr>
        <w:spacing w:after="0" w:line="123"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For the first three months of fiscal 2021, the Company granted stock options to purchase an aggregate of 1,518,154 shares of common stock and 8,054 restricted stock units. For the first three months of fiscal 2020, the Company granted 45,714 shares of deferred stock.</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Non-Employee Director Compensation Plan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Company granted 136,482 shares of common stock, with a fair value of approximately $109,186, to certain of its non-employee directors as compensation in lieu of cash in the first three months of fiscal 2021.</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Stock Compensation Expense</w:t>
      </w:r>
    </w:p>
    <w:p>
      <w:pPr>
        <w:spacing w:after="0" w:line="79" w:lineRule="exact"/>
        <w:rPr>
          <w:sz w:val="20"/>
          <w:szCs w:val="20"/>
          <w:color w:val="auto"/>
        </w:rPr>
      </w:pPr>
    </w:p>
    <w:p>
      <w:pPr>
        <w:spacing w:after="0" w:line="326" w:lineRule="auto"/>
        <w:rPr>
          <w:sz w:val="20"/>
          <w:szCs w:val="20"/>
          <w:color w:val="auto"/>
        </w:rPr>
      </w:pPr>
      <w:r>
        <w:rPr>
          <w:rFonts w:ascii="Arial" w:cs="Arial" w:eastAsia="Arial" w:hAnsi="Arial"/>
          <w:sz w:val="11"/>
          <w:szCs w:val="11"/>
          <w:color w:val="auto"/>
        </w:rPr>
        <w:t>The Company recognized total stock-based compensation expense of $0.3 million and $0.5 million for the first three months of fiscal 2021 and fiscal 2020, respectively. The total compensation cost related to time-vested stock options, RSU and PSU awards not yet recognized as of May 1, 2021 was approximately $2.5 million, net of estimated forfeitures, which will be expensed over a weighted average remaining life of 30 months.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Earnings per Share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reconciliation of the number of shares outstanding for basic and diluted earnings per share:</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80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color w:val="auto"/>
                <w:w w:val="86"/>
              </w:rPr>
              <w:t>For the three months ended</w:t>
            </w: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45"/>
        </w:trPr>
        <w:tc>
          <w:tcPr>
            <w:tcW w:w="80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040" w:type="dxa"/>
            <w:vAlign w:val="bottom"/>
          </w:tcPr>
          <w:p>
            <w:pPr>
              <w:ind w:left="480"/>
              <w:spacing w:after="0"/>
              <w:rPr>
                <w:sz w:val="20"/>
                <w:szCs w:val="20"/>
                <w:color w:val="auto"/>
              </w:rPr>
            </w:pPr>
            <w:r>
              <w:rPr>
                <w:rFonts w:ascii="Arial" w:cs="Arial" w:eastAsia="Arial" w:hAnsi="Arial"/>
                <w:sz w:val="11"/>
                <w:szCs w:val="11"/>
                <w:color w:val="auto"/>
                <w:w w:val="89"/>
              </w:rPr>
              <w:t>May 1, 2021</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ind w:left="20"/>
              <w:spacing w:after="0"/>
              <w:rPr>
                <w:sz w:val="20"/>
                <w:szCs w:val="20"/>
                <w:color w:val="auto"/>
              </w:rPr>
            </w:pPr>
            <w:r>
              <w:rPr>
                <w:rFonts w:ascii="Arial" w:cs="Arial" w:eastAsia="Arial" w:hAnsi="Arial"/>
                <w:sz w:val="11"/>
                <w:szCs w:val="11"/>
                <w:color w:val="auto"/>
              </w:rPr>
              <w:t>May 2, 2020</w:t>
            </w:r>
          </w:p>
        </w:tc>
      </w:tr>
      <w:tr>
        <w:trPr>
          <w:trHeight w:val="136"/>
        </w:trPr>
        <w:tc>
          <w:tcPr>
            <w:tcW w:w="800" w:type="dxa"/>
            <w:vAlign w:val="bottom"/>
          </w:tcPr>
          <w:p>
            <w:pPr>
              <w:spacing w:after="0"/>
              <w:rPr>
                <w:sz w:val="20"/>
                <w:szCs w:val="20"/>
                <w:color w:val="auto"/>
              </w:rPr>
            </w:pPr>
            <w:r>
              <w:rPr>
                <w:rFonts w:ascii="Arial" w:cs="Arial" w:eastAsia="Arial" w:hAnsi="Arial"/>
                <w:sz w:val="11"/>
                <w:szCs w:val="11"/>
                <w:i w:val="1"/>
                <w:iCs w:val="1"/>
                <w:color w:val="auto"/>
              </w:rPr>
              <w:t>(in thousands</w:t>
            </w:r>
            <w:r>
              <w:rPr>
                <w:rFonts w:ascii="Arial" w:cs="Arial" w:eastAsia="Arial" w:hAnsi="Arial"/>
                <w:sz w:val="11"/>
                <w:szCs w:val="11"/>
                <w:b w:val="1"/>
                <w:bCs w:val="1"/>
                <w:i w:val="1"/>
                <w:iCs w:val="1"/>
                <w:color w:val="auto"/>
              </w:rPr>
              <w:t>)</w:t>
            </w:r>
          </w:p>
        </w:tc>
        <w:tc>
          <w:tcPr>
            <w:tcW w:w="68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r>
      <w:tr>
        <w:trPr>
          <w:trHeight w:val="147"/>
        </w:trPr>
        <w:tc>
          <w:tcPr>
            <w:tcW w:w="864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Common stock outstanding:</w:t>
            </w:r>
          </w:p>
        </w:tc>
        <w:tc>
          <w:tcPr>
            <w:tcW w:w="4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r>
      <w:tr>
        <w:trPr>
          <w:trHeight w:val="143"/>
        </w:trPr>
        <w:tc>
          <w:tcPr>
            <w:tcW w:w="8640" w:type="dxa"/>
            <w:vAlign w:val="bottom"/>
            <w:gridSpan w:val="3"/>
          </w:tcPr>
          <w:p>
            <w:pPr>
              <w:spacing w:after="0"/>
              <w:rPr>
                <w:sz w:val="20"/>
                <w:szCs w:val="20"/>
                <w:color w:val="auto"/>
              </w:rPr>
            </w:pPr>
            <w:r>
              <w:rPr>
                <w:rFonts w:ascii="Arial" w:cs="Arial" w:eastAsia="Arial" w:hAnsi="Arial"/>
                <w:sz w:val="11"/>
                <w:szCs w:val="11"/>
                <w:color w:val="auto"/>
              </w:rPr>
              <w:t>Basic weighted average common shares outstanding</w:t>
            </w:r>
          </w:p>
        </w:tc>
        <w:tc>
          <w:tcPr>
            <w:tcW w:w="480" w:type="dxa"/>
            <w:vAlign w:val="bottom"/>
          </w:tcPr>
          <w:p>
            <w:pPr>
              <w:jc w:val="right"/>
              <w:spacing w:after="0"/>
              <w:rPr>
                <w:sz w:val="20"/>
                <w:szCs w:val="20"/>
                <w:color w:val="auto"/>
              </w:rPr>
            </w:pPr>
            <w:r>
              <w:rPr>
                <w:rFonts w:ascii="Arial" w:cs="Arial" w:eastAsia="Arial" w:hAnsi="Arial"/>
                <w:sz w:val="11"/>
                <w:szCs w:val="11"/>
                <w:color w:val="auto"/>
              </w:rPr>
              <w:t>62,153</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50,758</w:t>
            </w:r>
          </w:p>
        </w:tc>
        <w:tc>
          <w:tcPr>
            <w:tcW w:w="300" w:type="dxa"/>
            <w:vAlign w:val="bottom"/>
          </w:tcPr>
          <w:p>
            <w:pPr>
              <w:spacing w:after="0"/>
              <w:rPr>
                <w:sz w:val="12"/>
                <w:szCs w:val="12"/>
                <w:color w:val="auto"/>
              </w:rPr>
            </w:pPr>
          </w:p>
        </w:tc>
      </w:tr>
      <w:tr>
        <w:trPr>
          <w:trHeight w:val="147"/>
        </w:trPr>
        <w:tc>
          <w:tcPr>
            <w:tcW w:w="7600" w:type="dxa"/>
            <w:vAlign w:val="bottom"/>
            <w:gridSpan w:val="2"/>
            <w:shd w:val="clear" w:color="auto" w:fill="CFF0FC"/>
          </w:tcPr>
          <w:p>
            <w:pPr>
              <w:spacing w:after="0" w:line="147" w:lineRule="exact"/>
              <w:rPr>
                <w:sz w:val="20"/>
                <w:szCs w:val="20"/>
                <w:color w:val="auto"/>
              </w:rPr>
            </w:pPr>
            <w:r>
              <w:rPr>
                <w:rFonts w:ascii="Arial" w:cs="Arial" w:eastAsia="Arial" w:hAnsi="Arial"/>
                <w:sz w:val="10"/>
                <w:szCs w:val="10"/>
                <w:color w:val="auto"/>
              </w:rPr>
              <w:t xml:space="preserve">Common stock equivalents – stock options, restricted stock units and deferred stock </w:t>
            </w:r>
            <w:r>
              <w:rPr>
                <w:rFonts w:ascii="Arial" w:cs="Arial" w:eastAsia="Arial" w:hAnsi="Arial"/>
                <w:sz w:val="17"/>
                <w:szCs w:val="17"/>
                <w:color w:val="auto"/>
                <w:vertAlign w:val="superscript"/>
              </w:rPr>
              <w:t>(1)</w:t>
            </w:r>
          </w:p>
        </w:tc>
        <w:tc>
          <w:tcPr>
            <w:tcW w:w="104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847</w:t>
            </w:r>
          </w:p>
        </w:tc>
        <w:tc>
          <w:tcPr>
            <w:tcW w:w="280" w:type="dxa"/>
            <w:vAlign w:val="bottom"/>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2"/>
                <w:szCs w:val="12"/>
                <w:color w:val="auto"/>
              </w:rPr>
            </w:pPr>
          </w:p>
        </w:tc>
      </w:tr>
      <w:tr>
        <w:trPr>
          <w:trHeight w:val="130"/>
        </w:trPr>
        <w:tc>
          <w:tcPr>
            <w:tcW w:w="8640" w:type="dxa"/>
            <w:vAlign w:val="bottom"/>
            <w:gridSpan w:val="3"/>
          </w:tcPr>
          <w:p>
            <w:pPr>
              <w:spacing w:after="0"/>
              <w:rPr>
                <w:sz w:val="20"/>
                <w:szCs w:val="20"/>
                <w:color w:val="auto"/>
              </w:rPr>
            </w:pPr>
            <w:r>
              <w:rPr>
                <w:rFonts w:ascii="Arial" w:cs="Arial" w:eastAsia="Arial" w:hAnsi="Arial"/>
                <w:sz w:val="11"/>
                <w:szCs w:val="11"/>
                <w:color w:val="auto"/>
              </w:rPr>
              <w:t>Diluted weighted average common shares outstanding</w:t>
            </w:r>
          </w:p>
        </w:tc>
        <w:tc>
          <w:tcPr>
            <w:tcW w:w="480" w:type="dxa"/>
            <w:vAlign w:val="bottom"/>
          </w:tcPr>
          <w:p>
            <w:pPr>
              <w:jc w:val="right"/>
              <w:spacing w:after="0"/>
              <w:rPr>
                <w:sz w:val="20"/>
                <w:szCs w:val="20"/>
                <w:color w:val="auto"/>
              </w:rPr>
            </w:pPr>
            <w:r>
              <w:rPr>
                <w:rFonts w:ascii="Arial" w:cs="Arial" w:eastAsia="Arial" w:hAnsi="Arial"/>
                <w:sz w:val="11"/>
                <w:szCs w:val="11"/>
                <w:color w:val="auto"/>
              </w:rPr>
              <w:t>63,000</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50,758</w:t>
            </w:r>
          </w:p>
        </w:tc>
        <w:tc>
          <w:tcPr>
            <w:tcW w:w="300" w:type="dxa"/>
            <w:vAlign w:val="bottom"/>
          </w:tcPr>
          <w:p>
            <w:pPr>
              <w:spacing w:after="0"/>
              <w:rPr>
                <w:sz w:val="11"/>
                <w:szCs w:val="11"/>
                <w:color w:val="auto"/>
              </w:rPr>
            </w:pPr>
          </w:p>
        </w:tc>
      </w:tr>
      <w:tr>
        <w:trPr>
          <w:trHeight w:val="294"/>
        </w:trPr>
        <w:tc>
          <w:tcPr>
            <w:tcW w:w="800" w:type="dxa"/>
            <w:vAlign w:val="bottom"/>
          </w:tcPr>
          <w:p>
            <w:pPr>
              <w:ind w:left="460"/>
              <w:spacing w:after="0"/>
              <w:rPr>
                <w:sz w:val="20"/>
                <w:szCs w:val="20"/>
                <w:color w:val="auto"/>
              </w:rPr>
            </w:pPr>
            <w:r>
              <w:rPr>
                <w:rFonts w:ascii="Arial" w:cs="Arial" w:eastAsia="Arial" w:hAnsi="Arial"/>
                <w:sz w:val="12"/>
                <w:szCs w:val="12"/>
                <w:color w:val="auto"/>
              </w:rPr>
              <w:t>(1)</w:t>
            </w:r>
          </w:p>
        </w:tc>
        <w:tc>
          <w:tcPr>
            <w:tcW w:w="7840" w:type="dxa"/>
            <w:vAlign w:val="bottom"/>
            <w:gridSpan w:val="2"/>
          </w:tcPr>
          <w:p>
            <w:pPr>
              <w:ind w:left="160"/>
              <w:spacing w:after="0"/>
              <w:rPr>
                <w:sz w:val="20"/>
                <w:szCs w:val="20"/>
                <w:color w:val="auto"/>
              </w:rPr>
            </w:pPr>
            <w:r>
              <w:rPr>
                <w:rFonts w:ascii="Arial" w:cs="Arial" w:eastAsia="Arial" w:hAnsi="Arial"/>
                <w:sz w:val="11"/>
                <w:szCs w:val="11"/>
                <w:color w:val="auto"/>
              </w:rPr>
              <w:t>Common stock equivalents of 261 shares for the three months ended May 2, 2020 were excluded due to the net loss.</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36"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the unearned compensation associated with stock options, restricted stock units, or deferred stock had an anti-dilutive effect.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6" w:name="page17"/>
    <w:bookmarkEnd w:id="16"/>
    <w:tbl>
      <w:tblPr>
        <w:tblLayout w:type="fixed"/>
        <w:tblInd w:w="560" w:type="dxa"/>
        <w:tblCellMar>
          <w:top w:w="0" w:type="dxa"/>
          <w:left w:w="0" w:type="dxa"/>
          <w:bottom w:w="0" w:type="dxa"/>
          <w:right w:w="0" w:type="dxa"/>
        </w:tblCellMar>
      </w:tblPr>
      <w:tr>
        <w:trPr>
          <w:trHeight w:val="115"/>
        </w:trPr>
        <w:tc>
          <w:tcPr>
            <w:tcW w:w="6900" w:type="dxa"/>
            <w:vAlign w:val="bottom"/>
          </w:tcPr>
          <w:p>
            <w:pPr>
              <w:spacing w:after="0"/>
              <w:rPr>
                <w:sz w:val="10"/>
                <w:szCs w:val="10"/>
                <w:color w:val="auto"/>
              </w:rPr>
            </w:pPr>
          </w:p>
        </w:tc>
        <w:tc>
          <w:tcPr>
            <w:tcW w:w="2060" w:type="dxa"/>
            <w:vAlign w:val="bottom"/>
            <w:gridSpan w:val="3"/>
          </w:tcPr>
          <w:p>
            <w:pPr>
              <w:ind w:left="980"/>
              <w:spacing w:after="0"/>
              <w:rPr>
                <w:sz w:val="20"/>
                <w:szCs w:val="20"/>
                <w:color w:val="auto"/>
              </w:rPr>
            </w:pPr>
            <w:r>
              <w:rPr>
                <w:rFonts w:ascii="Arial" w:cs="Arial" w:eastAsia="Arial" w:hAnsi="Arial"/>
                <w:sz w:val="10"/>
                <w:szCs w:val="10"/>
                <w:color w:val="auto"/>
                <w:w w:val="85"/>
              </w:rPr>
              <w:t>For the three months ended</w:t>
            </w: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6900" w:type="dxa"/>
            <w:vAlign w:val="bottom"/>
            <w:vMerge w:val="restart"/>
          </w:tcPr>
          <w:p>
            <w:pPr>
              <w:spacing w:after="0"/>
              <w:rPr>
                <w:sz w:val="20"/>
                <w:szCs w:val="20"/>
                <w:color w:val="auto"/>
              </w:rPr>
            </w:pPr>
            <w:r>
              <w:rPr>
                <w:rFonts w:ascii="Arial" w:cs="Arial" w:eastAsia="Arial" w:hAnsi="Arial"/>
                <w:sz w:val="10"/>
                <w:szCs w:val="10"/>
                <w:i w:val="1"/>
                <w:iCs w:val="1"/>
                <w:color w:val="auto"/>
              </w:rPr>
              <w:t>(in thousands, except exercise prices)</w:t>
            </w:r>
          </w:p>
        </w:tc>
        <w:tc>
          <w:tcPr>
            <w:tcW w:w="2060" w:type="dxa"/>
            <w:vAlign w:val="bottom"/>
            <w:gridSpan w:val="3"/>
          </w:tcPr>
          <w:p>
            <w:pPr>
              <w:ind w:left="440"/>
              <w:spacing w:after="0" w:line="113" w:lineRule="exact"/>
              <w:rPr>
                <w:sz w:val="20"/>
                <w:szCs w:val="20"/>
                <w:color w:val="auto"/>
              </w:rPr>
            </w:pPr>
            <w:r>
              <w:rPr>
                <w:rFonts w:ascii="Arial" w:cs="Arial" w:eastAsia="Arial" w:hAnsi="Arial"/>
                <w:sz w:val="10"/>
                <w:szCs w:val="10"/>
                <w:color w:val="auto"/>
              </w:rPr>
              <w:t>May 1, 2021</w:t>
            </w:r>
          </w:p>
        </w:tc>
        <w:tc>
          <w:tcPr>
            <w:tcW w:w="1220" w:type="dxa"/>
            <w:vAlign w:val="bottom"/>
            <w:gridSpan w:val="2"/>
          </w:tcPr>
          <w:p>
            <w:pPr>
              <w:ind w:left="20"/>
              <w:spacing w:after="0" w:line="113" w:lineRule="exact"/>
              <w:rPr>
                <w:sz w:val="20"/>
                <w:szCs w:val="20"/>
                <w:color w:val="auto"/>
              </w:rPr>
            </w:pPr>
            <w:r>
              <w:rPr>
                <w:rFonts w:ascii="Arial" w:cs="Arial" w:eastAsia="Arial" w:hAnsi="Arial"/>
                <w:sz w:val="10"/>
                <w:szCs w:val="10"/>
                <w:color w:val="auto"/>
              </w:rPr>
              <w:t>May 2, 2020</w:t>
            </w:r>
          </w:p>
        </w:tc>
        <w:tc>
          <w:tcPr>
            <w:tcW w:w="0" w:type="dxa"/>
            <w:vAlign w:val="bottom"/>
          </w:tcPr>
          <w:p>
            <w:pPr>
              <w:spacing w:after="0"/>
              <w:rPr>
                <w:sz w:val="1"/>
                <w:szCs w:val="1"/>
                <w:color w:val="auto"/>
              </w:rPr>
            </w:pPr>
          </w:p>
        </w:tc>
      </w:tr>
      <w:tr>
        <w:trPr>
          <w:trHeight w:val="98"/>
        </w:trPr>
        <w:tc>
          <w:tcPr>
            <w:tcW w:w="6900" w:type="dxa"/>
            <w:vAlign w:val="bottom"/>
            <w:vMerge w:val="continue"/>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6900" w:type="dxa"/>
            <w:vAlign w:val="bottom"/>
            <w:shd w:val="clear" w:color="auto" w:fill="CFF0FC"/>
          </w:tcPr>
          <w:p>
            <w:pPr>
              <w:spacing w:after="0"/>
              <w:rPr>
                <w:sz w:val="20"/>
                <w:szCs w:val="20"/>
                <w:color w:val="auto"/>
              </w:rPr>
            </w:pPr>
            <w:r>
              <w:rPr>
                <w:rFonts w:ascii="Arial" w:cs="Arial" w:eastAsia="Arial" w:hAnsi="Arial"/>
                <w:sz w:val="12"/>
                <w:szCs w:val="12"/>
                <w:color w:val="auto"/>
              </w:rPr>
              <w:t>Stock options</w:t>
            </w: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1,933</w:t>
            </w:r>
          </w:p>
        </w:tc>
        <w:tc>
          <w:tcPr>
            <w:tcW w:w="2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538</w:t>
            </w:r>
          </w:p>
        </w:tc>
        <w:tc>
          <w:tcPr>
            <w:tcW w:w="2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900" w:type="dxa"/>
            <w:vAlign w:val="bottom"/>
          </w:tcPr>
          <w:p>
            <w:pPr>
              <w:spacing w:after="0"/>
              <w:rPr>
                <w:sz w:val="20"/>
                <w:szCs w:val="20"/>
                <w:color w:val="auto"/>
              </w:rPr>
            </w:pPr>
            <w:r>
              <w:rPr>
                <w:rFonts w:ascii="Arial" w:cs="Arial" w:eastAsia="Arial" w:hAnsi="Arial"/>
                <w:sz w:val="12"/>
                <w:szCs w:val="12"/>
                <w:color w:val="auto"/>
              </w:rPr>
              <w:t>Restricted stock units</w:t>
            </w:r>
          </w:p>
        </w:tc>
        <w:tc>
          <w:tcPr>
            <w:tcW w:w="1380" w:type="dxa"/>
            <w:vAlign w:val="bottom"/>
          </w:tcPr>
          <w:p>
            <w:pPr>
              <w:jc w:val="right"/>
              <w:spacing w:after="0"/>
              <w:rPr>
                <w:sz w:val="20"/>
                <w:szCs w:val="20"/>
                <w:color w:val="auto"/>
              </w:rPr>
            </w:pPr>
            <w:r>
              <w:rPr>
                <w:rFonts w:ascii="Arial" w:cs="Arial" w:eastAsia="Arial" w:hAnsi="Arial"/>
                <w:sz w:val="12"/>
                <w:szCs w:val="12"/>
                <w:color w:val="auto"/>
              </w:rPr>
              <w:t>506</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963</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900" w:type="dxa"/>
            <w:vAlign w:val="bottom"/>
            <w:shd w:val="clear" w:color="auto" w:fill="CFF0FC"/>
          </w:tcPr>
          <w:p>
            <w:pPr>
              <w:spacing w:after="0"/>
              <w:rPr>
                <w:sz w:val="20"/>
                <w:szCs w:val="20"/>
                <w:color w:val="auto"/>
              </w:rPr>
            </w:pPr>
            <w:r>
              <w:rPr>
                <w:rFonts w:ascii="Arial" w:cs="Arial" w:eastAsia="Arial" w:hAnsi="Arial"/>
                <w:sz w:val="12"/>
                <w:szCs w:val="12"/>
                <w:color w:val="auto"/>
              </w:rPr>
              <w:t>Deferred stock</w:t>
            </w: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w:t>
            </w:r>
          </w:p>
        </w:tc>
        <w:tc>
          <w:tcPr>
            <w:tcW w:w="2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w:t>
            </w:r>
          </w:p>
        </w:tc>
        <w:tc>
          <w:tcPr>
            <w:tcW w:w="2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900" w:type="dxa"/>
            <w:vAlign w:val="bottom"/>
          </w:tcPr>
          <w:p>
            <w:pPr>
              <w:spacing w:after="0"/>
              <w:rPr>
                <w:sz w:val="20"/>
                <w:szCs w:val="20"/>
                <w:color w:val="auto"/>
              </w:rPr>
            </w:pPr>
            <w:r>
              <w:rPr>
                <w:rFonts w:ascii="Arial" w:cs="Arial" w:eastAsia="Arial" w:hAnsi="Arial"/>
                <w:sz w:val="12"/>
                <w:szCs w:val="12"/>
                <w:color w:val="auto"/>
              </w:rPr>
              <w:t>Range of exercise prices of such options</w:t>
            </w:r>
          </w:p>
        </w:tc>
        <w:tc>
          <w:tcPr>
            <w:tcW w:w="1380" w:type="dxa"/>
            <w:vAlign w:val="bottom"/>
          </w:tcPr>
          <w:p>
            <w:pPr>
              <w:jc w:val="right"/>
              <w:spacing w:after="0"/>
              <w:rPr>
                <w:sz w:val="20"/>
                <w:szCs w:val="20"/>
                <w:color w:val="auto"/>
              </w:rPr>
            </w:pPr>
            <w:r>
              <w:rPr>
                <w:rFonts w:ascii="Arial" w:cs="Arial" w:eastAsia="Arial" w:hAnsi="Arial"/>
                <w:sz w:val="12"/>
                <w:szCs w:val="12"/>
                <w:color w:val="auto"/>
              </w:rPr>
              <w:t>$0.69 - $5.50</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$1.85 - $7.02</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The above options, which were outstanding at May 1, 2021, expire from January 31, 2023 to March 9, 2031.</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Excluded from the computation of basic and diluted earnings per share for both periods were 720,000 shares of unvested performance stock units. These performance-based awards will be included in the computation of basic and diluted earnings per share if, and when, the respective performance targets are achieved. In addition, 435,568 shares and 335,073 shares of deferred stock at May 1, 2021 and May 2, 2020, respectively, were excluded from basic earnings per share. Outstanding shares of deferred stock are not considered issued and outstanding until the vesting date of the deferral period.</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Registered Direct Offering – Common Stock</w:t>
      </w:r>
    </w:p>
    <w:p>
      <w:pPr>
        <w:spacing w:after="0" w:line="83"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On February 5, 2021, the Company sold, pursuant to a stock purchase agreement and through a registered direct offering, an aggregate of 11,111,111 shares of its common stock, for a gross purchase price of $5.0 million, before payment of offering costs of $0.6 million. The Company intends to use the net proceeds from the offering for working capital and other general corporate purposes.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Income Taxes</w:t>
      </w:r>
    </w:p>
    <w:p>
      <w:pPr>
        <w:spacing w:after="0" w:line="83" w:lineRule="exact"/>
        <w:rPr>
          <w:sz w:val="20"/>
          <w:szCs w:val="20"/>
          <w:color w:val="auto"/>
        </w:rPr>
      </w:pPr>
    </w:p>
    <w:p>
      <w:pPr>
        <w:ind w:right="60"/>
        <w:spacing w:after="0" w:line="279" w:lineRule="auto"/>
        <w:rPr>
          <w:sz w:val="20"/>
          <w:szCs w:val="20"/>
          <w:color w:val="auto"/>
        </w:rPr>
      </w:pPr>
      <w:r>
        <w:rPr>
          <w:rFonts w:ascii="Arial" w:cs="Arial" w:eastAsia="Arial" w:hAnsi="Arial"/>
          <w:sz w:val="12"/>
          <w:szCs w:val="12"/>
          <w:color w:val="auto"/>
        </w:rPr>
        <w:t>During the first quarter of fiscal 2021 and fiscal 2020, the Company recorded income tax expense of $28,000 and $20,000, respectively, related primarily to state margin tax. The Company’s effective tax rate will generally differ from the U.S. federal statutory rate of 21% primarily due to the change in full valuation allowance recorded against its deferred tax assets, permanent items, and state taxes.</w:t>
      </w:r>
    </w:p>
    <w:p>
      <w:pPr>
        <w:spacing w:after="0" w:line="41" w:lineRule="exact"/>
        <w:rPr>
          <w:sz w:val="20"/>
          <w:szCs w:val="20"/>
          <w:color w:val="auto"/>
        </w:rPr>
      </w:pPr>
    </w:p>
    <w:p>
      <w:pPr>
        <w:ind w:right="40"/>
        <w:spacing w:after="0" w:line="265" w:lineRule="auto"/>
        <w:rPr>
          <w:sz w:val="20"/>
          <w:szCs w:val="20"/>
          <w:color w:val="auto"/>
        </w:rPr>
      </w:pPr>
      <w:r>
        <w:rPr>
          <w:rFonts w:ascii="Arial" w:cs="Arial" w:eastAsia="Arial" w:hAnsi="Arial"/>
          <w:sz w:val="12"/>
          <w:szCs w:val="12"/>
          <w:color w:val="auto"/>
        </w:rPr>
        <w:t>Since the end of fiscal 2014, the Company has maintained a full valuation allowance against its deferred tax assets. While the Company has projected it will return to profitability, generate taxable income and ultimately emerge from a three-year cumulative loss, the Company believes that a full valuation allowance remains appropriate at this time, based on the Company’s forecast for fiscal 2021. Realization of the Company’s deferred tax assets is dependent on generating sufficient taxable income in the near term.</w:t>
      </w:r>
    </w:p>
    <w:p>
      <w:pPr>
        <w:spacing w:after="0" w:line="50" w:lineRule="exact"/>
        <w:rPr>
          <w:sz w:val="20"/>
          <w:szCs w:val="20"/>
          <w:color w:val="auto"/>
        </w:rPr>
      </w:pPr>
    </w:p>
    <w:p>
      <w:pPr>
        <w:ind w:right="260"/>
        <w:spacing w:after="0" w:line="265" w:lineRule="auto"/>
        <w:rPr>
          <w:sz w:val="20"/>
          <w:szCs w:val="20"/>
          <w:color w:val="auto"/>
        </w:rPr>
      </w:pPr>
      <w:r>
        <w:rPr>
          <w:rFonts w:ascii="Arial" w:cs="Arial" w:eastAsia="Arial" w:hAnsi="Arial"/>
          <w:sz w:val="12"/>
          <w:szCs w:val="12"/>
          <w:color w:val="auto"/>
        </w:rPr>
        <w:t>For federal income tax purposes, at the end of fiscal 2020, the Company had net operating loss carryforwards of approximately $158.2 million, which will expire from fiscal 2022 through fiscal 2037, and net operating loss carryforwards of $43.1 million, that are not subject to expiration, available in the U.S. to reduce future taxable income. For state purposes, at the end of fiscal 2020, the Company had $111.3 million of net operating losses that are available to offset future taxable income, the majority of which will expire from fiscal 2021 through fiscal 2041.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175" w:right="29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83" w:lineRule="exact"/>
        <w:rPr>
          <w:sz w:val="20"/>
          <w:szCs w:val="20"/>
          <w:color w:val="auto"/>
        </w:rPr>
      </w:pPr>
    </w:p>
    <w:p>
      <w:pPr>
        <w:ind w:right="60"/>
        <w:spacing w:after="0" w:line="281" w:lineRule="auto"/>
        <w:rPr>
          <w:sz w:val="20"/>
          <w:szCs w:val="20"/>
          <w:color w:val="auto"/>
        </w:rPr>
      </w:pPr>
      <w:r>
        <w:rPr>
          <w:rFonts w:ascii="Arial" w:cs="Arial" w:eastAsia="Arial" w:hAnsi="Arial"/>
          <w:sz w:val="11"/>
          <w:szCs w:val="11"/>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the continuing impact of the COVID-19 pandemic on our business and financial results, expected savings from our efforts to right size our lease structure, expected sales trends, expected marketing spend, potential freight cost and raw materials cost increases, and our liquidity expectations for the next 12 months.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January 30, 2021, included in our Annual Report on Form 10-K for the year ended January 30, 2021, as filed with the Securities and Exchange Commission on March 19, 2021 (our “Fiscal 2020 Annual Report”).</w:t>
      </w:r>
    </w:p>
    <w:p>
      <w:pPr>
        <w:spacing w:after="0" w:line="44" w:lineRule="exact"/>
        <w:rPr>
          <w:sz w:val="20"/>
          <w:szCs w:val="20"/>
          <w:color w:val="auto"/>
        </w:rPr>
      </w:pPr>
    </w:p>
    <w:p>
      <w:pPr>
        <w:ind w:right="200"/>
        <w:spacing w:after="0" w:line="261" w:lineRule="auto"/>
        <w:rPr>
          <w:sz w:val="20"/>
          <w:szCs w:val="20"/>
          <w:color w:val="auto"/>
        </w:rPr>
      </w:pPr>
      <w:r>
        <w:rPr>
          <w:rFonts w:ascii="Arial" w:cs="Arial" w:eastAsia="Arial" w:hAnsi="Arial"/>
          <w:sz w:val="12"/>
          <w:szCs w:val="12"/>
          <w:color w:val="auto"/>
        </w:rPr>
        <w:t>Numerous factors could cause our actual results to differ materially from such forward-looking statements. We encourage readers to refer to our “Risk Factors” found in Part I, Item 1A of our Fiscal 2020 Annual Report. This discussion sets forth certain risks and uncertainties that may have an impact on future results and direction of our Company, including, without limitation, risks relating to the duration and continuing impact of the COVID-19 pandemic and its impact on the Company’s results of operations, the execution of our corporate strategy, and our ability to grow our wholesale segment, predict customer tastes and fashion trends, forecast sales growth trends, grow market share and compete successfully in our market.</w:t>
      </w:r>
    </w:p>
    <w:p>
      <w:pPr>
        <w:spacing w:after="0" w:line="124" w:lineRule="exact"/>
        <w:rPr>
          <w:sz w:val="20"/>
          <w:szCs w:val="20"/>
          <w:color w:val="auto"/>
        </w:rPr>
      </w:pPr>
    </w:p>
    <w:p>
      <w:pPr>
        <w:jc w:val="both"/>
        <w:ind w:right="160"/>
        <w:spacing w:after="0" w:line="265" w:lineRule="auto"/>
        <w:rPr>
          <w:sz w:val="20"/>
          <w:szCs w:val="20"/>
          <w:color w:val="auto"/>
        </w:rPr>
      </w:pPr>
      <w:r>
        <w:rPr>
          <w:rFonts w:ascii="Arial" w:cs="Arial" w:eastAsia="Arial" w:hAnsi="Arial"/>
          <w:sz w:val="12"/>
          <w:szCs w:val="12"/>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SUMMARY</w:t>
      </w:r>
    </w:p>
    <w:p>
      <w:pPr>
        <w:spacing w:after="0" w:line="83" w:lineRule="exact"/>
        <w:rPr>
          <w:sz w:val="20"/>
          <w:szCs w:val="20"/>
          <w:color w:val="auto"/>
        </w:rPr>
      </w:pPr>
    </w:p>
    <w:p>
      <w:pPr>
        <w:ind w:right="180"/>
        <w:spacing w:after="0" w:line="246" w:lineRule="auto"/>
        <w:rPr>
          <w:sz w:val="20"/>
          <w:szCs w:val="20"/>
          <w:color w:val="auto"/>
        </w:rPr>
      </w:pPr>
      <w:r>
        <w:rPr>
          <w:rFonts w:ascii="Arial" w:cs="Arial" w:eastAsia="Arial" w:hAnsi="Arial"/>
          <w:sz w:val="11"/>
          <w:szCs w:val="11"/>
          <w:color w:val="auto"/>
        </w:rPr>
        <w:t>Destination XL Group, Inc., together with our consolidated subsidiaries (the “Company”), is the largest specialty retailer of big and tall men’s clothing with retail, wholesale and direct operations in the United States and Toronto, Canada. We operate under the trade names of Destination XL</w:t>
      </w:r>
      <w:r>
        <w:rPr>
          <w:rFonts w:ascii="Arial" w:cs="Arial" w:eastAsia="Arial" w:hAnsi="Arial"/>
          <w:sz w:val="16"/>
          <w:szCs w:val="16"/>
          <w:color w:val="auto"/>
          <w:vertAlign w:val="superscript"/>
        </w:rPr>
        <w:t>®</w:t>
      </w:r>
      <w:r>
        <w:rPr>
          <w:rFonts w:ascii="Arial" w:cs="Arial" w:eastAsia="Arial" w:hAnsi="Arial"/>
          <w:sz w:val="11"/>
          <w:szCs w:val="11"/>
          <w:color w:val="auto"/>
        </w:rPr>
        <w:t>, DXL</w:t>
      </w:r>
      <w:r>
        <w:rPr>
          <w:rFonts w:ascii="Arial" w:cs="Arial" w:eastAsia="Arial" w:hAnsi="Arial"/>
          <w:sz w:val="16"/>
          <w:szCs w:val="16"/>
          <w:color w:val="auto"/>
          <w:vertAlign w:val="superscript"/>
        </w:rPr>
        <w:t>®</w:t>
      </w:r>
      <w:r>
        <w:rPr>
          <w:rFonts w:ascii="Arial" w:cs="Arial" w:eastAsia="Arial" w:hAnsi="Arial"/>
          <w:sz w:val="11"/>
          <w:szCs w:val="11"/>
          <w:color w:val="auto"/>
        </w:rPr>
        <w:t>, DXL Outlets, Casual Male XL</w:t>
      </w:r>
      <w:r>
        <w:rPr>
          <w:rFonts w:ascii="Arial" w:cs="Arial" w:eastAsia="Arial" w:hAnsi="Arial"/>
          <w:sz w:val="10"/>
          <w:szCs w:val="10"/>
          <w:color w:val="auto"/>
        </w:rPr>
        <w:t>®</w:t>
      </w:r>
      <w:r>
        <w:rPr>
          <w:rFonts w:ascii="Arial" w:cs="Arial" w:eastAsia="Arial" w:hAnsi="Arial"/>
          <w:sz w:val="11"/>
          <w:szCs w:val="11"/>
          <w:color w:val="auto"/>
        </w:rPr>
        <w:t xml:space="preserve"> and Casual Male XL Outlets. At May 1, 2021, we operated 222 Destination XL stores, 17 DXL outlet stores, 42 Casual Male XL retail stores, 20 Casual Male XL outlet stores and a digital business, including an e-commerce site at </w:t>
      </w:r>
      <w:r>
        <w:rPr>
          <w:rFonts w:ascii="Arial" w:cs="Arial" w:eastAsia="Arial" w:hAnsi="Arial"/>
          <w:sz w:val="11"/>
          <w:szCs w:val="11"/>
          <w:u w:val="single" w:color="auto"/>
          <w:color w:val="auto"/>
        </w:rPr>
        <w:t>dxl.com</w:t>
      </w:r>
      <w:r>
        <w:rPr>
          <w:rFonts w:ascii="Arial" w:cs="Arial" w:eastAsia="Arial" w:hAnsi="Arial"/>
          <w:sz w:val="11"/>
          <w:szCs w:val="11"/>
          <w:color w:val="auto"/>
        </w:rPr>
        <w:t xml:space="preserve"> and a mobile site m.destinationXL.com and mobile app.</w:t>
      </w:r>
    </w:p>
    <w:p>
      <w:pPr>
        <w:spacing w:after="0" w:line="132"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Unless the context indicates otherwise, all references to “we,” “our,” “us” and “the Company” refer to Destination XL Group, Inc. and our consolidated subsidiaries. We refer to our fiscal years, which end on January 29, 2022, January 30, 2021 and February 1, 2020 as “fiscal 2021,” “fiscal 2020” and “fiscal 2019,” respectively. All fiscal years are 52-week periods.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REPORTING</w:t>
      </w:r>
    </w:p>
    <w:p>
      <w:pPr>
        <w:spacing w:after="0" w:line="83" w:lineRule="exact"/>
        <w:rPr>
          <w:sz w:val="20"/>
          <w:szCs w:val="20"/>
          <w:color w:val="auto"/>
        </w:rPr>
      </w:pPr>
    </w:p>
    <w:p>
      <w:pPr>
        <w:jc w:val="both"/>
        <w:ind w:right="180"/>
        <w:spacing w:after="0" w:line="265" w:lineRule="auto"/>
        <w:rPr>
          <w:sz w:val="20"/>
          <w:szCs w:val="20"/>
          <w:color w:val="auto"/>
        </w:rPr>
      </w:pPr>
      <w:r>
        <w:rPr>
          <w:rFonts w:ascii="Arial" w:cs="Arial" w:eastAsia="Arial" w:hAnsi="Arial"/>
          <w:sz w:val="12"/>
          <w:szCs w:val="12"/>
          <w:color w:val="auto"/>
        </w:rPr>
        <w:t>We have three principal operating segments: our stores, direct business and our wholesale business. We consider our stores and direct business segments to be similar in terms of economic characteristics, production processes and operations, and have therefore aggregated them into one reportable segment, retail segment, consistent with our omni-channel business approach. Due to the immateriality of the wholesale segment’s revenues, profits and assets, its operating results have been aggregated with the retail segment for both periods.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COMPARABLE SALES</w:t>
      </w:r>
    </w:p>
    <w:p>
      <w:pPr>
        <w:spacing w:after="0" w:line="156" w:lineRule="exact"/>
        <w:rPr>
          <w:sz w:val="20"/>
          <w:szCs w:val="20"/>
          <w:color w:val="auto"/>
        </w:rPr>
      </w:pPr>
    </w:p>
    <w:p>
      <w:pPr>
        <w:ind w:right="140"/>
        <w:spacing w:after="0" w:line="292" w:lineRule="auto"/>
        <w:rPr>
          <w:sz w:val="20"/>
          <w:szCs w:val="20"/>
          <w:color w:val="auto"/>
        </w:rPr>
      </w:pPr>
      <w:r>
        <w:rPr>
          <w:rFonts w:ascii="Arial" w:cs="Arial" w:eastAsia="Arial" w:hAnsi="Arial"/>
          <w:sz w:val="11"/>
          <w:szCs w:val="11"/>
          <w:color w:val="auto"/>
        </w:rPr>
        <w:t>Our customer’s shopping experience continues to evolve across multiple channels and we are continually adapting to meet the guest’s needs. The majority of our stores have the capability of fulfilling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 a store and, more recently due to the COVID-19 pandemic, pick-up at curbside. We define store sales as sales that originate and are fulfilled directly at the store level. E-commerce sales, which we also refer to as direct sales, are defined as sales that originate online, whether through our website, at the store level or through a third-party marketplace.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8" w:name="page19"/>
    <w:bookmarkEnd w:id="18"/>
    <w:p>
      <w:pPr>
        <w:jc w:val="both"/>
        <w:ind w:right="280"/>
        <w:spacing w:after="0" w:line="300" w:lineRule="auto"/>
        <w:rPr>
          <w:sz w:val="20"/>
          <w:szCs w:val="20"/>
          <w:color w:val="auto"/>
        </w:rPr>
      </w:pPr>
      <w:r>
        <w:rPr>
          <w:rFonts w:ascii="Arial" w:cs="Arial" w:eastAsia="Arial" w:hAnsi="Arial"/>
          <w:sz w:val="11"/>
          <w:szCs w:val="11"/>
          <w:color w:val="auto"/>
        </w:rPr>
        <w:t>Stores that have been open for 13 months are included in comparable sales. Stores that have been remodeled or re-located during the period are also included in our determination of comparable stores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105" w:lineRule="exact"/>
        <w:rPr>
          <w:sz w:val="20"/>
          <w:szCs w:val="20"/>
          <w:color w:val="auto"/>
        </w:rPr>
      </w:pPr>
    </w:p>
    <w:p>
      <w:pPr>
        <w:ind w:right="320"/>
        <w:spacing w:after="0" w:line="279" w:lineRule="auto"/>
        <w:rPr>
          <w:sz w:val="20"/>
          <w:szCs w:val="20"/>
          <w:color w:val="auto"/>
        </w:rPr>
      </w:pPr>
      <w:r>
        <w:rPr>
          <w:rFonts w:ascii="Arial" w:cs="Arial" w:eastAsia="Arial" w:hAnsi="Arial"/>
          <w:sz w:val="12"/>
          <w:szCs w:val="12"/>
          <w:color w:val="auto"/>
        </w:rPr>
        <w:t>The Company has not carved-out prior year sales for periods where the stores were temporarily closed in fiscal 2020 due to the pandemic. However, because the Company’s two stores in Canada were closed for much of the first quarter of fiscal 2021, we removed them from the current calculation of comparable sales.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12121"/>
        </w:rPr>
        <w:t>Continuing Impact of COVID-19 Pandemic on Our Business</w:t>
      </w:r>
    </w:p>
    <w:p>
      <w:pPr>
        <w:spacing w:after="0" w:line="170" w:lineRule="exact"/>
        <w:rPr>
          <w:sz w:val="20"/>
          <w:szCs w:val="20"/>
          <w:color w:val="auto"/>
        </w:rPr>
      </w:pPr>
    </w:p>
    <w:p>
      <w:pPr>
        <w:jc w:val="both"/>
        <w:ind w:right="80"/>
        <w:spacing w:after="0" w:line="265" w:lineRule="auto"/>
        <w:rPr>
          <w:sz w:val="20"/>
          <w:szCs w:val="20"/>
          <w:color w:val="auto"/>
        </w:rPr>
      </w:pPr>
      <w:r>
        <w:rPr>
          <w:rFonts w:ascii="Arial" w:cs="Arial" w:eastAsia="Arial" w:hAnsi="Arial"/>
          <w:sz w:val="12"/>
          <w:szCs w:val="12"/>
          <w:color w:val="auto"/>
        </w:rPr>
        <w:t>On March 11, 2020, the World Health Organization declared COVID-19 as a global pandemic. While the pandemic had an adverse effect on our business, financial condition and result of operations in fiscal 2020, we are hopeful that the worst is behind us and we are on the road to recovery. Substantial uncertainty remains regarding the duration of the pandemic, the potential impact of new variants, and the long-term effect of the pandemic on the global economy and its supply chain, unemployment, and overall consumer demand and spending.</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Executive Summary</w:t>
      </w:r>
    </w:p>
    <w:p>
      <w:pPr>
        <w:spacing w:after="0" w:line="170" w:lineRule="exact"/>
        <w:rPr>
          <w:sz w:val="20"/>
          <w:szCs w:val="20"/>
          <w:color w:val="auto"/>
        </w:rPr>
      </w:pPr>
    </w:p>
    <w:p>
      <w:pPr>
        <w:ind w:right="120"/>
        <w:spacing w:after="0" w:line="265" w:lineRule="auto"/>
        <w:rPr>
          <w:sz w:val="20"/>
          <w:szCs w:val="20"/>
          <w:color w:val="auto"/>
        </w:rPr>
      </w:pPr>
      <w:r>
        <w:rPr>
          <w:rFonts w:ascii="Arial" w:cs="Arial" w:eastAsia="Arial" w:hAnsi="Arial"/>
          <w:sz w:val="12"/>
          <w:szCs w:val="12"/>
          <w:i w:val="1"/>
          <w:iCs w:val="1"/>
          <w:color w:val="auto"/>
        </w:rPr>
        <w:t>The following review of our first quarter results for fiscal 2021 includes a discussion against the first quarter of fiscal 2019 in addition to the first quarter of fiscal 2020. Due to the COVID-19 pandemic and its impact on our results during the first quarter of fiscal 2020, we believe that the additional discussion against the first quarter of fiscal 2019 is a more meaningful comparison with respect to the progress the Company made through the end of the first quarter of fiscal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jc w:val="right"/>
              <w:ind w:right="52"/>
              <w:spacing w:after="0"/>
              <w:rPr>
                <w:sz w:val="20"/>
                <w:szCs w:val="20"/>
                <w:color w:val="auto"/>
              </w:rPr>
            </w:pPr>
            <w:r>
              <w:rPr>
                <w:rFonts w:ascii="Arial" w:cs="Arial" w:eastAsia="Arial" w:hAnsi="Arial"/>
                <w:sz w:val="10"/>
                <w:szCs w:val="10"/>
                <w:color w:val="auto"/>
              </w:rPr>
              <w:t>For the three months ended</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40" w:type="dxa"/>
            <w:vAlign w:val="bottom"/>
          </w:tcPr>
          <w:p>
            <w:pPr>
              <w:jc w:val="right"/>
              <w:ind w:right="132"/>
              <w:spacing w:after="0" w:line="113" w:lineRule="exact"/>
              <w:rPr>
                <w:sz w:val="20"/>
                <w:szCs w:val="20"/>
                <w:color w:val="auto"/>
              </w:rPr>
            </w:pPr>
            <w:r>
              <w:rPr>
                <w:rFonts w:ascii="Arial" w:cs="Arial" w:eastAsia="Arial" w:hAnsi="Arial"/>
                <w:sz w:val="10"/>
                <w:szCs w:val="10"/>
                <w:color w:val="auto"/>
              </w:rPr>
              <w:t>May 1, 2021</w:t>
            </w: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jc w:val="right"/>
              <w:ind w:right="252"/>
              <w:spacing w:after="0" w:line="113" w:lineRule="exact"/>
              <w:rPr>
                <w:sz w:val="20"/>
                <w:szCs w:val="20"/>
                <w:color w:val="auto"/>
              </w:rPr>
            </w:pPr>
            <w:r>
              <w:rPr>
                <w:rFonts w:ascii="Arial" w:cs="Arial" w:eastAsia="Arial" w:hAnsi="Arial"/>
                <w:sz w:val="10"/>
                <w:szCs w:val="10"/>
                <w:color w:val="auto"/>
              </w:rPr>
              <w:t>May 2, 2020</w:t>
            </w: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gridSpan w:val="2"/>
          </w:tcPr>
          <w:p>
            <w:pPr>
              <w:jc w:val="right"/>
              <w:ind w:right="800"/>
              <w:spacing w:after="0" w:line="113" w:lineRule="exact"/>
              <w:rPr>
                <w:sz w:val="20"/>
                <w:szCs w:val="20"/>
                <w:color w:val="auto"/>
              </w:rPr>
            </w:pPr>
            <w:r>
              <w:rPr>
                <w:rFonts w:ascii="Arial" w:cs="Arial" w:eastAsia="Arial" w:hAnsi="Arial"/>
                <w:sz w:val="10"/>
                <w:szCs w:val="10"/>
                <w:color w:val="auto"/>
              </w:rPr>
              <w:t>May 4, 2019</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260" w:type="dxa"/>
            <w:vAlign w:val="bottom"/>
            <w:tcBorders>
              <w:top w:val="single" w:sz="8" w:color="CFF0FC"/>
              <w:bottom w:val="single" w:sz="8" w:color="auto"/>
            </w:tcBorders>
            <w:gridSpan w:val="2"/>
            <w:shd w:val="clear" w:color="auto" w:fill="CFF0FC"/>
          </w:tcPr>
          <w:p>
            <w:pPr>
              <w:spacing w:after="0" w:line="89" w:lineRule="exact"/>
              <w:rPr>
                <w:sz w:val="20"/>
                <w:szCs w:val="20"/>
                <w:color w:val="auto"/>
              </w:rPr>
            </w:pPr>
            <w:r>
              <w:rPr>
                <w:rFonts w:ascii="Arial" w:cs="Arial" w:eastAsia="Arial" w:hAnsi="Arial"/>
                <w:sz w:val="10"/>
                <w:szCs w:val="10"/>
                <w:i w:val="1"/>
                <w:iCs w:val="1"/>
                <w:color w:val="auto"/>
                <w:w w:val="85"/>
              </w:rPr>
              <w:t>(in millions, except percentage of sales and per share data)</w:t>
            </w:r>
          </w:p>
        </w:tc>
        <w:tc>
          <w:tcPr>
            <w:tcW w:w="1680" w:type="dxa"/>
            <w:vAlign w:val="bottom"/>
            <w:tcBorders>
              <w:top w:val="single" w:sz="8" w:color="CFF0FC"/>
              <w:bottom w:val="single" w:sz="8" w:color="CFF0FC"/>
            </w:tcBorders>
            <w:shd w:val="clear" w:color="auto" w:fill="CFF0FC"/>
          </w:tcPr>
          <w:p>
            <w:pPr>
              <w:spacing w:after="0"/>
              <w:rPr>
                <w:sz w:val="7"/>
                <w:szCs w:val="7"/>
                <w:color w:val="auto"/>
              </w:rPr>
            </w:pPr>
          </w:p>
        </w:tc>
        <w:tc>
          <w:tcPr>
            <w:tcW w:w="1660" w:type="dxa"/>
            <w:vAlign w:val="bottom"/>
            <w:tcBorders>
              <w:top w:val="single" w:sz="8" w:color="CFF0FC"/>
              <w:bottom w:val="single" w:sz="8" w:color="CFF0FC"/>
            </w:tcBorders>
            <w:shd w:val="clear" w:color="auto" w:fill="CFF0FC"/>
          </w:tcPr>
          <w:p>
            <w:pPr>
              <w:spacing w:after="0"/>
              <w:rPr>
                <w:sz w:val="7"/>
                <w:szCs w:val="7"/>
                <w:color w:val="auto"/>
              </w:rPr>
            </w:pPr>
          </w:p>
        </w:tc>
        <w:tc>
          <w:tcPr>
            <w:tcW w:w="1240" w:type="dxa"/>
            <w:vAlign w:val="bottom"/>
            <w:tcBorders>
              <w:top w:val="single" w:sz="8" w:color="auto"/>
              <w:bottom w:val="single" w:sz="8" w:color="CFF0FC"/>
            </w:tcBorders>
            <w:shd w:val="clear" w:color="auto" w:fill="CFF0FC"/>
          </w:tcPr>
          <w:p>
            <w:pPr>
              <w:spacing w:after="0"/>
              <w:rPr>
                <w:sz w:val="7"/>
                <w:szCs w:val="7"/>
                <w:color w:val="auto"/>
              </w:rPr>
            </w:pPr>
          </w:p>
        </w:tc>
        <w:tc>
          <w:tcPr>
            <w:tcW w:w="400" w:type="dxa"/>
            <w:vAlign w:val="bottom"/>
            <w:tcBorders>
              <w:top w:val="single" w:sz="8" w:color="auto"/>
              <w:bottom w:val="single" w:sz="8" w:color="CFF0FC"/>
            </w:tcBorders>
            <w:shd w:val="clear" w:color="auto" w:fill="CFF0FC"/>
          </w:tcPr>
          <w:p>
            <w:pPr>
              <w:spacing w:after="0"/>
              <w:rPr>
                <w:sz w:val="7"/>
                <w:szCs w:val="7"/>
                <w:color w:val="auto"/>
              </w:rPr>
            </w:pPr>
          </w:p>
        </w:tc>
        <w:tc>
          <w:tcPr>
            <w:tcW w:w="320" w:type="dxa"/>
            <w:vAlign w:val="bottom"/>
            <w:tcBorders>
              <w:top w:val="single" w:sz="8" w:color="CFF0FC"/>
              <w:bottom w:val="single" w:sz="8" w:color="CFF0FC"/>
            </w:tcBorders>
            <w:shd w:val="clear" w:color="auto" w:fill="CFF0FC"/>
          </w:tcPr>
          <w:p>
            <w:pPr>
              <w:spacing w:after="0"/>
              <w:rPr>
                <w:sz w:val="7"/>
                <w:szCs w:val="7"/>
                <w:color w:val="auto"/>
              </w:rPr>
            </w:pPr>
          </w:p>
        </w:tc>
        <w:tc>
          <w:tcPr>
            <w:tcW w:w="1400" w:type="dxa"/>
            <w:vAlign w:val="bottom"/>
            <w:tcBorders>
              <w:top w:val="single" w:sz="8" w:color="auto"/>
              <w:bottom w:val="single" w:sz="8" w:color="CFF0FC"/>
            </w:tcBorders>
            <w:shd w:val="clear" w:color="auto" w:fill="CFF0FC"/>
          </w:tcPr>
          <w:p>
            <w:pPr>
              <w:spacing w:after="0"/>
              <w:rPr>
                <w:sz w:val="7"/>
                <w:szCs w:val="7"/>
                <w:color w:val="auto"/>
              </w:rPr>
            </w:pPr>
          </w:p>
        </w:tc>
        <w:tc>
          <w:tcPr>
            <w:tcW w:w="300" w:type="dxa"/>
            <w:vAlign w:val="bottom"/>
            <w:tcBorders>
              <w:top w:val="single" w:sz="8" w:color="auto"/>
              <w:bottom w:val="single" w:sz="8" w:color="CFF0FC"/>
            </w:tcBorders>
            <w:shd w:val="clear" w:color="auto" w:fill="CFF0FC"/>
          </w:tcPr>
          <w:p>
            <w:pPr>
              <w:spacing w:after="0"/>
              <w:rPr>
                <w:sz w:val="7"/>
                <w:szCs w:val="7"/>
                <w:color w:val="auto"/>
              </w:rPr>
            </w:pPr>
          </w:p>
        </w:tc>
        <w:tc>
          <w:tcPr>
            <w:tcW w:w="180" w:type="dxa"/>
            <w:vAlign w:val="bottom"/>
            <w:tcBorders>
              <w:top w:val="single" w:sz="8" w:color="CFF0FC"/>
              <w:bottom w:val="single" w:sz="8" w:color="CFF0FC"/>
            </w:tcBorders>
            <w:shd w:val="clear" w:color="auto" w:fill="CFF0FC"/>
          </w:tcPr>
          <w:p>
            <w:pPr>
              <w:spacing w:after="0"/>
              <w:rPr>
                <w:sz w:val="7"/>
                <w:szCs w:val="7"/>
                <w:color w:val="auto"/>
              </w:rPr>
            </w:pPr>
          </w:p>
        </w:tc>
        <w:tc>
          <w:tcPr>
            <w:tcW w:w="300" w:type="dxa"/>
            <w:vAlign w:val="bottom"/>
            <w:tcBorders>
              <w:top w:val="single" w:sz="8" w:color="auto"/>
              <w:bottom w:val="single" w:sz="8" w:color="CFF0FC"/>
            </w:tcBorders>
            <w:shd w:val="clear" w:color="auto" w:fill="CFF0FC"/>
          </w:tcPr>
          <w:p>
            <w:pPr>
              <w:spacing w:after="0"/>
              <w:rPr>
                <w:sz w:val="7"/>
                <w:szCs w:val="7"/>
                <w:color w:val="auto"/>
              </w:rPr>
            </w:pPr>
          </w:p>
        </w:tc>
        <w:tc>
          <w:tcPr>
            <w:tcW w:w="1300" w:type="dxa"/>
            <w:vAlign w:val="bottom"/>
            <w:tcBorders>
              <w:top w:val="single" w:sz="8" w:color="auto"/>
              <w:bottom w:val="single" w:sz="8" w:color="CFF0FC"/>
            </w:tcBorders>
            <w:shd w:val="clear" w:color="auto" w:fill="CFF0FC"/>
          </w:tcPr>
          <w:p>
            <w:pPr>
              <w:spacing w:after="0"/>
              <w:rPr>
                <w:sz w:val="7"/>
                <w:szCs w:val="7"/>
                <w:color w:val="auto"/>
              </w:rPr>
            </w:pPr>
          </w:p>
        </w:tc>
        <w:tc>
          <w:tcPr>
            <w:tcW w:w="240" w:type="dxa"/>
            <w:vAlign w:val="bottom"/>
            <w:tcBorders>
              <w:top w:val="single" w:sz="8" w:color="CFF0FC"/>
              <w:bottom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940" w:type="dxa"/>
            <w:vAlign w:val="bottom"/>
            <w:gridSpan w:val="3"/>
          </w:tcPr>
          <w:p>
            <w:pPr>
              <w:spacing w:after="0" w:line="98" w:lineRule="exact"/>
              <w:rPr>
                <w:sz w:val="20"/>
                <w:szCs w:val="20"/>
                <w:color w:val="auto"/>
              </w:rPr>
            </w:pPr>
            <w:r>
              <w:rPr>
                <w:rFonts w:ascii="Arial" w:cs="Arial" w:eastAsia="Arial" w:hAnsi="Arial"/>
                <w:sz w:val="10"/>
                <w:szCs w:val="10"/>
                <w:color w:val="auto"/>
              </w:rPr>
              <w:t>Sales</w:t>
            </w:r>
          </w:p>
        </w:tc>
        <w:tc>
          <w:tcPr>
            <w:tcW w:w="2900" w:type="dxa"/>
            <w:vAlign w:val="bottom"/>
            <w:gridSpan w:val="2"/>
          </w:tcPr>
          <w:p>
            <w:pPr>
              <w:jc w:val="right"/>
              <w:ind w:right="1132"/>
              <w:spacing w:after="0" w:line="98" w:lineRule="exact"/>
              <w:rPr>
                <w:sz w:val="20"/>
                <w:szCs w:val="20"/>
                <w:color w:val="auto"/>
              </w:rPr>
            </w:pPr>
            <w:r>
              <w:rPr>
                <w:rFonts w:ascii="Arial" w:cs="Arial" w:eastAsia="Arial" w:hAnsi="Arial"/>
                <w:sz w:val="10"/>
                <w:szCs w:val="10"/>
                <w:color w:val="auto"/>
              </w:rPr>
              <w:t>$</w:t>
            </w:r>
          </w:p>
        </w:tc>
        <w:tc>
          <w:tcPr>
            <w:tcW w:w="400" w:type="dxa"/>
            <w:vAlign w:val="bottom"/>
          </w:tcPr>
          <w:p>
            <w:pPr>
              <w:jc w:val="right"/>
              <w:spacing w:after="0" w:line="98" w:lineRule="exact"/>
              <w:rPr>
                <w:sz w:val="20"/>
                <w:szCs w:val="20"/>
                <w:color w:val="auto"/>
              </w:rPr>
            </w:pPr>
            <w:r>
              <w:rPr>
                <w:rFonts w:ascii="Arial" w:cs="Arial" w:eastAsia="Arial" w:hAnsi="Arial"/>
                <w:sz w:val="10"/>
                <w:szCs w:val="10"/>
                <w:color w:val="auto"/>
              </w:rPr>
              <w:t>111.5</w:t>
            </w:r>
          </w:p>
        </w:tc>
        <w:tc>
          <w:tcPr>
            <w:tcW w:w="320" w:type="dxa"/>
            <w:vAlign w:val="bottom"/>
          </w:tcPr>
          <w:p>
            <w:pPr>
              <w:spacing w:after="0"/>
              <w:rPr>
                <w:sz w:val="8"/>
                <w:szCs w:val="8"/>
                <w:color w:val="auto"/>
              </w:rPr>
            </w:pPr>
          </w:p>
        </w:tc>
        <w:tc>
          <w:tcPr>
            <w:tcW w:w="1400" w:type="dxa"/>
            <w:vAlign w:val="bottom"/>
          </w:tcPr>
          <w:p>
            <w:pPr>
              <w:jc w:val="right"/>
              <w:ind w:right="1292"/>
              <w:spacing w:after="0" w:line="98" w:lineRule="exact"/>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line="98" w:lineRule="exact"/>
              <w:rPr>
                <w:sz w:val="20"/>
                <w:szCs w:val="20"/>
                <w:color w:val="auto"/>
              </w:rPr>
            </w:pPr>
            <w:r>
              <w:rPr>
                <w:rFonts w:ascii="Arial" w:cs="Arial" w:eastAsia="Arial" w:hAnsi="Arial"/>
                <w:sz w:val="10"/>
                <w:szCs w:val="10"/>
                <w:color w:val="auto"/>
              </w:rPr>
              <w:t>57.2</w:t>
            </w:r>
          </w:p>
        </w:tc>
        <w:tc>
          <w:tcPr>
            <w:tcW w:w="180" w:type="dxa"/>
            <w:vAlign w:val="bottom"/>
          </w:tcPr>
          <w:p>
            <w:pPr>
              <w:spacing w:after="0"/>
              <w:rPr>
                <w:sz w:val="8"/>
                <w:szCs w:val="8"/>
                <w:color w:val="auto"/>
              </w:rPr>
            </w:pPr>
          </w:p>
        </w:tc>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1300" w:type="dxa"/>
            <w:vAlign w:val="bottom"/>
          </w:tcPr>
          <w:p>
            <w:pPr>
              <w:jc w:val="right"/>
              <w:spacing w:after="0" w:line="98" w:lineRule="exact"/>
              <w:rPr>
                <w:sz w:val="20"/>
                <w:szCs w:val="20"/>
                <w:color w:val="auto"/>
              </w:rPr>
            </w:pPr>
            <w:r>
              <w:rPr>
                <w:rFonts w:ascii="Arial" w:cs="Arial" w:eastAsia="Arial" w:hAnsi="Arial"/>
                <w:sz w:val="10"/>
                <w:szCs w:val="10"/>
                <w:color w:val="auto"/>
              </w:rPr>
              <w:t>113.0</w:t>
            </w: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940" w:type="dxa"/>
            <w:vAlign w:val="bottom"/>
            <w:gridSpan w:val="3"/>
            <w:shd w:val="clear" w:color="auto" w:fill="CFF0FC"/>
          </w:tcPr>
          <w:p>
            <w:pPr>
              <w:spacing w:after="0" w:line="109" w:lineRule="exact"/>
              <w:rPr>
                <w:sz w:val="20"/>
                <w:szCs w:val="20"/>
                <w:color w:val="auto"/>
              </w:rPr>
            </w:pPr>
            <w:r>
              <w:rPr>
                <w:rFonts w:ascii="Arial" w:cs="Arial" w:eastAsia="Arial" w:hAnsi="Arial"/>
                <w:sz w:val="10"/>
                <w:szCs w:val="10"/>
                <w:color w:val="auto"/>
              </w:rPr>
              <w:t>Net income (loss)</w:t>
            </w:r>
          </w:p>
        </w:tc>
        <w:tc>
          <w:tcPr>
            <w:tcW w:w="2900" w:type="dxa"/>
            <w:vAlign w:val="bottom"/>
            <w:gridSpan w:val="2"/>
            <w:shd w:val="clear" w:color="auto" w:fill="CFF0FC"/>
          </w:tcPr>
          <w:p>
            <w:pPr>
              <w:jc w:val="right"/>
              <w:ind w:right="1132"/>
              <w:spacing w:after="0" w:line="109" w:lineRule="exact"/>
              <w:rPr>
                <w:sz w:val="20"/>
                <w:szCs w:val="20"/>
                <w:color w:val="auto"/>
              </w:rPr>
            </w:pPr>
            <w:r>
              <w:rPr>
                <w:rFonts w:ascii="Arial" w:cs="Arial" w:eastAsia="Arial" w:hAnsi="Arial"/>
                <w:sz w:val="10"/>
                <w:szCs w:val="10"/>
                <w:color w:val="auto"/>
              </w:rPr>
              <w:t>$</w:t>
            </w:r>
          </w:p>
        </w:tc>
        <w:tc>
          <w:tcPr>
            <w:tcW w:w="40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8.7</w:t>
            </w:r>
          </w:p>
        </w:tc>
        <w:tc>
          <w:tcPr>
            <w:tcW w:w="320" w:type="dxa"/>
            <w:vAlign w:val="bottom"/>
            <w:shd w:val="clear" w:color="auto" w:fill="CFF0FC"/>
          </w:tcPr>
          <w:p>
            <w:pPr>
              <w:spacing w:after="0"/>
              <w:rPr>
                <w:sz w:val="9"/>
                <w:szCs w:val="9"/>
                <w:color w:val="auto"/>
              </w:rPr>
            </w:pPr>
          </w:p>
        </w:tc>
        <w:tc>
          <w:tcPr>
            <w:tcW w:w="1400" w:type="dxa"/>
            <w:vAlign w:val="bottom"/>
            <w:shd w:val="clear" w:color="auto" w:fill="CFF0FC"/>
          </w:tcPr>
          <w:p>
            <w:pPr>
              <w:jc w:val="right"/>
              <w:ind w:right="1292"/>
              <w:spacing w:after="0" w:line="109" w:lineRule="exact"/>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FF0FC"/>
          </w:tcPr>
          <w:p>
            <w:pPr>
              <w:jc w:val="right"/>
              <w:ind w:right="140"/>
              <w:spacing w:after="0" w:line="109" w:lineRule="exact"/>
              <w:rPr>
                <w:sz w:val="20"/>
                <w:szCs w:val="20"/>
                <w:color w:val="auto"/>
              </w:rPr>
            </w:pPr>
            <w:r>
              <w:rPr>
                <w:rFonts w:ascii="Arial" w:cs="Arial" w:eastAsia="Arial" w:hAnsi="Arial"/>
                <w:sz w:val="10"/>
                <w:szCs w:val="10"/>
                <w:color w:val="auto"/>
              </w:rPr>
              <w:t>(41.7)</w:t>
            </w:r>
          </w:p>
        </w:tc>
        <w:tc>
          <w:tcPr>
            <w:tcW w:w="300" w:type="dxa"/>
            <w:vAlign w:val="bottom"/>
            <w:shd w:val="clear" w:color="auto" w:fill="CFF0FC"/>
          </w:tcPr>
          <w:p>
            <w:pPr>
              <w:jc w:val="right"/>
              <w:ind w:right="236"/>
              <w:spacing w:after="0"/>
              <w:rPr>
                <w:sz w:val="20"/>
                <w:szCs w:val="20"/>
                <w:color w:val="auto"/>
              </w:rPr>
            </w:pPr>
            <w:r>
              <w:rPr>
                <w:rFonts w:ascii="Arial" w:cs="Arial" w:eastAsia="Arial" w:hAnsi="Arial"/>
                <w:sz w:val="5"/>
                <w:szCs w:val="5"/>
                <w:color w:val="auto"/>
                <w:w w:val="70"/>
              </w:rPr>
              <w:t>$</w:t>
            </w:r>
          </w:p>
        </w:tc>
        <w:tc>
          <w:tcPr>
            <w:tcW w:w="1540" w:type="dxa"/>
            <w:vAlign w:val="bottom"/>
            <w:gridSpan w:val="2"/>
            <w:shd w:val="clear" w:color="auto" w:fill="CFF0FC"/>
          </w:tcPr>
          <w:p>
            <w:pPr>
              <w:jc w:val="right"/>
              <w:ind w:right="200"/>
              <w:spacing w:after="0" w:line="109" w:lineRule="exact"/>
              <w:rPr>
                <w:sz w:val="20"/>
                <w:szCs w:val="20"/>
                <w:color w:val="auto"/>
              </w:rPr>
            </w:pPr>
            <w:r>
              <w:rPr>
                <w:rFonts w:ascii="Arial" w:cs="Arial" w:eastAsia="Arial" w:hAnsi="Arial"/>
                <w:sz w:val="10"/>
                <w:szCs w:val="10"/>
                <w:color w:val="auto"/>
              </w:rPr>
              <w:t>(3.1)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940" w:type="dxa"/>
            <w:vAlign w:val="bottom"/>
            <w:gridSpan w:val="3"/>
          </w:tcPr>
          <w:p>
            <w:pPr>
              <w:spacing w:after="0" w:line="109" w:lineRule="exact"/>
              <w:rPr>
                <w:sz w:val="20"/>
                <w:szCs w:val="20"/>
                <w:color w:val="auto"/>
              </w:rPr>
            </w:pPr>
            <w:r>
              <w:rPr>
                <w:rFonts w:ascii="Arial" w:cs="Arial" w:eastAsia="Arial" w:hAnsi="Arial"/>
                <w:sz w:val="10"/>
                <w:szCs w:val="10"/>
                <w:color w:val="auto"/>
              </w:rPr>
              <w:t>Adjusted EBITDA (Non-GAAP basis)</w:t>
            </w:r>
          </w:p>
        </w:tc>
        <w:tc>
          <w:tcPr>
            <w:tcW w:w="2900" w:type="dxa"/>
            <w:vAlign w:val="bottom"/>
            <w:gridSpan w:val="2"/>
          </w:tcPr>
          <w:p>
            <w:pPr>
              <w:jc w:val="right"/>
              <w:ind w:right="1132"/>
              <w:spacing w:after="0" w:line="109" w:lineRule="exact"/>
              <w:rPr>
                <w:sz w:val="20"/>
                <w:szCs w:val="20"/>
                <w:color w:val="auto"/>
              </w:rPr>
            </w:pPr>
            <w:r>
              <w:rPr>
                <w:rFonts w:ascii="Arial" w:cs="Arial" w:eastAsia="Arial" w:hAnsi="Arial"/>
                <w:sz w:val="10"/>
                <w:szCs w:val="10"/>
                <w:color w:val="auto"/>
              </w:rPr>
              <w:t>$</w:t>
            </w:r>
          </w:p>
        </w:tc>
        <w:tc>
          <w:tcPr>
            <w:tcW w:w="400" w:type="dxa"/>
            <w:vAlign w:val="bottom"/>
          </w:tcPr>
          <w:p>
            <w:pPr>
              <w:jc w:val="right"/>
              <w:spacing w:after="0" w:line="109" w:lineRule="exact"/>
              <w:rPr>
                <w:sz w:val="20"/>
                <w:szCs w:val="20"/>
                <w:color w:val="auto"/>
              </w:rPr>
            </w:pPr>
            <w:r>
              <w:rPr>
                <w:rFonts w:ascii="Arial" w:cs="Arial" w:eastAsia="Arial" w:hAnsi="Arial"/>
                <w:sz w:val="10"/>
                <w:szCs w:val="10"/>
                <w:color w:val="auto"/>
              </w:rPr>
              <w:t>13.7</w:t>
            </w:r>
          </w:p>
        </w:tc>
        <w:tc>
          <w:tcPr>
            <w:tcW w:w="320" w:type="dxa"/>
            <w:vAlign w:val="bottom"/>
          </w:tcPr>
          <w:p>
            <w:pPr>
              <w:spacing w:after="0"/>
              <w:rPr>
                <w:sz w:val="9"/>
                <w:szCs w:val="9"/>
                <w:color w:val="auto"/>
              </w:rPr>
            </w:pPr>
          </w:p>
        </w:tc>
        <w:tc>
          <w:tcPr>
            <w:tcW w:w="1400" w:type="dxa"/>
            <w:vAlign w:val="bottom"/>
          </w:tcPr>
          <w:p>
            <w:pPr>
              <w:jc w:val="right"/>
              <w:ind w:right="1292"/>
              <w:spacing w:after="0" w:line="109" w:lineRule="exact"/>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(18.9)</w:t>
            </w:r>
          </w:p>
        </w:tc>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1300" w:type="dxa"/>
            <w:vAlign w:val="bottom"/>
          </w:tcPr>
          <w:p>
            <w:pPr>
              <w:jc w:val="right"/>
              <w:spacing w:after="0" w:line="109" w:lineRule="exact"/>
              <w:rPr>
                <w:sz w:val="20"/>
                <w:szCs w:val="20"/>
                <w:color w:val="auto"/>
              </w:rPr>
            </w:pPr>
            <w:r>
              <w:rPr>
                <w:rFonts w:ascii="Arial" w:cs="Arial" w:eastAsia="Arial" w:hAnsi="Arial"/>
                <w:sz w:val="10"/>
                <w:szCs w:val="10"/>
                <w:color w:val="auto"/>
              </w:rPr>
              <w:t>4.8</w:t>
            </w: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620" w:type="dxa"/>
            <w:vAlign w:val="bottom"/>
            <w:shd w:val="clear" w:color="auto" w:fill="CFF0FC"/>
          </w:tcPr>
          <w:p>
            <w:pPr>
              <w:spacing w:after="0"/>
              <w:rPr>
                <w:sz w:val="9"/>
                <w:szCs w:val="9"/>
                <w:color w:val="auto"/>
              </w:rPr>
            </w:pPr>
          </w:p>
        </w:tc>
        <w:tc>
          <w:tcPr>
            <w:tcW w:w="1680" w:type="dxa"/>
            <w:vAlign w:val="bottom"/>
            <w:shd w:val="clear" w:color="auto" w:fill="CFF0FC"/>
          </w:tcPr>
          <w:p>
            <w:pPr>
              <w:spacing w:after="0"/>
              <w:rPr>
                <w:sz w:val="9"/>
                <w:szCs w:val="9"/>
                <w:color w:val="auto"/>
              </w:rPr>
            </w:pPr>
          </w:p>
        </w:tc>
        <w:tc>
          <w:tcPr>
            <w:tcW w:w="166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3940" w:type="dxa"/>
            <w:vAlign w:val="bottom"/>
            <w:gridSpan w:val="3"/>
          </w:tcPr>
          <w:p>
            <w:pPr>
              <w:spacing w:after="0" w:line="109" w:lineRule="exact"/>
              <w:rPr>
                <w:sz w:val="20"/>
                <w:szCs w:val="20"/>
                <w:color w:val="auto"/>
              </w:rPr>
            </w:pPr>
            <w:r>
              <w:rPr>
                <w:rFonts w:ascii="Arial" w:cs="Arial" w:eastAsia="Arial" w:hAnsi="Arial"/>
                <w:sz w:val="10"/>
                <w:szCs w:val="10"/>
                <w:color w:val="auto"/>
              </w:rPr>
              <w:t>Gross Margin. as a percentage of sales</w:t>
            </w:r>
          </w:p>
        </w:tc>
        <w:tc>
          <w:tcPr>
            <w:tcW w:w="16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20" w:type="dxa"/>
            <w:vAlign w:val="bottom"/>
            <w:gridSpan w:val="2"/>
          </w:tcPr>
          <w:p>
            <w:pPr>
              <w:jc w:val="right"/>
              <w:ind w:right="240"/>
              <w:spacing w:after="0" w:line="109" w:lineRule="exact"/>
              <w:rPr>
                <w:sz w:val="20"/>
                <w:szCs w:val="20"/>
                <w:color w:val="auto"/>
              </w:rPr>
            </w:pPr>
            <w:r>
              <w:rPr>
                <w:rFonts w:ascii="Arial" w:cs="Arial" w:eastAsia="Arial" w:hAnsi="Arial"/>
                <w:sz w:val="10"/>
                <w:szCs w:val="10"/>
                <w:color w:val="auto"/>
              </w:rPr>
              <w:t>45.6%</w:t>
            </w:r>
          </w:p>
        </w:tc>
        <w:tc>
          <w:tcPr>
            <w:tcW w:w="1400" w:type="dxa"/>
            <w:vAlign w:val="bottom"/>
          </w:tcPr>
          <w:p>
            <w:pPr>
              <w:spacing w:after="0"/>
              <w:rPr>
                <w:sz w:val="9"/>
                <w:szCs w:val="9"/>
                <w:color w:val="auto"/>
              </w:rPr>
            </w:pPr>
          </w:p>
        </w:tc>
        <w:tc>
          <w:tcPr>
            <w:tcW w:w="48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23.1%</w:t>
            </w:r>
          </w:p>
        </w:tc>
        <w:tc>
          <w:tcPr>
            <w:tcW w:w="300" w:type="dxa"/>
            <w:vAlign w:val="bottom"/>
          </w:tcPr>
          <w:p>
            <w:pPr>
              <w:spacing w:after="0"/>
              <w:rPr>
                <w:sz w:val="9"/>
                <w:szCs w:val="9"/>
                <w:color w:val="auto"/>
              </w:rPr>
            </w:pPr>
          </w:p>
        </w:tc>
        <w:tc>
          <w:tcPr>
            <w:tcW w:w="1540" w:type="dxa"/>
            <w:vAlign w:val="bottom"/>
            <w:gridSpan w:val="2"/>
          </w:tcPr>
          <w:p>
            <w:pPr>
              <w:jc w:val="right"/>
              <w:ind w:right="160"/>
              <w:spacing w:after="0" w:line="109" w:lineRule="exact"/>
              <w:rPr>
                <w:sz w:val="20"/>
                <w:szCs w:val="20"/>
                <w:color w:val="auto"/>
              </w:rPr>
            </w:pPr>
            <w:r>
              <w:rPr>
                <w:rFonts w:ascii="Arial" w:cs="Arial" w:eastAsia="Arial" w:hAnsi="Arial"/>
                <w:sz w:val="10"/>
                <w:szCs w:val="10"/>
                <w:color w:val="auto"/>
              </w:rPr>
              <w:t>43.7%</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940" w:type="dxa"/>
            <w:vAlign w:val="bottom"/>
            <w:gridSpan w:val="3"/>
            <w:shd w:val="clear" w:color="auto" w:fill="CFF0FC"/>
          </w:tcPr>
          <w:p>
            <w:pPr>
              <w:spacing w:after="0" w:line="109" w:lineRule="exact"/>
              <w:rPr>
                <w:sz w:val="20"/>
                <w:szCs w:val="20"/>
                <w:color w:val="auto"/>
              </w:rPr>
            </w:pPr>
            <w:r>
              <w:rPr>
                <w:rFonts w:ascii="Arial" w:cs="Arial" w:eastAsia="Arial" w:hAnsi="Arial"/>
                <w:sz w:val="10"/>
                <w:szCs w:val="10"/>
                <w:color w:val="auto"/>
              </w:rPr>
              <w:t>SG&amp;A expenses, as a percentage of sales</w:t>
            </w:r>
          </w:p>
        </w:tc>
        <w:tc>
          <w:tcPr>
            <w:tcW w:w="166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720" w:type="dxa"/>
            <w:vAlign w:val="bottom"/>
            <w:gridSpan w:val="2"/>
            <w:shd w:val="clear" w:color="auto" w:fill="CFF0FC"/>
          </w:tcPr>
          <w:p>
            <w:pPr>
              <w:jc w:val="right"/>
              <w:ind w:right="240"/>
              <w:spacing w:after="0" w:line="109" w:lineRule="exact"/>
              <w:rPr>
                <w:sz w:val="20"/>
                <w:szCs w:val="20"/>
                <w:color w:val="auto"/>
              </w:rPr>
            </w:pPr>
            <w:r>
              <w:rPr>
                <w:rFonts w:ascii="Arial" w:cs="Arial" w:eastAsia="Arial" w:hAnsi="Arial"/>
                <w:sz w:val="10"/>
                <w:szCs w:val="10"/>
                <w:color w:val="auto"/>
              </w:rPr>
              <w:t>33.3%</w:t>
            </w:r>
          </w:p>
        </w:tc>
        <w:tc>
          <w:tcPr>
            <w:tcW w:w="1400" w:type="dxa"/>
            <w:vAlign w:val="bottom"/>
            <w:shd w:val="clear" w:color="auto" w:fill="CFF0FC"/>
          </w:tcPr>
          <w:p>
            <w:pPr>
              <w:spacing w:after="0"/>
              <w:rPr>
                <w:sz w:val="9"/>
                <w:szCs w:val="9"/>
                <w:color w:val="auto"/>
              </w:rPr>
            </w:pPr>
          </w:p>
        </w:tc>
        <w:tc>
          <w:tcPr>
            <w:tcW w:w="480" w:type="dxa"/>
            <w:vAlign w:val="bottom"/>
            <w:gridSpan w:val="2"/>
            <w:shd w:val="clear" w:color="auto" w:fill="CFF0FC"/>
          </w:tcPr>
          <w:p>
            <w:pPr>
              <w:jc w:val="right"/>
              <w:ind w:right="100"/>
              <w:spacing w:after="0" w:line="109" w:lineRule="exact"/>
              <w:rPr>
                <w:sz w:val="20"/>
                <w:szCs w:val="20"/>
                <w:color w:val="auto"/>
              </w:rPr>
            </w:pPr>
            <w:r>
              <w:rPr>
                <w:rFonts w:ascii="Arial" w:cs="Arial" w:eastAsia="Arial" w:hAnsi="Arial"/>
                <w:sz w:val="10"/>
                <w:szCs w:val="10"/>
                <w:color w:val="auto"/>
              </w:rPr>
              <w:t>56.1%</w:t>
            </w:r>
          </w:p>
        </w:tc>
        <w:tc>
          <w:tcPr>
            <w:tcW w:w="30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160"/>
              <w:spacing w:after="0" w:line="109" w:lineRule="exact"/>
              <w:rPr>
                <w:sz w:val="20"/>
                <w:szCs w:val="20"/>
                <w:color w:val="auto"/>
              </w:rPr>
            </w:pPr>
            <w:r>
              <w:rPr>
                <w:rFonts w:ascii="Arial" w:cs="Arial" w:eastAsia="Arial" w:hAnsi="Arial"/>
                <w:sz w:val="10"/>
                <w:szCs w:val="10"/>
                <w:color w:val="auto"/>
              </w:rPr>
              <w:t>39.5%</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continue"/>
          </w:tcPr>
          <w:p>
            <w:pPr>
              <w:spacing w:after="0"/>
              <w:rPr>
                <w:sz w:val="8"/>
                <w:szCs w:val="8"/>
                <w:color w:val="auto"/>
              </w:rPr>
            </w:pPr>
          </w:p>
        </w:tc>
        <w:tc>
          <w:tcPr>
            <w:tcW w:w="3940" w:type="dxa"/>
            <w:vAlign w:val="bottom"/>
            <w:gridSpan w:val="3"/>
            <w:shd w:val="clear" w:color="auto" w:fill="CFF0FC"/>
          </w:tcPr>
          <w:p>
            <w:pPr>
              <w:spacing w:after="0" w:line="100" w:lineRule="exact"/>
              <w:rPr>
                <w:sz w:val="20"/>
                <w:szCs w:val="20"/>
                <w:color w:val="auto"/>
              </w:rPr>
            </w:pPr>
            <w:r>
              <w:rPr>
                <w:rFonts w:ascii="Arial" w:cs="Arial" w:eastAsia="Arial" w:hAnsi="Arial"/>
                <w:sz w:val="10"/>
                <w:szCs w:val="10"/>
                <w:color w:val="auto"/>
              </w:rPr>
              <w:t>Per diluted share:</w:t>
            </w:r>
          </w:p>
        </w:tc>
        <w:tc>
          <w:tcPr>
            <w:tcW w:w="166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4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3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166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0" w:type="dxa"/>
            <w:vAlign w:val="bottom"/>
            <w:vMerge w:val="continue"/>
          </w:tcPr>
          <w:p>
            <w:pPr>
              <w:spacing w:after="0"/>
              <w:rPr>
                <w:sz w:val="8"/>
                <w:szCs w:val="8"/>
                <w:color w:val="auto"/>
              </w:rPr>
            </w:pPr>
          </w:p>
        </w:tc>
        <w:tc>
          <w:tcPr>
            <w:tcW w:w="3940" w:type="dxa"/>
            <w:vAlign w:val="bottom"/>
            <w:gridSpan w:val="3"/>
          </w:tcPr>
          <w:p>
            <w:pPr>
              <w:spacing w:after="0" w:line="98" w:lineRule="exact"/>
              <w:rPr>
                <w:sz w:val="20"/>
                <w:szCs w:val="20"/>
                <w:color w:val="auto"/>
              </w:rPr>
            </w:pPr>
            <w:r>
              <w:rPr>
                <w:rFonts w:ascii="Arial" w:cs="Arial" w:eastAsia="Arial" w:hAnsi="Arial"/>
                <w:sz w:val="10"/>
                <w:szCs w:val="10"/>
                <w:color w:val="auto"/>
              </w:rPr>
              <w:t>Net income (loss)</w:t>
            </w:r>
          </w:p>
        </w:tc>
        <w:tc>
          <w:tcPr>
            <w:tcW w:w="2900" w:type="dxa"/>
            <w:vAlign w:val="bottom"/>
            <w:gridSpan w:val="2"/>
          </w:tcPr>
          <w:p>
            <w:pPr>
              <w:jc w:val="right"/>
              <w:ind w:right="1132"/>
              <w:spacing w:after="0" w:line="98" w:lineRule="exact"/>
              <w:rPr>
                <w:sz w:val="20"/>
                <w:szCs w:val="20"/>
                <w:color w:val="auto"/>
              </w:rPr>
            </w:pPr>
            <w:r>
              <w:rPr>
                <w:rFonts w:ascii="Arial" w:cs="Arial" w:eastAsia="Arial" w:hAnsi="Arial"/>
                <w:sz w:val="10"/>
                <w:szCs w:val="10"/>
                <w:color w:val="auto"/>
              </w:rPr>
              <w:t>$</w:t>
            </w:r>
          </w:p>
        </w:tc>
        <w:tc>
          <w:tcPr>
            <w:tcW w:w="400" w:type="dxa"/>
            <w:vAlign w:val="bottom"/>
          </w:tcPr>
          <w:p>
            <w:pPr>
              <w:jc w:val="right"/>
              <w:spacing w:after="0" w:line="98" w:lineRule="exact"/>
              <w:rPr>
                <w:sz w:val="20"/>
                <w:szCs w:val="20"/>
                <w:color w:val="auto"/>
              </w:rPr>
            </w:pPr>
            <w:r>
              <w:rPr>
                <w:rFonts w:ascii="Arial" w:cs="Arial" w:eastAsia="Arial" w:hAnsi="Arial"/>
                <w:sz w:val="10"/>
                <w:szCs w:val="10"/>
                <w:color w:val="auto"/>
              </w:rPr>
              <w:t>0.14</w:t>
            </w:r>
          </w:p>
        </w:tc>
        <w:tc>
          <w:tcPr>
            <w:tcW w:w="320" w:type="dxa"/>
            <w:vAlign w:val="bottom"/>
          </w:tcPr>
          <w:p>
            <w:pPr>
              <w:spacing w:after="0"/>
              <w:rPr>
                <w:sz w:val="8"/>
                <w:szCs w:val="8"/>
                <w:color w:val="auto"/>
              </w:rPr>
            </w:pPr>
          </w:p>
        </w:tc>
        <w:tc>
          <w:tcPr>
            <w:tcW w:w="1400" w:type="dxa"/>
            <w:vAlign w:val="bottom"/>
          </w:tcPr>
          <w:p>
            <w:pPr>
              <w:jc w:val="right"/>
              <w:ind w:right="1292"/>
              <w:spacing w:after="0" w:line="98" w:lineRule="exact"/>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10"/>
                <w:szCs w:val="10"/>
                <w:color w:val="auto"/>
              </w:rPr>
              <w:t>(0.82)</w:t>
            </w:r>
          </w:p>
        </w:tc>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1540" w:type="dxa"/>
            <w:vAlign w:val="bottom"/>
            <w:gridSpan w:val="2"/>
          </w:tcPr>
          <w:p>
            <w:pPr>
              <w:jc w:val="right"/>
              <w:ind w:right="200"/>
              <w:spacing w:after="0" w:line="98" w:lineRule="exact"/>
              <w:rPr>
                <w:sz w:val="20"/>
                <w:szCs w:val="20"/>
                <w:color w:val="auto"/>
              </w:rPr>
            </w:pPr>
            <w:r>
              <w:rPr>
                <w:rFonts w:ascii="Arial" w:cs="Arial" w:eastAsia="Arial" w:hAnsi="Arial"/>
                <w:sz w:val="10"/>
                <w:szCs w:val="10"/>
                <w:color w:val="auto"/>
              </w:rPr>
              <w:t>(0.06)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940" w:type="dxa"/>
            <w:vAlign w:val="bottom"/>
            <w:gridSpan w:val="3"/>
            <w:shd w:val="clear" w:color="auto" w:fill="CFF0FC"/>
          </w:tcPr>
          <w:p>
            <w:pPr>
              <w:spacing w:after="0" w:line="109" w:lineRule="exact"/>
              <w:rPr>
                <w:sz w:val="20"/>
                <w:szCs w:val="20"/>
                <w:color w:val="auto"/>
              </w:rPr>
            </w:pPr>
            <w:r>
              <w:rPr>
                <w:rFonts w:ascii="Arial" w:cs="Arial" w:eastAsia="Arial" w:hAnsi="Arial"/>
                <w:sz w:val="10"/>
                <w:szCs w:val="10"/>
                <w:color w:val="auto"/>
              </w:rPr>
              <w:t>Adjusted net income (loss) (Non-GAAP basis)</w:t>
            </w:r>
          </w:p>
        </w:tc>
        <w:tc>
          <w:tcPr>
            <w:tcW w:w="2900" w:type="dxa"/>
            <w:vAlign w:val="bottom"/>
            <w:gridSpan w:val="2"/>
            <w:shd w:val="clear" w:color="auto" w:fill="CFF0FC"/>
          </w:tcPr>
          <w:p>
            <w:pPr>
              <w:jc w:val="right"/>
              <w:ind w:right="1132"/>
              <w:spacing w:after="0" w:line="109" w:lineRule="exact"/>
              <w:rPr>
                <w:sz w:val="20"/>
                <w:szCs w:val="20"/>
                <w:color w:val="auto"/>
              </w:rPr>
            </w:pPr>
            <w:r>
              <w:rPr>
                <w:rFonts w:ascii="Arial" w:cs="Arial" w:eastAsia="Arial" w:hAnsi="Arial"/>
                <w:sz w:val="10"/>
                <w:szCs w:val="10"/>
                <w:color w:val="auto"/>
              </w:rPr>
              <w:t>$</w:t>
            </w:r>
          </w:p>
        </w:tc>
        <w:tc>
          <w:tcPr>
            <w:tcW w:w="40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0.09</w:t>
            </w:r>
          </w:p>
        </w:tc>
        <w:tc>
          <w:tcPr>
            <w:tcW w:w="320" w:type="dxa"/>
            <w:vAlign w:val="bottom"/>
            <w:shd w:val="clear" w:color="auto" w:fill="CFF0FC"/>
          </w:tcPr>
          <w:p>
            <w:pPr>
              <w:spacing w:after="0"/>
              <w:rPr>
                <w:sz w:val="9"/>
                <w:szCs w:val="9"/>
                <w:color w:val="auto"/>
              </w:rPr>
            </w:pPr>
          </w:p>
        </w:tc>
        <w:tc>
          <w:tcPr>
            <w:tcW w:w="1400" w:type="dxa"/>
            <w:vAlign w:val="bottom"/>
            <w:shd w:val="clear" w:color="auto" w:fill="CFF0FC"/>
          </w:tcPr>
          <w:p>
            <w:pPr>
              <w:jc w:val="right"/>
              <w:ind w:right="1292"/>
              <w:spacing w:after="0" w:line="109" w:lineRule="exact"/>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FF0FC"/>
          </w:tcPr>
          <w:p>
            <w:pPr>
              <w:jc w:val="right"/>
              <w:ind w:right="140"/>
              <w:spacing w:after="0" w:line="109" w:lineRule="exact"/>
              <w:rPr>
                <w:sz w:val="20"/>
                <w:szCs w:val="20"/>
                <w:color w:val="auto"/>
              </w:rPr>
            </w:pPr>
            <w:r>
              <w:rPr>
                <w:rFonts w:ascii="Arial" w:cs="Arial" w:eastAsia="Arial" w:hAnsi="Arial"/>
                <w:sz w:val="10"/>
                <w:szCs w:val="10"/>
                <w:color w:val="auto"/>
              </w:rPr>
              <w:t>(0.37)</w:t>
            </w:r>
          </w:p>
        </w:tc>
        <w:tc>
          <w:tcPr>
            <w:tcW w:w="300" w:type="dxa"/>
            <w:vAlign w:val="bottom"/>
            <w:shd w:val="clear" w:color="auto" w:fill="CFF0FC"/>
          </w:tcPr>
          <w:p>
            <w:pPr>
              <w:jc w:val="right"/>
              <w:ind w:right="236"/>
              <w:spacing w:after="0"/>
              <w:rPr>
                <w:sz w:val="20"/>
                <w:szCs w:val="20"/>
                <w:color w:val="auto"/>
              </w:rPr>
            </w:pPr>
            <w:r>
              <w:rPr>
                <w:rFonts w:ascii="Arial" w:cs="Arial" w:eastAsia="Arial" w:hAnsi="Arial"/>
                <w:sz w:val="5"/>
                <w:szCs w:val="5"/>
                <w:color w:val="auto"/>
                <w:w w:val="70"/>
              </w:rPr>
              <w:t>$</w:t>
            </w:r>
          </w:p>
        </w:tc>
        <w:tc>
          <w:tcPr>
            <w:tcW w:w="1540" w:type="dxa"/>
            <w:vAlign w:val="bottom"/>
            <w:gridSpan w:val="2"/>
            <w:shd w:val="clear" w:color="auto" w:fill="CFF0FC"/>
          </w:tcPr>
          <w:p>
            <w:pPr>
              <w:jc w:val="right"/>
              <w:ind w:right="200"/>
              <w:spacing w:after="0" w:line="109" w:lineRule="exact"/>
              <w:rPr>
                <w:sz w:val="20"/>
                <w:szCs w:val="20"/>
                <w:color w:val="auto"/>
              </w:rPr>
            </w:pPr>
            <w:r>
              <w:rPr>
                <w:rFonts w:ascii="Arial" w:cs="Arial" w:eastAsia="Arial" w:hAnsi="Arial"/>
                <w:sz w:val="10"/>
                <w:szCs w:val="10"/>
                <w:color w:val="auto"/>
              </w:rPr>
              <w:t>(0.04)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spacing w:after="0" w:line="300" w:lineRule="auto"/>
        <w:rPr>
          <w:sz w:val="20"/>
          <w:szCs w:val="20"/>
          <w:color w:val="auto"/>
        </w:rPr>
      </w:pPr>
      <w:r>
        <w:rPr>
          <w:rFonts w:ascii="Arial" w:cs="Arial" w:eastAsia="Arial" w:hAnsi="Arial"/>
          <w:sz w:val="11"/>
          <w:szCs w:val="11"/>
          <w:color w:val="auto"/>
        </w:rPr>
        <w:t>Our financial results for the first quarter exceeded our expectations and we are very pleased by the sales trends we are seeing. We expected that sales would return gradually as vaccine distributions became more widely available and warm weather arrived. We saw a sharp acceleration mid-quarter, resulting in a first quarter comparable sales growth of 3.7% as compared to the first quarter of fiscal 2019, with our direct business increasing 40.7% and our stores down (6.7%). Regionally, our strongest performance was from our stores located in the southeast, south central and Midwest, as compared to our east and west coast stores, which were slower to rebound.</w:t>
      </w:r>
    </w:p>
    <w:p>
      <w:pPr>
        <w:spacing w:after="0" w:line="105" w:lineRule="exact"/>
        <w:rPr>
          <w:sz w:val="20"/>
          <w:szCs w:val="20"/>
          <w:color w:val="auto"/>
        </w:rPr>
      </w:pPr>
    </w:p>
    <w:p>
      <w:pPr>
        <w:ind w:right="80"/>
        <w:spacing w:after="0" w:line="292" w:lineRule="auto"/>
        <w:rPr>
          <w:sz w:val="20"/>
          <w:szCs w:val="20"/>
          <w:color w:val="auto"/>
        </w:rPr>
      </w:pPr>
      <w:r>
        <w:rPr>
          <w:rFonts w:ascii="Arial" w:cs="Arial" w:eastAsia="Arial" w:hAnsi="Arial"/>
          <w:sz w:val="11"/>
          <w:szCs w:val="11"/>
          <w:color w:val="auto"/>
        </w:rPr>
        <w:t>During fiscal 2020, we took many steps to reduce our cost structure and improve our operating leverage to position us for a greater recovery as we emerged from the pandemic. Those steps included the restructuring of our lease portfolio. Working with our landlord community, we have restructured 115 store leases, since the beginning of 2020, which we expect will result in savings of over $16.1 million over the respective lease terms, including $6.0 million of expected savings in fiscal 2021. We also took the difficult step of reducing our corporate workforce by approximately 29% and our field organization by approximately 54%. We also eliminated professional and service contracts where possible. We are seeing the results of these efforts in our SG&amp;A costs for the first quarter of fiscal 2021, where we reduced SG&amp;A costs by $7.5 million, as compared to the first quarter of fiscal 2019.</w:t>
      </w:r>
    </w:p>
    <w:p>
      <w:pPr>
        <w:spacing w:after="0" w:line="109" w:lineRule="exact"/>
        <w:rPr>
          <w:sz w:val="20"/>
          <w:szCs w:val="20"/>
          <w:color w:val="auto"/>
        </w:rPr>
      </w:pPr>
    </w:p>
    <w:p>
      <w:pPr>
        <w:ind w:right="120"/>
        <w:spacing w:after="0" w:line="265" w:lineRule="auto"/>
        <w:rPr>
          <w:sz w:val="20"/>
          <w:szCs w:val="20"/>
          <w:color w:val="auto"/>
        </w:rPr>
      </w:pPr>
      <w:r>
        <w:rPr>
          <w:rFonts w:ascii="Arial" w:cs="Arial" w:eastAsia="Arial" w:hAnsi="Arial"/>
          <w:sz w:val="12"/>
          <w:szCs w:val="12"/>
          <w:color w:val="auto"/>
        </w:rPr>
        <w:t>Another key initiative we pursued in fiscal 2020 was to restructure our overall sales promotional strategy to improve our gross margins. Over the past six to nine months, we have been shifting from the broad-based, deep discounts that we took in the first few months of fiscal 2020 in response to the COVID-19 pandemic to more full-priced messaging, with a focus on differentiated product, and unique selling propositions. Our promotions in the first quarter of fiscal 2021 were fewer, more targeted and overall more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19" w:name="page20"/>
    <w:bookmarkEnd w:id="19"/>
    <w:p>
      <w:pPr>
        <w:spacing w:after="0"/>
        <w:rPr>
          <w:sz w:val="20"/>
          <w:szCs w:val="20"/>
          <w:color w:val="auto"/>
        </w:rPr>
      </w:pPr>
      <w:r>
        <w:rPr>
          <w:rFonts w:ascii="Arial" w:cs="Arial" w:eastAsia="Arial" w:hAnsi="Arial"/>
          <w:sz w:val="12"/>
          <w:szCs w:val="12"/>
          <w:color w:val="auto"/>
        </w:rPr>
        <w:t>efficient than in prior years. This strategy drove significant savings in markdown dollars and an improvement in gross margin rate and we expect to maintain this promotional posture during fiscal 2021.</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As a result of our sales performance and the steps taken to improve operating leverage, net income for the first quarter was $0.14 per diluted share.</w:t>
      </w:r>
    </w:p>
    <w:p>
      <w:pPr>
        <w:spacing w:after="0" w:line="152" w:lineRule="exact"/>
        <w:rPr>
          <w:sz w:val="20"/>
          <w:szCs w:val="20"/>
          <w:color w:val="auto"/>
        </w:rPr>
      </w:pPr>
    </w:p>
    <w:p>
      <w:pPr>
        <w:ind w:right="140"/>
        <w:spacing w:after="0" w:line="261" w:lineRule="auto"/>
        <w:rPr>
          <w:sz w:val="20"/>
          <w:szCs w:val="20"/>
          <w:color w:val="auto"/>
        </w:rPr>
      </w:pPr>
      <w:r>
        <w:rPr>
          <w:rFonts w:ascii="Arial" w:cs="Arial" w:eastAsia="Arial" w:hAnsi="Arial"/>
          <w:sz w:val="12"/>
          <w:szCs w:val="12"/>
          <w:color w:val="auto"/>
        </w:rPr>
        <w:t>From a liquidity perspective, during the first quarter of fiscal 2021 we completed two transactions that further strengthened our liquidity: (i) we raised $4.4 million, net of offering costs, in connection with a direct offering of 11.1 million shares of our common stock, and (ii) we amended our credit facility with Bank of America to allow us the ability to refinance our existing $15.0 million FILO loan by entering into a new $17.5 million FILO loan with higher advance rates and additional borrowing capacity of approximately $5.0 to $10.0 million. At May 1, 2021, our total debt, net of cash, was $44.3 million, as compared to $68.2 million at May 2, 2020 and $72.3 million at May 4, 2019. Our borrowing availability at the end of the quarter was $51.1 million as compared to $16.8 million at May 2, 2020 and $32.2 million at May 4,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820" w:type="dxa"/>
            <w:vAlign w:val="bottom"/>
          </w:tcPr>
          <w:p>
            <w:pPr>
              <w:spacing w:after="0"/>
              <w:rPr>
                <w:sz w:val="20"/>
                <w:szCs w:val="20"/>
                <w:color w:val="auto"/>
              </w:rPr>
            </w:pPr>
            <w:r>
              <w:rPr>
                <w:rFonts w:ascii="Arial" w:cs="Arial" w:eastAsia="Arial" w:hAnsi="Arial"/>
                <w:sz w:val="12"/>
                <w:szCs w:val="12"/>
                <w:b w:val="1"/>
                <w:bCs w:val="1"/>
                <w:i w:val="1"/>
                <w:iCs w:val="1"/>
                <w:color w:val="auto"/>
              </w:rPr>
              <w:t>Financial Summary</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62"/>
        </w:trPr>
        <w:tc>
          <w:tcPr>
            <w:tcW w:w="2820" w:type="dxa"/>
            <w:vAlign w:val="bottom"/>
          </w:tcPr>
          <w:p>
            <w:pPr>
              <w:spacing w:after="0"/>
              <w:rPr>
                <w:sz w:val="20"/>
                <w:szCs w:val="20"/>
                <w:color w:val="auto"/>
              </w:rPr>
            </w:pPr>
            <w:r>
              <w:rPr>
                <w:rFonts w:ascii="Arial" w:cs="Arial" w:eastAsia="Arial" w:hAnsi="Arial"/>
                <w:sz w:val="12"/>
                <w:szCs w:val="12"/>
                <w:i w:val="1"/>
                <w:iCs w:val="1"/>
                <w:color w:val="auto"/>
              </w:rPr>
              <w:t>Sales</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9"/>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gridSpan w:val="3"/>
          </w:tcPr>
          <w:p>
            <w:pPr>
              <w:jc w:val="center"/>
              <w:ind w:left="20"/>
              <w:spacing w:after="0"/>
              <w:rPr>
                <w:sz w:val="20"/>
                <w:szCs w:val="20"/>
                <w:color w:val="auto"/>
              </w:rPr>
            </w:pPr>
            <w:r>
              <w:rPr>
                <w:rFonts w:ascii="Arial" w:cs="Arial" w:eastAsia="Arial" w:hAnsi="Arial"/>
                <w:sz w:val="12"/>
                <w:szCs w:val="12"/>
                <w:color w:val="auto"/>
                <w:w w:val="89"/>
              </w:rPr>
              <w:t>For the three months ended</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4"/>
        </w:trPr>
        <w:tc>
          <w:tcPr>
            <w:tcW w:w="282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460"/>
              <w:spacing w:after="0"/>
              <w:rPr>
                <w:sz w:val="20"/>
                <w:szCs w:val="20"/>
                <w:color w:val="auto"/>
              </w:rPr>
            </w:pPr>
            <w:r>
              <w:rPr>
                <w:rFonts w:ascii="Arial" w:cs="Arial" w:eastAsia="Arial" w:hAnsi="Arial"/>
                <w:sz w:val="12"/>
                <w:szCs w:val="12"/>
                <w:color w:val="auto"/>
                <w:w w:val="96"/>
              </w:rPr>
              <w:t>May 1, 2021</w:t>
            </w:r>
          </w:p>
        </w:tc>
        <w:tc>
          <w:tcPr>
            <w:tcW w:w="9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color w:val="auto"/>
                <w:w w:val="93"/>
              </w:rPr>
              <w:t>May 2, 2020</w:t>
            </w:r>
          </w:p>
        </w:tc>
        <w:tc>
          <w:tcPr>
            <w:tcW w:w="4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460"/>
              <w:spacing w:after="0"/>
              <w:rPr>
                <w:sz w:val="20"/>
                <w:szCs w:val="20"/>
                <w:color w:val="auto"/>
              </w:rPr>
            </w:pPr>
            <w:r>
              <w:rPr>
                <w:rFonts w:ascii="Arial" w:cs="Arial" w:eastAsia="Arial" w:hAnsi="Arial"/>
                <w:sz w:val="12"/>
                <w:szCs w:val="12"/>
                <w:color w:val="auto"/>
                <w:w w:val="99"/>
              </w:rPr>
              <w:t>May 4, 2019</w:t>
            </w:r>
          </w:p>
        </w:tc>
        <w:tc>
          <w:tcPr>
            <w:tcW w:w="8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43"/>
        </w:trPr>
        <w:tc>
          <w:tcPr>
            <w:tcW w:w="2820" w:type="dxa"/>
            <w:vAlign w:val="bottom"/>
          </w:tcPr>
          <w:p>
            <w:pPr>
              <w:spacing w:after="0"/>
              <w:rPr>
                <w:sz w:val="20"/>
                <w:szCs w:val="20"/>
                <w:color w:val="auto"/>
              </w:rPr>
            </w:pPr>
            <w:r>
              <w:rPr>
                <w:rFonts w:ascii="Arial" w:cs="Arial" w:eastAsia="Arial" w:hAnsi="Arial"/>
                <w:sz w:val="12"/>
                <w:szCs w:val="12"/>
                <w:color w:val="auto"/>
              </w:rPr>
              <w:t>Store sales</w:t>
            </w:r>
          </w:p>
        </w:tc>
        <w:tc>
          <w:tcPr>
            <w:tcW w:w="620" w:type="dxa"/>
            <w:vAlign w:val="bottom"/>
            <w:gridSpan w:val="2"/>
          </w:tcPr>
          <w:p>
            <w:pPr>
              <w:jc w:val="right"/>
              <w:ind w:right="39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74,880</w:t>
            </w:r>
          </w:p>
        </w:tc>
        <w:tc>
          <w:tcPr>
            <w:tcW w:w="10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0"/>
                <w:szCs w:val="10"/>
                <w:i w:val="1"/>
                <w:iCs w:val="1"/>
                <w:color w:val="auto"/>
              </w:rPr>
              <w:t>69.1%</w:t>
            </w:r>
          </w:p>
        </w:tc>
        <w:tc>
          <w:tcPr>
            <w:tcW w:w="4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32,327</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0"/>
                <w:szCs w:val="10"/>
                <w:i w:val="1"/>
                <w:iCs w:val="1"/>
                <w:color w:val="auto"/>
              </w:rPr>
              <w:t>58.6%</w:t>
            </w:r>
          </w:p>
        </w:tc>
        <w:tc>
          <w:tcPr>
            <w:tcW w:w="64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86,715</w:t>
            </w:r>
          </w:p>
        </w:tc>
        <w:tc>
          <w:tcPr>
            <w:tcW w:w="1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0"/>
                <w:szCs w:val="10"/>
                <w:i w:val="1"/>
                <w:iCs w:val="1"/>
                <w:color w:val="auto"/>
              </w:rPr>
              <w:t>78.4%</w:t>
            </w:r>
          </w:p>
        </w:tc>
      </w:tr>
      <w:tr>
        <w:trPr>
          <w:trHeight w:val="154"/>
        </w:trPr>
        <w:tc>
          <w:tcPr>
            <w:tcW w:w="2820" w:type="dxa"/>
            <w:vAlign w:val="bottom"/>
            <w:shd w:val="clear" w:color="auto" w:fill="CFF0FC"/>
          </w:tcPr>
          <w:p>
            <w:pPr>
              <w:spacing w:after="0"/>
              <w:rPr>
                <w:sz w:val="20"/>
                <w:szCs w:val="20"/>
                <w:color w:val="auto"/>
              </w:rPr>
            </w:pPr>
            <w:r>
              <w:rPr>
                <w:rFonts w:ascii="Arial" w:cs="Arial" w:eastAsia="Arial" w:hAnsi="Arial"/>
                <w:sz w:val="12"/>
                <w:szCs w:val="12"/>
                <w:color w:val="auto"/>
              </w:rPr>
              <w:t>Direct sales</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33,542</w:t>
            </w:r>
          </w:p>
        </w:tc>
        <w:tc>
          <w:tcPr>
            <w:tcW w:w="1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i w:val="1"/>
                <w:iCs w:val="1"/>
                <w:color w:val="auto"/>
              </w:rPr>
              <w:t>30.9%</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22,882</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i w:val="1"/>
                <w:iCs w:val="1"/>
                <w:color w:val="auto"/>
              </w:rPr>
              <w:t>41.4%</w:t>
            </w: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23,833</w:t>
            </w:r>
          </w:p>
        </w:tc>
        <w:tc>
          <w:tcPr>
            <w:tcW w:w="1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i w:val="1"/>
                <w:iCs w:val="1"/>
                <w:color w:val="auto"/>
              </w:rPr>
              <w:t>21.6%</w:t>
            </w:r>
          </w:p>
        </w:tc>
      </w:tr>
      <w:tr>
        <w:trPr>
          <w:trHeight w:val="143"/>
        </w:trPr>
        <w:tc>
          <w:tcPr>
            <w:tcW w:w="2820" w:type="dxa"/>
            <w:vAlign w:val="bottom"/>
          </w:tcPr>
          <w:p>
            <w:pPr>
              <w:spacing w:after="0"/>
              <w:rPr>
                <w:sz w:val="20"/>
                <w:szCs w:val="20"/>
                <w:color w:val="auto"/>
              </w:rPr>
            </w:pPr>
            <w:r>
              <w:rPr>
                <w:rFonts w:ascii="Arial" w:cs="Arial" w:eastAsia="Arial" w:hAnsi="Arial"/>
                <w:sz w:val="12"/>
                <w:szCs w:val="12"/>
                <w:color w:val="auto"/>
              </w:rPr>
              <w:t>Retail segment</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108,422</w:t>
            </w: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55,209</w:t>
            </w: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2"/>
                <w:szCs w:val="12"/>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110,548</w:t>
            </w:r>
          </w:p>
        </w:tc>
        <w:tc>
          <w:tcPr>
            <w:tcW w:w="1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54"/>
        </w:trPr>
        <w:tc>
          <w:tcPr>
            <w:tcW w:w="2820" w:type="dxa"/>
            <w:vAlign w:val="bottom"/>
            <w:shd w:val="clear" w:color="auto" w:fill="CFF0FC"/>
          </w:tcPr>
          <w:p>
            <w:pPr>
              <w:spacing w:after="0"/>
              <w:rPr>
                <w:sz w:val="20"/>
                <w:szCs w:val="20"/>
                <w:color w:val="auto"/>
              </w:rPr>
            </w:pPr>
            <w:r>
              <w:rPr>
                <w:rFonts w:ascii="Arial" w:cs="Arial" w:eastAsia="Arial" w:hAnsi="Arial"/>
                <w:sz w:val="12"/>
                <w:szCs w:val="12"/>
                <w:color w:val="auto"/>
              </w:rPr>
              <w:t>Wholesale segment</w:t>
            </w:r>
          </w:p>
        </w:tc>
        <w:tc>
          <w:tcPr>
            <w:tcW w:w="120" w:type="dxa"/>
            <w:vAlign w:val="bottom"/>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3,072</w:t>
            </w:r>
          </w:p>
        </w:tc>
        <w:tc>
          <w:tcPr>
            <w:tcW w:w="100" w:type="dxa"/>
            <w:vAlign w:val="bottom"/>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2,018</w:t>
            </w:r>
          </w:p>
        </w:tc>
        <w:tc>
          <w:tcPr>
            <w:tcW w:w="10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2,425</w:t>
            </w:r>
          </w:p>
        </w:tc>
        <w:tc>
          <w:tcPr>
            <w:tcW w:w="100" w:type="dxa"/>
            <w:vAlign w:val="bottom"/>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r>
      <w:tr>
        <w:trPr>
          <w:trHeight w:val="150"/>
        </w:trPr>
        <w:tc>
          <w:tcPr>
            <w:tcW w:w="2820" w:type="dxa"/>
            <w:vAlign w:val="bottom"/>
          </w:tcPr>
          <w:p>
            <w:pPr>
              <w:spacing w:after="0"/>
              <w:rPr>
                <w:sz w:val="20"/>
                <w:szCs w:val="20"/>
                <w:color w:val="auto"/>
              </w:rPr>
            </w:pPr>
            <w:r>
              <w:rPr>
                <w:rFonts w:ascii="Arial" w:cs="Arial" w:eastAsia="Arial" w:hAnsi="Arial"/>
                <w:sz w:val="12"/>
                <w:szCs w:val="12"/>
                <w:color w:val="auto"/>
              </w:rPr>
              <w:t>Total Sales</w:t>
            </w:r>
          </w:p>
        </w:tc>
        <w:tc>
          <w:tcPr>
            <w:tcW w:w="120" w:type="dxa"/>
            <w:vAlign w:val="bottom"/>
          </w:tcPr>
          <w:p>
            <w:pPr>
              <w:spacing w:after="0"/>
              <w:rPr>
                <w:sz w:val="13"/>
                <w:szCs w:val="13"/>
                <w:color w:val="auto"/>
              </w:rPr>
            </w:pPr>
          </w:p>
        </w:tc>
        <w:tc>
          <w:tcPr>
            <w:tcW w:w="500" w:type="dxa"/>
            <w:vAlign w:val="bottom"/>
            <w:tcBorders>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111,494</w:t>
            </w:r>
          </w:p>
        </w:tc>
        <w:tc>
          <w:tcPr>
            <w:tcW w:w="1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57,227</w:t>
            </w: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112,973</w:t>
            </w:r>
          </w:p>
        </w:tc>
        <w:tc>
          <w:tcPr>
            <w:tcW w:w="1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bl>
    <w:p>
      <w:pPr>
        <w:spacing w:after="0" w:line="136"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Total sales for the first quarter of fiscal 2021 were $111.5 million, as compared to $57.2 million in the first quarter of fiscal 2020 and $113.0 million in the first quarter of fiscal 2019. At May 1, 2021, we had 301 stores as compared to 321 stores at May 2, 2020 and 328 stores at May 4, 2019.</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As compared to the first quarter of fiscal 2020, comparable sales for the quarter were up 99.0%, with sales from our stores up 138.7% and the direct business up 46.6%.</w:t>
      </w:r>
    </w:p>
    <w:p>
      <w:pPr>
        <w:spacing w:after="0" w:line="79" w:lineRule="exact"/>
        <w:rPr>
          <w:sz w:val="20"/>
          <w:szCs w:val="20"/>
          <w:color w:val="auto"/>
        </w:rPr>
      </w:pPr>
    </w:p>
    <w:p>
      <w:pPr>
        <w:ind w:right="280"/>
        <w:spacing w:after="0" w:line="279" w:lineRule="auto"/>
        <w:rPr>
          <w:sz w:val="20"/>
          <w:szCs w:val="20"/>
          <w:color w:val="auto"/>
        </w:rPr>
      </w:pPr>
      <w:r>
        <w:rPr>
          <w:rFonts w:ascii="Arial" w:cs="Arial" w:eastAsia="Arial" w:hAnsi="Arial"/>
          <w:sz w:val="12"/>
          <w:szCs w:val="12"/>
          <w:color w:val="auto"/>
        </w:rPr>
        <w:t>As compared to the first quarter of fiscal 2019, comparable sales for the quarter were up 3.7% driven by our direct business, which was up 40.7%, partially offset by our stores, which were down (6.7)%. The increase in our direct business was principally due to our DXL.com e-commerce site, which had a sales increase of 55.8% as compared to the first quarter of fiscal 2019.</w:t>
      </w:r>
    </w:p>
    <w:p>
      <w:pPr>
        <w:spacing w:after="0" w:line="41" w:lineRule="exact"/>
        <w:rPr>
          <w:sz w:val="20"/>
          <w:szCs w:val="20"/>
          <w:color w:val="auto"/>
        </w:rPr>
      </w:pPr>
    </w:p>
    <w:p>
      <w:pPr>
        <w:ind w:right="140"/>
        <w:spacing w:after="0" w:line="261" w:lineRule="auto"/>
        <w:rPr>
          <w:sz w:val="20"/>
          <w:szCs w:val="20"/>
          <w:color w:val="auto"/>
        </w:rPr>
      </w:pPr>
      <w:r>
        <w:rPr>
          <w:rFonts w:ascii="Arial" w:cs="Arial" w:eastAsia="Arial" w:hAnsi="Arial"/>
          <w:sz w:val="12"/>
          <w:szCs w:val="12"/>
          <w:color w:val="auto"/>
        </w:rPr>
        <w:t>We started to see significant improvements beginning in mid-March due in part to stimulus checks, the vaccine rollout, the loosening of COVID-19-related restrictions in some parts of the country and the arrival of warm spring weather. While store traffic improved over the course of the quarter, it remained down as compared to fiscal 2019 levels, but our dollars per transaction and conversion rates were both higher than in fiscal 2019. Regionally, we saw the strongest sales improvement in the southeast, south central and mid-west regions, whereas stores in the northeast and west coast, where tighter restrictions were still in place, trailed approximately 800 basis points behind the rest of the chain.</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Sales from our wholesale business increased to $3.1 million for the first quarter, as compared to $2.0 million in the first quarter of fiscal 2020 and $2.4 million in the first quarter of 2019.</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Gross Margin Rate</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For the first quarter of fiscal 2021, our gross margin rate, inclusive of occupancy costs, was 45.6% as compared to a gross margin rate of 23.1% for first quarter of fiscal 2020 and 43.7% for the first quarter of fiscal 2019.</w:t>
      </w:r>
    </w:p>
    <w:p>
      <w:pPr>
        <w:spacing w:after="0" w:line="91" w:lineRule="exact"/>
        <w:rPr>
          <w:sz w:val="20"/>
          <w:szCs w:val="20"/>
          <w:color w:val="auto"/>
        </w:rPr>
      </w:pPr>
    </w:p>
    <w:p>
      <w:pPr>
        <w:ind w:right="80"/>
        <w:spacing w:after="0" w:line="258" w:lineRule="auto"/>
        <w:rPr>
          <w:sz w:val="20"/>
          <w:szCs w:val="20"/>
          <w:color w:val="auto"/>
        </w:rPr>
      </w:pPr>
      <w:r>
        <w:rPr>
          <w:rFonts w:ascii="Arial" w:cs="Arial" w:eastAsia="Arial" w:hAnsi="Arial"/>
          <w:sz w:val="12"/>
          <w:szCs w:val="12"/>
          <w:color w:val="auto"/>
        </w:rPr>
        <w:t>As compared to fiscal 2020, the 22.5% point improvement was due to a 7.0% improvement in merchandise margins, driven by lower promotional markdowns, and a 15.5% improvement in occupancy costs, due to the leveraging of sales and savings realized from the renegotiated lease reductions. In the first quarter of last year, we took deep markdowns in order to drive traffic and move spring inventory, due to our stores being closed for much of the quarter. During the first quarter of fiscal 2021, we had fewer promotions, focusing on promotional offers to targeted audiences. This strategy drove significant savings in markdown dollars and an improvement in gross margin rate. Partially offsetting this improvement is the continuing increase in the cost of freight due to shortage of containers and vessels for overseas product, which we expect will continue for the short-term. We are also starting to see an increase in the cost of certain raw materials, particularly cotton.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0" w:name="page21"/>
    <w:bookmarkEnd w:id="20"/>
    <w:p>
      <w:pPr>
        <w:jc w:val="both"/>
        <w:ind w:right="220"/>
        <w:spacing w:after="0" w:line="265" w:lineRule="auto"/>
        <w:rPr>
          <w:sz w:val="20"/>
          <w:szCs w:val="20"/>
          <w:color w:val="auto"/>
        </w:rPr>
      </w:pPr>
      <w:r>
        <w:rPr>
          <w:rFonts w:ascii="Arial" w:cs="Arial" w:eastAsia="Arial" w:hAnsi="Arial"/>
          <w:sz w:val="12"/>
          <w:szCs w:val="12"/>
          <w:color w:val="auto"/>
        </w:rPr>
        <w:t>As compared to fiscal 2019, our gross margin rate improved by 1.9%, primarily driven by a 2.2% improvement in occupancy costs, partially offset by a decrease in merchandise margins of 0.3%. In fiscal 2020, we began working with our landlords to renegotiate our current lease agreements given the decrease in sales. Occupancy costs for the quarter decreased $2.6 million from the first quarter of fiscal 2019. The slight decrease in merchandise margins is primarily due to the increase in direct sales penetration and related shipping expenses.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Selling, General and Administrative Expenses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As a percentage of sales, SG&amp;A expenses for the first quarter of fiscal 2021 were 33.3% as compared to 56.1% for the first quarter of fiscal 2020 and 39.5% for the first quarter of fiscal 2019.</w:t>
      </w:r>
    </w:p>
    <w:p>
      <w:pPr>
        <w:spacing w:after="0" w:line="79" w:lineRule="exact"/>
        <w:rPr>
          <w:sz w:val="20"/>
          <w:szCs w:val="20"/>
          <w:color w:val="auto"/>
        </w:rPr>
      </w:pPr>
    </w:p>
    <w:p>
      <w:pPr>
        <w:ind w:right="480"/>
        <w:spacing w:after="0" w:line="326" w:lineRule="auto"/>
        <w:rPr>
          <w:sz w:val="20"/>
          <w:szCs w:val="20"/>
          <w:color w:val="auto"/>
        </w:rPr>
      </w:pPr>
      <w:r>
        <w:rPr>
          <w:rFonts w:ascii="Arial" w:cs="Arial" w:eastAsia="Arial" w:hAnsi="Arial"/>
          <w:sz w:val="11"/>
          <w:szCs w:val="11"/>
          <w:color w:val="auto"/>
        </w:rPr>
        <w:t>As compared to the first quarter of fiscal 2020, on a dollar basis, SG&amp;A expenses increased by $5.0 million, or 15.7%. The increase was primarily due to increases in store payroll and payroll-related costs associated with the corresponding increase in sales and increased advertising costs, which were partially offset by cost savings realized as a result of the cost reduction efforts taken in fiscal 2020 throughout all areas of our business.</w:t>
      </w:r>
    </w:p>
    <w:p>
      <w:pPr>
        <w:spacing w:after="0" w:line="1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SG&amp;A expenses decreased by $7.5 million, or (16.7%), as compared to the first quarter of fiscal 2019. The reduction in SG&amp;A costs is the result of the cost reductions efforts that we took in fiscal 2020 to not only preserve liquidity at the time but to lower our operating cost structure long-term.</w:t>
      </w:r>
    </w:p>
    <w:p>
      <w:pPr>
        <w:spacing w:after="0" w:line="41"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auto"/>
        </w:rPr>
        <w:t>Management views SG&amp;A expenses through two primary cost centers: Customer Facing Costs and Corporate Support Costs. Customer Facing Costs, which include store payroll, marketing and other store and direct operating costs, represented 17.9% of sales in the first quarter of fiscal 2021 as compared to 22.6% of sales in the first quarter of fiscal 2019. Corporate Support Costs, which include the distribution center and corporate overhead costs, represented 15.4% of sales in the first quarter of fiscal 2021 compared to 16.9% of sales in the first quarter of fiscal 2019. For the first quarter of fiscal 2020, Customer Facing Costs were 25.7% of sales and Corporate Support Costs were 30.4% of sales.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of Assets</w:t>
      </w:r>
    </w:p>
    <w:p>
      <w:pPr>
        <w:spacing w:after="0" w:line="79" w:lineRule="exact"/>
        <w:rPr>
          <w:sz w:val="20"/>
          <w:szCs w:val="20"/>
          <w:color w:val="auto"/>
        </w:rPr>
      </w:pPr>
    </w:p>
    <w:p>
      <w:pPr>
        <w:ind w:right="160"/>
        <w:spacing w:after="0" w:line="300" w:lineRule="auto"/>
        <w:rPr>
          <w:sz w:val="20"/>
          <w:szCs w:val="20"/>
          <w:color w:val="auto"/>
        </w:rPr>
      </w:pPr>
      <w:r>
        <w:rPr>
          <w:rFonts w:ascii="Arial" w:cs="Arial" w:eastAsia="Arial" w:hAnsi="Arial"/>
          <w:sz w:val="11"/>
          <w:szCs w:val="11"/>
          <w:color w:val="auto"/>
        </w:rPr>
        <w:t>During the first quarter of fiscal 2021, we recorded a non-cash gain of $0.8 million on the reduction of our operating lease liability in connection with our decision to close certain retail stores, which resulted in a revaluation of the lease liability. Approximately $0.7 million of the non-cash gain related to leases where the right-of-use assets had previously been impaired and was recorded as a reduction of the previously recorded impairment and included in the Impairment of Assets line of the Consolidated Statement of Operations for the three months ended May 1, 2021. The remainder of the non-cash gain of $0.1 million was reflected as a reduction of occupancy costs.</w:t>
      </w:r>
    </w:p>
    <w:p>
      <w:pPr>
        <w:spacing w:after="0" w:line="105"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212121"/>
        </w:rPr>
        <w:t xml:space="preserve">In the first quarter of fiscal 2020, we recorded an impairment charge of $16.3 million. The impairment charge included approximately $12.5 million for the write-down of certain right-of-use assets, related to leases where the carrying value exceeded fair value, and $3.8 million for the write-down of property and equipment, related to </w:t>
      </w:r>
      <w:r>
        <w:rPr>
          <w:rFonts w:ascii="Arial" w:cs="Arial" w:eastAsia="Arial" w:hAnsi="Arial"/>
          <w:sz w:val="12"/>
          <w:szCs w:val="12"/>
          <w:color w:val="000000"/>
        </w:rPr>
        <w:t>stores where the carrying value exceeded fair value. Based on the indicators present in the first quarter of fiscal 2020, we completed</w:t>
      </w:r>
      <w:r>
        <w:rPr>
          <w:rFonts w:ascii="Arial" w:cs="Arial" w:eastAsia="Arial" w:hAnsi="Arial"/>
          <w:sz w:val="12"/>
          <w:szCs w:val="12"/>
          <w:color w:val="212121"/>
        </w:rPr>
        <w:t xml:space="preserve"> </w:t>
      </w:r>
      <w:r>
        <w:rPr>
          <w:rFonts w:ascii="Arial" w:cs="Arial" w:eastAsia="Arial" w:hAnsi="Arial"/>
          <w:sz w:val="12"/>
          <w:szCs w:val="12"/>
          <w:color w:val="000000"/>
        </w:rPr>
        <w:t xml:space="preserve">a recoverability analysis, which included the impact of the COVID-19 pandemic on the operations of our stores and we used </w:t>
      </w:r>
      <w:r>
        <w:rPr>
          <w:rFonts w:ascii="Arial" w:cs="Arial" w:eastAsia="Arial" w:hAnsi="Arial"/>
          <w:sz w:val="12"/>
          <w:szCs w:val="12"/>
          <w:color w:val="212121"/>
        </w:rPr>
        <w:t>projections that were based on multiple probability-weighted scenarios, assuming that our stores gradually</w:t>
      </w:r>
      <w:r>
        <w:rPr>
          <w:rFonts w:ascii="Arial" w:cs="Arial" w:eastAsia="Arial" w:hAnsi="Arial"/>
          <w:sz w:val="12"/>
          <w:szCs w:val="12"/>
          <w:color w:val="000000"/>
        </w:rPr>
        <w:t xml:space="preserve"> </w:t>
      </w:r>
      <w:r>
        <w:rPr>
          <w:rFonts w:ascii="Arial" w:cs="Arial" w:eastAsia="Arial" w:hAnsi="Arial"/>
          <w:sz w:val="12"/>
          <w:szCs w:val="12"/>
          <w:color w:val="212121"/>
        </w:rPr>
        <w:t>open throughout the second quarter of fiscal 2020 but that consumer retail spending will remain substantially curtailed for a period of time.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Depreciation and Amortization</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Depreciation and amortization for the first quarter of fiscal 2021 of $4.5 million decreased from $5.7 million for the first quarter of fiscal 2020. The decrease was due to a lower depreciable cost base, especially from our store assets.</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Expense, Net</w:t>
      </w:r>
    </w:p>
    <w:p>
      <w:pPr>
        <w:spacing w:after="0" w:line="79" w:lineRule="exact"/>
        <w:rPr>
          <w:sz w:val="20"/>
          <w:szCs w:val="20"/>
          <w:color w:val="auto"/>
        </w:rPr>
      </w:pPr>
    </w:p>
    <w:p>
      <w:pPr>
        <w:ind w:right="320"/>
        <w:spacing w:after="0" w:line="279" w:lineRule="auto"/>
        <w:rPr>
          <w:sz w:val="20"/>
          <w:szCs w:val="20"/>
          <w:color w:val="auto"/>
        </w:rPr>
      </w:pPr>
      <w:r>
        <w:rPr>
          <w:rFonts w:ascii="Arial" w:cs="Arial" w:eastAsia="Arial" w:hAnsi="Arial"/>
          <w:sz w:val="12"/>
          <w:szCs w:val="12"/>
          <w:color w:val="auto"/>
        </w:rPr>
        <w:t>Net interest expense for the first quarter of fiscal 2021 increased to $1.1 million, as compared to $0.7 million for the first quarter of fiscal 2020 due to an increase in the effective borrowing rates on both short-term and long-term borrowings.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We established a full valuation allowance against our deferred tax assets at the end of fiscal 2014. Based on our forecast for fiscal 2020, we believe that a full valuation allowance remains appropriate at this time.</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Our tax provision for the first three months of fiscal 2021 and fiscal 2020 was primarily due to state margin tax, based on gross receipts less certain deductions.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Income (Loss)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21" w:name="page22"/>
    <w:bookmarkEnd w:id="21"/>
    <w:p>
      <w:pPr>
        <w:ind w:right="320"/>
        <w:spacing w:after="0" w:line="279" w:lineRule="auto"/>
        <w:rPr>
          <w:sz w:val="20"/>
          <w:szCs w:val="20"/>
          <w:color w:val="auto"/>
        </w:rPr>
      </w:pPr>
      <w:r>
        <w:rPr>
          <w:rFonts w:ascii="Arial" w:cs="Arial" w:eastAsia="Arial" w:hAnsi="Arial"/>
          <w:sz w:val="12"/>
          <w:szCs w:val="12"/>
          <w:color w:val="auto"/>
        </w:rPr>
        <w:t>For the first quarter of fiscal 2021, we had net income of $8.7 million, or $0.14 per diluted share, compared with a net loss of $(41.7) million, or $(0.82) per diluted share, for the first quarter of fiscal 2020 and a net loss of $(3.1) million, or $(0.06) per diluted share, for the first quarter of fiscal 2019.</w:t>
      </w:r>
    </w:p>
    <w:p>
      <w:pPr>
        <w:spacing w:after="0" w:line="41" w:lineRule="exact"/>
        <w:rPr>
          <w:sz w:val="20"/>
          <w:szCs w:val="20"/>
          <w:color w:val="auto"/>
        </w:rPr>
      </w:pPr>
    </w:p>
    <w:p>
      <w:pPr>
        <w:ind w:right="500"/>
        <w:spacing w:after="0" w:line="279" w:lineRule="auto"/>
        <w:rPr>
          <w:sz w:val="20"/>
          <w:szCs w:val="20"/>
          <w:color w:val="auto"/>
        </w:rPr>
      </w:pPr>
      <w:r>
        <w:rPr>
          <w:rFonts w:ascii="Arial" w:cs="Arial" w:eastAsia="Arial" w:hAnsi="Arial"/>
          <w:sz w:val="12"/>
          <w:szCs w:val="12"/>
          <w:color w:val="auto"/>
        </w:rPr>
        <w:t>On a non-GAAP basis, before asset impairment costs and CEO transition costs and assuming a normalized tax rate of 26% for all periods, adjusted net income for the first quarter of fiscal 2021 was $0.09 per diluted share, as compared to an adjusted net loss of ($0.37) per diluted share for the first quarter of fiscal 2020, and an adjusted net loss of $(0.04) per diluted share for the first quarter of fiscal 2019.</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Inventory</w:t>
      </w:r>
    </w:p>
    <w:p>
      <w:pPr>
        <w:spacing w:after="0" w:line="79" w:lineRule="exact"/>
        <w:rPr>
          <w:sz w:val="20"/>
          <w:szCs w:val="20"/>
          <w:color w:val="auto"/>
        </w:rPr>
      </w:pPr>
    </w:p>
    <w:p>
      <w:pPr>
        <w:ind w:right="100"/>
        <w:spacing w:after="0" w:line="261" w:lineRule="auto"/>
        <w:rPr>
          <w:sz w:val="20"/>
          <w:szCs w:val="20"/>
          <w:color w:val="auto"/>
        </w:rPr>
      </w:pPr>
      <w:r>
        <w:rPr>
          <w:rFonts w:ascii="Arial" w:cs="Arial" w:eastAsia="Arial" w:hAnsi="Arial"/>
          <w:sz w:val="12"/>
          <w:szCs w:val="12"/>
          <w:color w:val="auto"/>
        </w:rPr>
        <w:t>As of May 1, 2021, our inventory decreased approximately $19.9 million to $88.4 million, as compared to $108.3 million at May 2, 2020. Since the first quarter of last year, we have been managing our inventory conservatively, narrowing our assortment, while driving meaningfully greater levels of exclusivity with national brands, and at the same time working to maintain our supply chain and logistics capabilities. At May 1, 2021, our clearance inventory decreased by approximately $3.5 million, representing 10.1% of our total inventory, as compared to 11.5% at May 2, 2020. We continue to monitor supply chain disruptions across the globe that could delay inventory receipts flow in the second half of the year.</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SEASONALITY</w:t>
      </w:r>
    </w:p>
    <w:p>
      <w:pPr>
        <w:spacing w:after="0" w:line="83" w:lineRule="exact"/>
        <w:rPr>
          <w:sz w:val="20"/>
          <w:szCs w:val="20"/>
          <w:color w:val="auto"/>
        </w:rPr>
      </w:pPr>
    </w:p>
    <w:p>
      <w:pPr>
        <w:ind w:right="460"/>
        <w:spacing w:after="0" w:line="279" w:lineRule="auto"/>
        <w:rPr>
          <w:sz w:val="20"/>
          <w:szCs w:val="20"/>
          <w:color w:val="auto"/>
        </w:rPr>
      </w:pPr>
      <w:r>
        <w:rPr>
          <w:rFonts w:ascii="Arial" w:cs="Arial" w:eastAsia="Arial" w:hAnsi="Arial"/>
          <w:sz w:val="12"/>
          <w:szCs w:val="12"/>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83"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Our primary sources of liquidity are cash generated from operations and availability under our credit facility with Bank of America, N.A., which was most recently amended in March 2021 (“Credit Facility”). We took several actions during fiscal 2020 to preserve our liquidity, and in the first quarter of fiscal 2021, we further strengthened our liquidity position by completing a direct offering of our common stock, which raised $4.4 million, net of offering costs, and by amending our Credit Facility to allow for the refinancing of our $15.0 million FILO loan, which increased our borrowing capability. Based on our current projections, we believe our cash on hand, availability under our Credit Facility, and ongoing cash generated from our operations will be sufficient to cover our working capital requirements and limited capital expenditures for the next 12 months. However, we remain cautiously optimistic regarding the duration of the pandemic and how it may continue to impact our financial results and liquidity.</w:t>
      </w:r>
    </w:p>
    <w:p>
      <w:pPr>
        <w:spacing w:after="0" w:line="128"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For the first three months of fiscal 2021, cash flow from operations improved by approximately $24.6 million to $7.8 million as compared to $(16.8) million for the first three months of fiscal 2020 and $(16.5) million for the first three months of fiscal 2019. Free cash flow, a non-GAAP measure, improved by $25.4 million to $7.0 million for the first three months of fiscal 2021 as compared to $(18.4) million for the first three months of fiscal 2020 and $(20.2) million for the first three months of fiscal 2019. The improvement in free cash flow was primarily due to our improvement in earnings as well as faster inventory turn. Cash flow from financing activities decreased by $(60.3) million as compared to fiscal 2020, primarily due to the repayment of amounts outstanding under our revolver, including the repayment of most of the $30.0 million that we drew-down on our Credit Facility in March 2020 to provide the Company with financial flexibility during the pandemic partially offset by the decrease in working capital needs.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summary of our total debt outstanding at May 1, 2021 with the associated unamortized debt issuance costs: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8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w:t>
            </w:r>
          </w:p>
        </w:tc>
        <w:tc>
          <w:tcPr>
            <w:tcW w:w="180" w:type="dxa"/>
            <w:vAlign w:val="bottom"/>
            <w:tcBorders>
              <w:bottom w:val="single" w:sz="8" w:color="CFF0FC"/>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color w:val="auto"/>
              </w:rPr>
              <w:t>Gross Debt Outstanding</w:t>
            </w:r>
          </w:p>
        </w:tc>
        <w:tc>
          <w:tcPr>
            <w:tcW w:w="10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Less Debt Issuance Costs</w:t>
            </w:r>
          </w:p>
        </w:tc>
        <w:tc>
          <w:tcPr>
            <w:tcW w:w="12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color w:val="auto"/>
              </w:rPr>
              <w:t>Net Debt Outstanding</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2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Credit facility</w:t>
            </w: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33,560</w:t>
            </w:r>
          </w:p>
        </w:tc>
        <w:tc>
          <w:tcPr>
            <w:tcW w:w="500" w:type="dxa"/>
            <w:vAlign w:val="bottom"/>
            <w:gridSpan w:val="3"/>
            <w:shd w:val="clear" w:color="auto" w:fill="CFF0FC"/>
          </w:tcPr>
          <w:p>
            <w:pPr>
              <w:jc w:val="right"/>
              <w:ind w:right="110"/>
              <w:spacing w:after="0"/>
              <w:rPr>
                <w:sz w:val="20"/>
                <w:szCs w:val="20"/>
                <w:color w:val="auto"/>
              </w:rPr>
            </w:pPr>
            <w:r>
              <w:rPr>
                <w:rFonts w:ascii="Arial" w:cs="Arial" w:eastAsia="Arial" w:hAnsi="Arial"/>
                <w:sz w:val="12"/>
                <w:szCs w:val="12"/>
                <w:color w:val="auto"/>
              </w:rPr>
              <w:t>$</w:t>
            </w: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(189)</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33,371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60" w:type="dxa"/>
            <w:vAlign w:val="bottom"/>
            <w:gridSpan w:val="2"/>
          </w:tcPr>
          <w:p>
            <w:pPr>
              <w:spacing w:after="0"/>
              <w:rPr>
                <w:sz w:val="20"/>
                <w:szCs w:val="20"/>
                <w:color w:val="auto"/>
              </w:rPr>
            </w:pPr>
            <w:r>
              <w:rPr>
                <w:rFonts w:ascii="Arial" w:cs="Arial" w:eastAsia="Arial" w:hAnsi="Arial"/>
                <w:sz w:val="12"/>
                <w:szCs w:val="12"/>
                <w:color w:val="auto"/>
              </w:rPr>
              <w:t>FILO Loan</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17,500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2"/>
                <w:szCs w:val="12"/>
                <w:color w:val="auto"/>
              </w:rPr>
              <w:t>(757)</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16,743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Total debt</w:t>
            </w:r>
          </w:p>
        </w:tc>
        <w:tc>
          <w:tcPr>
            <w:tcW w:w="2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60" w:type="dxa"/>
            <w:vAlign w:val="bottom"/>
            <w:gridSpan w:val="2"/>
            <w:vMerge w:val="continue"/>
            <w:shd w:val="clear" w:color="auto" w:fill="CFF0FC"/>
          </w:tcPr>
          <w:p>
            <w:pPr>
              <w:spacing w:after="0"/>
              <w:rPr>
                <w:sz w:val="12"/>
                <w:szCs w:val="12"/>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51,060</w:t>
            </w:r>
          </w:p>
        </w:tc>
        <w:tc>
          <w:tcPr>
            <w:tcW w:w="280" w:type="dxa"/>
            <w:vAlign w:val="bottom"/>
            <w:gridSpan w:val="2"/>
            <w:shd w:val="clear" w:color="auto" w:fill="CFF0FC"/>
          </w:tcPr>
          <w:p>
            <w:pPr>
              <w:spacing w:after="0"/>
              <w:rPr>
                <w:sz w:val="12"/>
                <w:szCs w:val="12"/>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(946)</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50,114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right="20"/>
        <w:spacing w:after="0" w:line="258" w:lineRule="auto"/>
        <w:rPr>
          <w:sz w:val="20"/>
          <w:szCs w:val="20"/>
          <w:color w:val="auto"/>
        </w:rPr>
      </w:pPr>
      <w:r>
        <w:rPr>
          <w:rFonts w:ascii="Arial" w:cs="Arial" w:eastAsia="Arial" w:hAnsi="Arial"/>
          <w:sz w:val="12"/>
          <w:szCs w:val="12"/>
          <w:color w:val="auto"/>
        </w:rPr>
        <w:t>Our Credit Facility provides for a maximum committed borrowing of $125.0 million, which, pursuant to an accordion feature, may be increased to $175.0 million upon our request and the agreement of the lender(s) participating in the increase (the “Revolving Facility”). The Credit Facility includes a sublimit of $20.0 million for commercial and standby letters of credit and a sublimit of up to $15.0 million for swingline loans. Borrowings made pursuant to the Revolving Facility under the Credit Facility bear interest, calculated under either the Federal Funds rate or the LIBOR rate, at a rate equal to the following: (a) the Federal Funds rate plus a varying percentage based on the Company’s excess availability, of either 1.75% or 2.00%, or (b) the LIBOR rate (the Company being able to select interest periods of 1 week, 1 month, 2 months, 3 months or 6 months) plus a varying percentage based on the Company’s excess availability, of either 2.75% or 3.00%. The current maturity date is May 24, 2023.</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22" w:name="page23"/>
    <w:bookmarkEnd w:id="22"/>
    <w:p>
      <w:pPr>
        <w:ind w:right="160"/>
        <w:spacing w:after="0" w:line="265" w:lineRule="auto"/>
        <w:rPr>
          <w:sz w:val="20"/>
          <w:szCs w:val="20"/>
          <w:color w:val="auto"/>
        </w:rPr>
      </w:pPr>
      <w:r>
        <w:rPr>
          <w:rFonts w:ascii="Arial" w:cs="Arial" w:eastAsia="Arial" w:hAnsi="Arial"/>
          <w:sz w:val="12"/>
          <w:szCs w:val="12"/>
          <w:color w:val="auto"/>
        </w:rPr>
        <w:t>We had outstanding borrowings of $33.6 million under the Credit Facility at May 1, 2021. At May 1, 2021, outstanding standby letters of credit were $2.7 million and there were no outstanding documentary letters of credit. The average monthly borrowing outstanding under the Credit Facility during the first three months ended May 1, 2021 was approximately $51.2 million, resulting in an average unused excess availability of approximately $24.3 million. Unused excess availability at May 1, 2021 was $51.1 million.</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FILO Loans</w:t>
      </w:r>
    </w:p>
    <w:p>
      <w:pPr>
        <w:spacing w:after="0" w:line="152" w:lineRule="exact"/>
        <w:rPr>
          <w:sz w:val="20"/>
          <w:szCs w:val="20"/>
          <w:color w:val="auto"/>
        </w:rPr>
      </w:pPr>
    </w:p>
    <w:p>
      <w:pPr>
        <w:ind w:right="100"/>
        <w:spacing w:after="0" w:line="261" w:lineRule="auto"/>
        <w:rPr>
          <w:sz w:val="20"/>
          <w:szCs w:val="20"/>
          <w:color w:val="auto"/>
        </w:rPr>
      </w:pPr>
      <w:r>
        <w:rPr>
          <w:rFonts w:ascii="Arial" w:cs="Arial" w:eastAsia="Arial" w:hAnsi="Arial"/>
          <w:sz w:val="12"/>
          <w:szCs w:val="12"/>
          <w:color w:val="auto"/>
        </w:rPr>
        <w:t>In March 2021, we refinanced our existing $15.0 million FILO loan (the “existing FILO loan”) and entered into a new $17.5 million FILO loan (the “new FILO loan”). The new FILO loan has higher advance rates and additional borrowing capacity of approximately $5.0 to $10.0 million. The total borrowing capacity under the new FILO loan is based on a borrowing base, generally defined as a specified percentage of the value of eligible accounts (including certain trade names) that step down over time, plus a specified percentage of the value of eligible inventory that steps down over time. The new FILO loan will be subject to quarterly principal repayments of $218,750 beginning December 31, 2021.</w:t>
      </w:r>
    </w:p>
    <w:p>
      <w:pPr>
        <w:spacing w:after="0" w:line="124" w:lineRule="exact"/>
        <w:rPr>
          <w:sz w:val="20"/>
          <w:szCs w:val="20"/>
          <w:color w:val="auto"/>
        </w:rPr>
      </w:pPr>
    </w:p>
    <w:p>
      <w:pPr>
        <w:ind w:right="200"/>
        <w:spacing w:after="0" w:line="261" w:lineRule="auto"/>
        <w:rPr>
          <w:sz w:val="20"/>
          <w:szCs w:val="20"/>
          <w:color w:val="auto"/>
        </w:rPr>
      </w:pPr>
      <w:r>
        <w:rPr>
          <w:rFonts w:ascii="Arial" w:cs="Arial" w:eastAsia="Arial" w:hAnsi="Arial"/>
          <w:sz w:val="12"/>
          <w:szCs w:val="12"/>
          <w:color w:val="auto"/>
        </w:rPr>
        <w:t>The new FILO loan is subject to a prepayment penalty, if any portion of the principal for the new FILO Loan is prepaid during the initial two-year period, equal to the greater of (i) the incremental interest that would have been incurred with respect to that principal repayment during the two year period and (ii) 3% of the principal prepayment, unless the prepayment occurs after March 16, 2022 in connection with the Company’s renegotiation of its Credit Agreement in which case the prepayment premium would be equal to 1% of the principal prepayment. The new FILO loan expires on May 24, 2023, but may be automatically extended in connection with any extension of the revolving facility under the Credit Agreement, but no later than March 16, 2026, without approval from the FILO lender.</w:t>
      </w:r>
    </w:p>
    <w:p>
      <w:pPr>
        <w:spacing w:after="0" w:line="124" w:lineRule="exact"/>
        <w:rPr>
          <w:sz w:val="20"/>
          <w:szCs w:val="20"/>
          <w:color w:val="auto"/>
        </w:rPr>
      </w:pPr>
    </w:p>
    <w:p>
      <w:pPr>
        <w:jc w:val="both"/>
        <w:ind w:right="300"/>
        <w:spacing w:after="0" w:line="265" w:lineRule="auto"/>
        <w:rPr>
          <w:sz w:val="20"/>
          <w:szCs w:val="20"/>
          <w:color w:val="auto"/>
        </w:rPr>
      </w:pPr>
      <w:r>
        <w:rPr>
          <w:rFonts w:ascii="Arial" w:cs="Arial" w:eastAsia="Arial" w:hAnsi="Arial"/>
          <w:sz w:val="12"/>
          <w:szCs w:val="12"/>
          <w:color w:val="auto"/>
        </w:rPr>
        <w:t>Borrowings made under the new FILO loan will bear interest, at the LIBOR rate (with a LIBOR floor of 1.0%) plus an applicable margin rate of 7.50% during the first six months from March 16, 2021. Thereafter, the applicable margin rate will be 7.50% for so long as the Company’s 12-month trailing consolidated EBITDA (as defined in the Fourth Amendment) measured as of the end of each month is less than $18.0 million, or 7.00% when 12-month trailing consolidated EBITDA is equal to or greater than $18.0 million. Accordingly, the interest rate at May 1, 2021 was 8.50%.</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Capital Expenditures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the open stores and related square footage at May 1, 2021, May 2, 2020 and May 4, 2019, respectively: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gridSpan w:val="3"/>
          </w:tcPr>
          <w:p>
            <w:pPr>
              <w:ind w:left="80"/>
              <w:spacing w:after="0"/>
              <w:rPr>
                <w:sz w:val="20"/>
                <w:szCs w:val="20"/>
                <w:color w:val="auto"/>
              </w:rPr>
            </w:pPr>
            <w:r>
              <w:rPr>
                <w:rFonts w:ascii="Arial" w:cs="Arial" w:eastAsia="Arial" w:hAnsi="Arial"/>
                <w:sz w:val="10"/>
                <w:szCs w:val="10"/>
                <w:color w:val="auto"/>
              </w:rPr>
              <w:t>May 1, 2021</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3"/>
          </w:tcPr>
          <w:p>
            <w:pPr>
              <w:ind w:left="760"/>
              <w:spacing w:after="0"/>
              <w:rPr>
                <w:sz w:val="20"/>
                <w:szCs w:val="20"/>
                <w:color w:val="auto"/>
              </w:rPr>
            </w:pPr>
            <w:r>
              <w:rPr>
                <w:rFonts w:ascii="Arial" w:cs="Arial" w:eastAsia="Arial" w:hAnsi="Arial"/>
                <w:sz w:val="10"/>
                <w:szCs w:val="10"/>
                <w:color w:val="auto"/>
                <w:w w:val="98"/>
              </w:rPr>
              <w:t>May 2, 2020</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3"/>
          </w:tcPr>
          <w:p>
            <w:pPr>
              <w:ind w:left="740"/>
              <w:spacing w:after="0"/>
              <w:rPr>
                <w:sz w:val="20"/>
                <w:szCs w:val="20"/>
                <w:color w:val="auto"/>
              </w:rPr>
            </w:pPr>
            <w:r>
              <w:rPr>
                <w:rFonts w:ascii="Arial" w:cs="Arial" w:eastAsia="Arial" w:hAnsi="Arial"/>
                <w:sz w:val="10"/>
                <w:szCs w:val="10"/>
                <w:color w:val="auto"/>
              </w:rPr>
              <w:t>May 4, 2019</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00"/>
        </w:trPr>
        <w:tc>
          <w:tcPr>
            <w:tcW w:w="4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center"/>
              <w:ind w:left="152"/>
              <w:spacing w:after="0" w:line="100" w:lineRule="exact"/>
              <w:rPr>
                <w:sz w:val="20"/>
                <w:szCs w:val="20"/>
                <w:color w:val="auto"/>
              </w:rPr>
            </w:pPr>
            <w:r>
              <w:rPr>
                <w:rFonts w:ascii="Arial" w:cs="Arial" w:eastAsia="Arial" w:hAnsi="Arial"/>
                <w:sz w:val="10"/>
                <w:szCs w:val="10"/>
                <w:color w:val="auto"/>
                <w:w w:val="89"/>
              </w:rPr>
              <w:t>Number of</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gridSpan w:val="2"/>
          </w:tcPr>
          <w:p>
            <w:pPr>
              <w:ind w:left="120"/>
              <w:spacing w:after="0" w:line="100" w:lineRule="exact"/>
              <w:rPr>
                <w:sz w:val="20"/>
                <w:szCs w:val="20"/>
                <w:color w:val="auto"/>
              </w:rPr>
            </w:pPr>
            <w:r>
              <w:rPr>
                <w:rFonts w:ascii="Arial" w:cs="Arial" w:eastAsia="Arial" w:hAnsi="Arial"/>
                <w:sz w:val="10"/>
                <w:szCs w:val="10"/>
                <w:color w:val="auto"/>
              </w:rPr>
              <w:t>Square</w:t>
            </w:r>
          </w:p>
        </w:tc>
        <w:tc>
          <w:tcPr>
            <w:tcW w:w="1320" w:type="dxa"/>
            <w:vAlign w:val="bottom"/>
            <w:gridSpan w:val="3"/>
          </w:tcPr>
          <w:p>
            <w:pPr>
              <w:ind w:left="240"/>
              <w:spacing w:after="0" w:line="100" w:lineRule="exact"/>
              <w:rPr>
                <w:sz w:val="20"/>
                <w:szCs w:val="20"/>
                <w:color w:val="auto"/>
              </w:rPr>
            </w:pPr>
            <w:r>
              <w:rPr>
                <w:rFonts w:ascii="Arial" w:cs="Arial" w:eastAsia="Arial" w:hAnsi="Arial"/>
                <w:sz w:val="10"/>
                <w:szCs w:val="10"/>
                <w:color w:val="auto"/>
              </w:rPr>
              <w:t>Number of</w:t>
            </w:r>
          </w:p>
        </w:tc>
        <w:tc>
          <w:tcPr>
            <w:tcW w:w="920" w:type="dxa"/>
            <w:vAlign w:val="bottom"/>
            <w:gridSpan w:val="2"/>
          </w:tcPr>
          <w:p>
            <w:pPr>
              <w:ind w:left="100"/>
              <w:spacing w:after="0" w:line="100" w:lineRule="exact"/>
              <w:rPr>
                <w:sz w:val="20"/>
                <w:szCs w:val="20"/>
                <w:color w:val="auto"/>
              </w:rPr>
            </w:pPr>
            <w:r>
              <w:rPr>
                <w:rFonts w:ascii="Arial" w:cs="Arial" w:eastAsia="Arial" w:hAnsi="Arial"/>
                <w:sz w:val="10"/>
                <w:szCs w:val="10"/>
                <w:color w:val="auto"/>
              </w:rPr>
              <w:t>Square</w:t>
            </w:r>
          </w:p>
        </w:tc>
        <w:tc>
          <w:tcPr>
            <w:tcW w:w="1320" w:type="dxa"/>
            <w:vAlign w:val="bottom"/>
            <w:gridSpan w:val="3"/>
          </w:tcPr>
          <w:p>
            <w:pPr>
              <w:ind w:left="220"/>
              <w:spacing w:after="0" w:line="100" w:lineRule="exact"/>
              <w:rPr>
                <w:sz w:val="20"/>
                <w:szCs w:val="20"/>
                <w:color w:val="auto"/>
              </w:rPr>
            </w:pPr>
            <w:r>
              <w:rPr>
                <w:rFonts w:ascii="Arial" w:cs="Arial" w:eastAsia="Arial" w:hAnsi="Arial"/>
                <w:sz w:val="10"/>
                <w:szCs w:val="10"/>
                <w:color w:val="auto"/>
              </w:rPr>
              <w:t>Number of</w:t>
            </w:r>
          </w:p>
        </w:tc>
        <w:tc>
          <w:tcPr>
            <w:tcW w:w="760" w:type="dxa"/>
            <w:vAlign w:val="bottom"/>
            <w:gridSpan w:val="2"/>
          </w:tcPr>
          <w:p>
            <w:pPr>
              <w:ind w:left="100"/>
              <w:spacing w:after="0" w:line="100" w:lineRule="exact"/>
              <w:rPr>
                <w:sz w:val="20"/>
                <w:szCs w:val="20"/>
                <w:color w:val="auto"/>
              </w:rPr>
            </w:pPr>
            <w:r>
              <w:rPr>
                <w:rFonts w:ascii="Arial" w:cs="Arial" w:eastAsia="Arial" w:hAnsi="Arial"/>
                <w:sz w:val="10"/>
                <w:szCs w:val="10"/>
                <w:color w:val="auto"/>
              </w:rPr>
              <w:t>Square</w:t>
            </w:r>
          </w:p>
        </w:tc>
      </w:tr>
      <w:tr>
        <w:trPr>
          <w:trHeight w:val="112"/>
        </w:trPr>
        <w:tc>
          <w:tcPr>
            <w:tcW w:w="4560" w:type="dxa"/>
            <w:vAlign w:val="bottom"/>
            <w:tcBorders>
              <w:bottom w:val="single" w:sz="8" w:color="auto"/>
            </w:tcBorders>
          </w:tcPr>
          <w:p>
            <w:pPr>
              <w:spacing w:after="0" w:line="113" w:lineRule="exact"/>
              <w:rPr>
                <w:sz w:val="20"/>
                <w:szCs w:val="20"/>
                <w:color w:val="auto"/>
              </w:rPr>
            </w:pPr>
            <w:r>
              <w:rPr>
                <w:rFonts w:ascii="Arial" w:cs="Arial" w:eastAsia="Arial" w:hAnsi="Arial"/>
                <w:sz w:val="10"/>
                <w:szCs w:val="10"/>
                <w:color w:val="auto"/>
              </w:rPr>
              <w:t>Store Concept</w:t>
            </w:r>
          </w:p>
        </w:tc>
        <w:tc>
          <w:tcPr>
            <w:tcW w:w="120" w:type="dxa"/>
            <w:vAlign w:val="bottom"/>
          </w:tcPr>
          <w:p>
            <w:pPr>
              <w:spacing w:after="0"/>
              <w:rPr>
                <w:sz w:val="9"/>
                <w:szCs w:val="9"/>
                <w:color w:val="auto"/>
              </w:rPr>
            </w:pPr>
          </w:p>
        </w:tc>
        <w:tc>
          <w:tcPr>
            <w:tcW w:w="700" w:type="dxa"/>
            <w:vAlign w:val="bottom"/>
            <w:tcBorders>
              <w:bottom w:val="single" w:sz="8" w:color="auto"/>
            </w:tcBorders>
          </w:tcPr>
          <w:p>
            <w:pPr>
              <w:jc w:val="center"/>
              <w:ind w:left="172"/>
              <w:spacing w:after="0" w:line="113" w:lineRule="exact"/>
              <w:rPr>
                <w:sz w:val="20"/>
                <w:szCs w:val="20"/>
                <w:color w:val="auto"/>
              </w:rPr>
            </w:pPr>
            <w:r>
              <w:rPr>
                <w:rFonts w:ascii="Arial" w:cs="Arial" w:eastAsia="Arial" w:hAnsi="Arial"/>
                <w:sz w:val="10"/>
                <w:szCs w:val="10"/>
                <w:color w:val="auto"/>
                <w:w w:val="82"/>
              </w:rPr>
              <w:t>Stores</w:t>
            </w:r>
          </w:p>
        </w:tc>
        <w:tc>
          <w:tcPr>
            <w:tcW w:w="2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3"/>
              <w:spacing w:after="0" w:line="113" w:lineRule="exact"/>
              <w:rPr>
                <w:sz w:val="20"/>
                <w:szCs w:val="20"/>
                <w:color w:val="auto"/>
              </w:rPr>
            </w:pPr>
            <w:r>
              <w:rPr>
                <w:rFonts w:ascii="Arial" w:cs="Arial" w:eastAsia="Arial" w:hAnsi="Arial"/>
                <w:sz w:val="10"/>
                <w:szCs w:val="10"/>
                <w:color w:val="auto"/>
              </w:rPr>
              <w:t>Footage</w:t>
            </w:r>
          </w:p>
        </w:tc>
        <w:tc>
          <w:tcPr>
            <w:tcW w:w="240" w:type="dxa"/>
            <w:vAlign w:val="bottom"/>
          </w:tcPr>
          <w:p>
            <w:pPr>
              <w:spacing w:after="0"/>
              <w:rPr>
                <w:sz w:val="9"/>
                <w:szCs w:val="9"/>
                <w:color w:val="auto"/>
              </w:rPr>
            </w:pPr>
          </w:p>
        </w:tc>
        <w:tc>
          <w:tcPr>
            <w:tcW w:w="900" w:type="dxa"/>
            <w:vAlign w:val="bottom"/>
            <w:tcBorders>
              <w:bottom w:val="single" w:sz="8" w:color="auto"/>
            </w:tcBorders>
          </w:tcPr>
          <w:p>
            <w:pPr>
              <w:jc w:val="right"/>
              <w:ind w:right="284"/>
              <w:spacing w:after="0" w:line="113" w:lineRule="exact"/>
              <w:rPr>
                <w:sz w:val="20"/>
                <w:szCs w:val="20"/>
                <w:color w:val="auto"/>
              </w:rPr>
            </w:pPr>
            <w:r>
              <w:rPr>
                <w:rFonts w:ascii="Arial" w:cs="Arial" w:eastAsia="Arial" w:hAnsi="Arial"/>
                <w:sz w:val="10"/>
                <w:szCs w:val="10"/>
                <w:color w:val="auto"/>
              </w:rPr>
              <w:t>Stores</w:t>
            </w: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3"/>
              <w:spacing w:after="0" w:line="113" w:lineRule="exact"/>
              <w:rPr>
                <w:sz w:val="20"/>
                <w:szCs w:val="20"/>
                <w:color w:val="auto"/>
              </w:rPr>
            </w:pPr>
            <w:r>
              <w:rPr>
                <w:rFonts w:ascii="Arial" w:cs="Arial" w:eastAsia="Arial" w:hAnsi="Arial"/>
                <w:sz w:val="10"/>
                <w:szCs w:val="10"/>
                <w:color w:val="auto"/>
              </w:rPr>
              <w:t>Footage</w:t>
            </w:r>
          </w:p>
        </w:tc>
        <w:tc>
          <w:tcPr>
            <w:tcW w:w="220" w:type="dxa"/>
            <w:vAlign w:val="bottom"/>
          </w:tcPr>
          <w:p>
            <w:pPr>
              <w:spacing w:after="0"/>
              <w:rPr>
                <w:sz w:val="9"/>
                <w:szCs w:val="9"/>
                <w:color w:val="auto"/>
              </w:rPr>
            </w:pPr>
          </w:p>
        </w:tc>
        <w:tc>
          <w:tcPr>
            <w:tcW w:w="880" w:type="dxa"/>
            <w:vAlign w:val="bottom"/>
            <w:tcBorders>
              <w:bottom w:val="single" w:sz="8" w:color="auto"/>
            </w:tcBorders>
          </w:tcPr>
          <w:p>
            <w:pPr>
              <w:jc w:val="right"/>
              <w:ind w:right="264"/>
              <w:spacing w:after="0" w:line="113" w:lineRule="exact"/>
              <w:rPr>
                <w:sz w:val="20"/>
                <w:szCs w:val="20"/>
                <w:color w:val="auto"/>
              </w:rPr>
            </w:pPr>
            <w:r>
              <w:rPr>
                <w:rFonts w:ascii="Arial" w:cs="Arial" w:eastAsia="Arial" w:hAnsi="Arial"/>
                <w:sz w:val="10"/>
                <w:szCs w:val="10"/>
                <w:color w:val="auto"/>
              </w:rPr>
              <w:t>Stores</w:t>
            </w:r>
          </w:p>
        </w:tc>
        <w:tc>
          <w:tcPr>
            <w:tcW w:w="2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43"/>
              <w:spacing w:after="0" w:line="113" w:lineRule="exact"/>
              <w:rPr>
                <w:sz w:val="20"/>
                <w:szCs w:val="20"/>
                <w:color w:val="auto"/>
              </w:rPr>
            </w:pPr>
            <w:r>
              <w:rPr>
                <w:rFonts w:ascii="Arial" w:cs="Arial" w:eastAsia="Arial" w:hAnsi="Arial"/>
                <w:sz w:val="10"/>
                <w:szCs w:val="10"/>
                <w:color w:val="auto"/>
                <w:w w:val="97"/>
              </w:rPr>
              <w:t>Footage</w:t>
            </w:r>
          </w:p>
        </w:tc>
        <w:tc>
          <w:tcPr>
            <w:tcW w:w="80" w:type="dxa"/>
            <w:vAlign w:val="bottom"/>
          </w:tcPr>
          <w:p>
            <w:pPr>
              <w:spacing w:after="0"/>
              <w:rPr>
                <w:sz w:val="9"/>
                <w:szCs w:val="9"/>
                <w:color w:val="auto"/>
              </w:rPr>
            </w:pPr>
          </w:p>
        </w:tc>
      </w:tr>
      <w:tr>
        <w:trPr>
          <w:trHeight w:val="134"/>
        </w:trPr>
        <w:tc>
          <w:tcPr>
            <w:tcW w:w="4680" w:type="dxa"/>
            <w:vAlign w:val="bottom"/>
            <w:gridSpan w:val="2"/>
          </w:tcPr>
          <w:p>
            <w:pPr>
              <w:spacing w:after="0"/>
              <w:rPr>
                <w:sz w:val="20"/>
                <w:szCs w:val="20"/>
                <w:color w:val="auto"/>
              </w:rPr>
            </w:pPr>
            <w:r>
              <w:rPr>
                <w:rFonts w:ascii="Arial" w:cs="Arial" w:eastAsia="Arial" w:hAnsi="Arial"/>
                <w:sz w:val="10"/>
                <w:szCs w:val="10"/>
                <w:i w:val="1"/>
                <w:iCs w:val="1"/>
                <w:color w:val="auto"/>
              </w:rPr>
              <w:t>(square footage in thousands)</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3"/>
        </w:trPr>
        <w:tc>
          <w:tcPr>
            <w:tcW w:w="46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DXL Retail</w:t>
            </w: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222</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1,691</w:t>
            </w: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1,729</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220</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1,697</w:t>
            </w:r>
          </w:p>
        </w:tc>
        <w:tc>
          <w:tcPr>
            <w:tcW w:w="80" w:type="dxa"/>
            <w:vAlign w:val="bottom"/>
            <w:shd w:val="clear" w:color="auto" w:fill="CFF0FC"/>
          </w:tcPr>
          <w:p>
            <w:pPr>
              <w:spacing w:after="0"/>
              <w:rPr>
                <w:sz w:val="14"/>
                <w:szCs w:val="14"/>
                <w:color w:val="auto"/>
              </w:rPr>
            </w:pPr>
          </w:p>
        </w:tc>
      </w:tr>
      <w:tr>
        <w:trPr>
          <w:trHeight w:val="154"/>
        </w:trPr>
        <w:tc>
          <w:tcPr>
            <w:tcW w:w="4680" w:type="dxa"/>
            <w:vAlign w:val="bottom"/>
            <w:gridSpan w:val="2"/>
          </w:tcPr>
          <w:p>
            <w:pPr>
              <w:spacing w:after="0"/>
              <w:rPr>
                <w:sz w:val="20"/>
                <w:szCs w:val="20"/>
                <w:color w:val="auto"/>
              </w:rPr>
            </w:pPr>
            <w:r>
              <w:rPr>
                <w:rFonts w:ascii="Arial" w:cs="Arial" w:eastAsia="Arial" w:hAnsi="Arial"/>
                <w:sz w:val="12"/>
                <w:szCs w:val="12"/>
                <w:color w:val="auto"/>
              </w:rPr>
              <w:t>DXL Outlets</w:t>
            </w:r>
          </w:p>
        </w:tc>
        <w:tc>
          <w:tcPr>
            <w:tcW w:w="7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17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82</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82</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16</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82</w:t>
            </w:r>
          </w:p>
        </w:tc>
        <w:tc>
          <w:tcPr>
            <w:tcW w:w="80" w:type="dxa"/>
            <w:vAlign w:val="bottom"/>
          </w:tcPr>
          <w:p>
            <w:pPr>
              <w:spacing w:after="0"/>
              <w:rPr>
                <w:sz w:val="13"/>
                <w:szCs w:val="13"/>
                <w:color w:val="auto"/>
              </w:rPr>
            </w:pPr>
          </w:p>
        </w:tc>
      </w:tr>
      <w:tr>
        <w:trPr>
          <w:trHeight w:val="154"/>
        </w:trPr>
        <w:tc>
          <w:tcPr>
            <w:tcW w:w="46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Casual Male XL Retail</w:t>
            </w: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w:t>
            </w: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164</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w:t>
            </w:r>
          </w:p>
        </w:tc>
        <w:tc>
          <w:tcPr>
            <w:tcW w:w="80" w:type="dxa"/>
            <w:vAlign w:val="bottom"/>
            <w:shd w:val="clear" w:color="auto" w:fill="CFF0FC"/>
          </w:tcPr>
          <w:p>
            <w:pPr>
              <w:spacing w:after="0"/>
              <w:rPr>
                <w:sz w:val="13"/>
                <w:szCs w:val="13"/>
                <w:color w:val="auto"/>
              </w:rPr>
            </w:pPr>
          </w:p>
        </w:tc>
      </w:tr>
      <w:tr>
        <w:trPr>
          <w:trHeight w:val="154"/>
        </w:trPr>
        <w:tc>
          <w:tcPr>
            <w:tcW w:w="4680" w:type="dxa"/>
            <w:vAlign w:val="bottom"/>
            <w:gridSpan w:val="2"/>
          </w:tcPr>
          <w:p>
            <w:pPr>
              <w:spacing w:after="0"/>
              <w:rPr>
                <w:sz w:val="20"/>
                <w:szCs w:val="20"/>
                <w:color w:val="auto"/>
              </w:rPr>
            </w:pPr>
            <w:r>
              <w:rPr>
                <w:rFonts w:ascii="Arial" w:cs="Arial" w:eastAsia="Arial" w:hAnsi="Arial"/>
                <w:sz w:val="12"/>
                <w:szCs w:val="12"/>
                <w:color w:val="auto"/>
              </w:rPr>
              <w:t>Casual Male Outlets</w:t>
            </w:r>
          </w:p>
        </w:tc>
        <w:tc>
          <w:tcPr>
            <w:tcW w:w="7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20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60</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79</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29</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88</w:t>
            </w:r>
          </w:p>
        </w:tc>
        <w:tc>
          <w:tcPr>
            <w:tcW w:w="80" w:type="dxa"/>
            <w:vAlign w:val="bottom"/>
          </w:tcPr>
          <w:p>
            <w:pPr>
              <w:spacing w:after="0"/>
              <w:rPr>
                <w:sz w:val="13"/>
                <w:szCs w:val="13"/>
                <w:color w:val="auto"/>
              </w:rPr>
            </w:pPr>
          </w:p>
        </w:tc>
      </w:tr>
      <w:tr>
        <w:trPr>
          <w:trHeight w:val="154"/>
        </w:trPr>
        <w:tc>
          <w:tcPr>
            <w:tcW w:w="46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Rochester Clothing</w:t>
            </w:r>
          </w:p>
        </w:tc>
        <w:tc>
          <w:tcPr>
            <w:tcW w:w="70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22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w:t>
            </w:r>
          </w:p>
        </w:tc>
        <w:tc>
          <w:tcPr>
            <w:tcW w:w="80" w:type="dxa"/>
            <w:vAlign w:val="bottom"/>
            <w:shd w:val="clear" w:color="auto" w:fill="CFF0FC"/>
          </w:tcPr>
          <w:p>
            <w:pPr>
              <w:spacing w:after="0"/>
              <w:rPr>
                <w:sz w:val="13"/>
                <w:szCs w:val="13"/>
                <w:color w:val="auto"/>
              </w:rPr>
            </w:pPr>
          </w:p>
        </w:tc>
      </w:tr>
      <w:tr>
        <w:trPr>
          <w:trHeight w:val="143"/>
        </w:trPr>
        <w:tc>
          <w:tcPr>
            <w:tcW w:w="4680" w:type="dxa"/>
            <w:vAlign w:val="bottom"/>
            <w:gridSpan w:val="2"/>
          </w:tcPr>
          <w:p>
            <w:pPr>
              <w:spacing w:after="0"/>
              <w:rPr>
                <w:sz w:val="20"/>
                <w:szCs w:val="20"/>
                <w:color w:val="auto"/>
              </w:rPr>
            </w:pPr>
            <w:r>
              <w:rPr>
                <w:rFonts w:ascii="Arial" w:cs="Arial" w:eastAsia="Arial" w:hAnsi="Arial"/>
                <w:sz w:val="12"/>
                <w:szCs w:val="12"/>
                <w:color w:val="auto"/>
              </w:rPr>
              <w:t>Total Stores</w:t>
            </w:r>
          </w:p>
        </w:tc>
        <w:tc>
          <w:tcPr>
            <w:tcW w:w="7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w w:val="89"/>
              </w:rPr>
              <w:t>301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1,970</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321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2,054</w:t>
            </w: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328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2,103</w:t>
            </w:r>
          </w:p>
        </w:tc>
        <w:tc>
          <w:tcPr>
            <w:tcW w:w="80" w:type="dxa"/>
            <w:vAlign w:val="bottom"/>
          </w:tcPr>
          <w:p>
            <w:pPr>
              <w:spacing w:after="0"/>
              <w:rPr>
                <w:sz w:val="12"/>
                <w:szCs w:val="12"/>
                <w:color w:val="auto"/>
              </w:rPr>
            </w:pPr>
          </w:p>
        </w:tc>
      </w:tr>
    </w:tbl>
    <w:p>
      <w:pPr>
        <w:spacing w:after="0" w:line="136" w:lineRule="exact"/>
        <w:rPr>
          <w:sz w:val="20"/>
          <w:szCs w:val="20"/>
          <w:color w:val="auto"/>
        </w:rPr>
      </w:pPr>
    </w:p>
    <w:p>
      <w:pPr>
        <w:ind w:right="120"/>
        <w:spacing w:after="0" w:line="261" w:lineRule="auto"/>
        <w:rPr>
          <w:sz w:val="20"/>
          <w:szCs w:val="20"/>
          <w:color w:val="auto"/>
        </w:rPr>
      </w:pPr>
      <w:r>
        <w:rPr>
          <w:rFonts w:ascii="Arial" w:cs="Arial" w:eastAsia="Arial" w:hAnsi="Arial"/>
          <w:sz w:val="12"/>
          <w:szCs w:val="12"/>
          <w:color w:val="auto"/>
        </w:rPr>
        <w:t>We do not plan to open any new stores or rebrand any of our Casual Male XL stores during fiscal 2021. We have 155 stores that have leases with either a natural lease expiration or a kick-out option within the next two years. This provides us an opportunity to right size our store portfolio, through ongoing lease renegotiations or lease-term expirations, to ensure that we are optimizing our store profitability and omni-channel distribution. Since the beginning of fiscal 2020, we have renegotiated approximately 115 of our store leases, which we expect will result in over $16.1 million of savings over the life of the leases, including $6.0 million of expected savings in fiscal 2021. We will continue to work with our landlords on leases where our rents are not aligned with sales.</w:t>
      </w:r>
    </w:p>
    <w:p>
      <w:pPr>
        <w:spacing w:after="0" w:line="124" w:lineRule="exact"/>
        <w:rPr>
          <w:sz w:val="20"/>
          <w:szCs w:val="20"/>
          <w:color w:val="auto"/>
        </w:rPr>
      </w:pPr>
    </w:p>
    <w:p>
      <w:pPr>
        <w:ind w:right="120"/>
        <w:spacing w:after="0" w:line="279" w:lineRule="auto"/>
        <w:rPr>
          <w:sz w:val="20"/>
          <w:szCs w:val="20"/>
          <w:color w:val="auto"/>
        </w:rPr>
      </w:pPr>
      <w:r>
        <w:rPr>
          <w:rFonts w:ascii="Arial" w:cs="Arial" w:eastAsia="Arial" w:hAnsi="Arial"/>
          <w:sz w:val="12"/>
          <w:szCs w:val="12"/>
          <w:color w:val="auto"/>
        </w:rPr>
        <w:t>Our capital expenditures for the first three months of fiscal 2021 were $0.8 million as compared to $1.6 million for the first three months of fiscal 2020. During the first quarter of fiscal 2021, we closed 4 DXL retail stores, 4 Casual Male XL retail stores and 2 Casual Male XL outlets.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56" w:lineRule="exact"/>
        <w:rPr>
          <w:sz w:val="20"/>
          <w:szCs w:val="20"/>
          <w:color w:val="auto"/>
        </w:rPr>
      </w:pPr>
    </w:p>
    <w:p>
      <w:pPr>
        <w:ind w:right="140"/>
        <w:spacing w:after="0" w:line="279" w:lineRule="auto"/>
        <w:rPr>
          <w:sz w:val="20"/>
          <w:szCs w:val="20"/>
          <w:color w:val="auto"/>
        </w:rPr>
      </w:pPr>
      <w:r>
        <w:rPr>
          <w:rFonts w:ascii="Arial" w:cs="Arial" w:eastAsia="Arial" w:hAnsi="Arial"/>
          <w:sz w:val="12"/>
          <w:szCs w:val="12"/>
          <w:color w:val="auto"/>
        </w:rPr>
        <w:t>There have been no material changes to the critical accounting policies and estimates disclosed in our Form 10-K for the year ending January 30, 2021. See Note 1 to the Consolidated Financial Statements included in this report for information on recent accounting pronouncements and changes in accounting principles.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Non-GAAP Financial Measures</w:t>
      </w:r>
    </w:p>
    <w:p>
      <w:pPr>
        <w:spacing w:after="0" w:line="156" w:lineRule="exact"/>
        <w:rPr>
          <w:sz w:val="20"/>
          <w:szCs w:val="20"/>
          <w:color w:val="auto"/>
        </w:rPr>
      </w:pPr>
    </w:p>
    <w:p>
      <w:pPr>
        <w:ind w:right="20"/>
        <w:spacing w:after="0" w:line="258" w:lineRule="auto"/>
        <w:rPr>
          <w:sz w:val="20"/>
          <w:szCs w:val="20"/>
          <w:color w:val="auto"/>
        </w:rPr>
      </w:pPr>
      <w:r>
        <w:rPr>
          <w:rFonts w:ascii="Arial" w:cs="Arial" w:eastAsia="Arial" w:hAnsi="Arial"/>
          <w:sz w:val="12"/>
          <w:szCs w:val="12"/>
          <w:color w:val="auto"/>
        </w:rPr>
        <w:t>Adjusted net income (loss), adjusted net income (loss) per diluted share, free cash flow and Adjusted EBITDA are non-GAAP measures. These non-GAAP measures are not presented in accordance with GAAP and should not be considered superior to or as a substitute for net loss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Reconciliations of these non-GAAP measures are presented in the following tables </w:t>
      </w:r>
      <w:r>
        <w:rPr>
          <w:rFonts w:ascii="Arial" w:cs="Arial" w:eastAsia="Arial" w:hAnsi="Arial"/>
          <w:sz w:val="12"/>
          <w:szCs w:val="12"/>
          <w:i w:val="1"/>
          <w:iCs w:val="1"/>
          <w:color w:val="auto"/>
        </w:rPr>
        <w:t>(certain columns may not foot due to rounding)</w:t>
      </w:r>
      <w:r>
        <w:rPr>
          <w:rFonts w:ascii="Arial" w:cs="Arial" w:eastAsia="Arial" w:hAnsi="Arial"/>
          <w:sz w:val="12"/>
          <w:szCs w:val="12"/>
          <w:color w:val="auto"/>
        </w:rPr>
        <w:t>:</w:t>
      </w:r>
    </w:p>
    <w:p>
      <w:pPr>
        <w:spacing w:after="0" w:line="152" w:lineRule="exact"/>
        <w:rPr>
          <w:sz w:val="20"/>
          <w:szCs w:val="20"/>
          <w:color w:val="auto"/>
        </w:rPr>
      </w:pPr>
    </w:p>
    <w:p>
      <w:pPr>
        <w:jc w:val="both"/>
        <w:ind w:right="320"/>
        <w:spacing w:after="0" w:line="265" w:lineRule="auto"/>
        <w:rPr>
          <w:sz w:val="20"/>
          <w:szCs w:val="20"/>
          <w:color w:val="auto"/>
        </w:rPr>
      </w:pPr>
      <w:r>
        <w:rPr>
          <w:rFonts w:ascii="Arial" w:cs="Arial" w:eastAsia="Arial" w:hAnsi="Arial"/>
          <w:sz w:val="12"/>
          <w:szCs w:val="12"/>
          <w:i w:val="1"/>
          <w:iCs w:val="1"/>
          <w:u w:val="single" w:color="auto"/>
          <w:color w:val="auto"/>
        </w:rPr>
        <w:t>Adjusted net income (loss) and adjusted net income (loss) per diluted share</w:t>
      </w:r>
      <w:r>
        <w:rPr>
          <w:rFonts w:ascii="Arial" w:cs="Arial" w:eastAsia="Arial" w:hAnsi="Arial"/>
          <w:sz w:val="12"/>
          <w:szCs w:val="12"/>
          <w:color w:val="auto"/>
        </w:rPr>
        <w:t>. Adjusted net income (loss) and adjusted net income (loss) per share reflect an adjustment assuming a normal tax rate of 26% and the add-back of CEO</w:t>
      </w:r>
      <w:r>
        <w:rPr>
          <w:rFonts w:ascii="Arial" w:cs="Arial" w:eastAsia="Arial" w:hAnsi="Arial"/>
          <w:sz w:val="12"/>
          <w:szCs w:val="12"/>
          <w:i w:val="1"/>
          <w:iCs w:val="1"/>
          <w:color w:val="auto"/>
        </w:rPr>
        <w:t xml:space="preserve"> </w:t>
      </w:r>
      <w:r>
        <w:rPr>
          <w:rFonts w:ascii="Arial" w:cs="Arial" w:eastAsia="Arial" w:hAnsi="Arial"/>
          <w:sz w:val="12"/>
          <w:szCs w:val="12"/>
          <w:color w:val="auto"/>
        </w:rPr>
        <w:t>transition and impairment of assets. We have fully reserved against our deferred tax assets and, therefore, net loss is not reflective of earnings assuming a “normal” tax position. Adjusted net loss provides investors with a useful indication of the financial performance of the business, on a comparative basis, assuming a normalized tax rate of 26%.</w:t>
      </w:r>
    </w:p>
    <w:p>
      <w:pPr>
        <w:spacing w:after="0" w:line="59" w:lineRule="exact"/>
        <w:rPr>
          <w:sz w:val="20"/>
          <w:szCs w:val="20"/>
          <w:color w:val="auto"/>
        </w:rPr>
      </w:pPr>
    </w:p>
    <w:tbl>
      <w:tblPr>
        <w:tblLayout w:type="fixed"/>
        <w:tblInd w:w="160" w:type="dxa"/>
        <w:tblCellMar>
          <w:top w:w="0" w:type="dxa"/>
          <w:left w:w="0" w:type="dxa"/>
          <w:bottom w:w="0" w:type="dxa"/>
          <w:right w:w="0" w:type="dxa"/>
        </w:tblCellMar>
      </w:tblPr>
      <w:tr>
        <w:trPr>
          <w:trHeight w:val="154"/>
        </w:trPr>
        <w:tc>
          <w:tcPr>
            <w:tcW w:w="18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6"/>
          </w:tcPr>
          <w:p>
            <w:pPr>
              <w:jc w:val="right"/>
              <w:ind w:right="660"/>
              <w:spacing w:after="0"/>
              <w:rPr>
                <w:sz w:val="20"/>
                <w:szCs w:val="20"/>
                <w:color w:val="auto"/>
              </w:rPr>
            </w:pPr>
            <w:r>
              <w:rPr>
                <w:rFonts w:ascii="Arial" w:cs="Arial" w:eastAsia="Arial" w:hAnsi="Arial"/>
                <w:sz w:val="12"/>
                <w:szCs w:val="12"/>
                <w:color w:val="auto"/>
                <w:w w:val="99"/>
              </w:rPr>
              <w:t>For the three months ended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18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color w:val="auto"/>
              </w:rPr>
              <w:t>May 1, 2021</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2"/>
                <w:szCs w:val="12"/>
                <w:color w:val="auto"/>
              </w:rPr>
              <w:t>May 2, 2020</w:t>
            </w: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2"/>
                <w:szCs w:val="12"/>
                <w:color w:val="auto"/>
                <w:w w:val="90"/>
              </w:rPr>
              <w:t>May 4, 2019</w:t>
            </w:r>
          </w:p>
        </w:tc>
      </w:tr>
      <w:tr>
        <w:trPr>
          <w:trHeight w:val="134"/>
        </w:trPr>
        <w:tc>
          <w:tcPr>
            <w:tcW w:w="18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140"/>
              <w:spacing w:after="0" w:line="134" w:lineRule="exact"/>
              <w:rPr>
                <w:sz w:val="20"/>
                <w:szCs w:val="20"/>
                <w:color w:val="auto"/>
              </w:rPr>
            </w:pPr>
            <w:r>
              <w:rPr>
                <w:rFonts w:ascii="Arial" w:cs="Arial" w:eastAsia="Arial" w:hAnsi="Arial"/>
                <w:sz w:val="12"/>
                <w:szCs w:val="12"/>
                <w:color w:val="auto"/>
                <w:w w:val="90"/>
              </w:rPr>
              <w:t>Per diluted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w w:val="97"/>
              </w:rPr>
              <w:t>Per diluted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Per diluted</w:t>
            </w:r>
          </w:p>
        </w:tc>
      </w:tr>
      <w:tr>
        <w:trPr>
          <w:trHeight w:val="154"/>
        </w:trPr>
        <w:tc>
          <w:tcPr>
            <w:tcW w:w="18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share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5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2"/>
                <w:szCs w:val="12"/>
                <w:color w:val="auto"/>
              </w:rPr>
              <w:t>share</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2"/>
                <w:szCs w:val="12"/>
                <w:color w:val="auto"/>
              </w:rPr>
              <w:t>share</w:t>
            </w:r>
          </w:p>
        </w:tc>
      </w:tr>
      <w:tr>
        <w:trPr>
          <w:trHeight w:val="123"/>
        </w:trPr>
        <w:tc>
          <w:tcPr>
            <w:tcW w:w="1800" w:type="dxa"/>
            <w:vAlign w:val="bottom"/>
            <w:tcBorders>
              <w:bottom w:val="single" w:sz="8" w:color="auto"/>
            </w:tcBorders>
          </w:tcPr>
          <w:p>
            <w:pPr>
              <w:spacing w:after="0" w:line="116" w:lineRule="exact"/>
              <w:rPr>
                <w:sz w:val="20"/>
                <w:szCs w:val="20"/>
                <w:color w:val="auto"/>
              </w:rPr>
            </w:pPr>
            <w:r>
              <w:rPr>
                <w:rFonts w:ascii="Arial" w:cs="Arial" w:eastAsia="Arial" w:hAnsi="Arial"/>
                <w:sz w:val="12"/>
                <w:szCs w:val="12"/>
                <w:i w:val="1"/>
                <w:iCs w:val="1"/>
                <w:color w:val="auto"/>
                <w:w w:val="89"/>
              </w:rPr>
              <w:t>(in thousands, except per share data)</w:t>
            </w:r>
          </w:p>
        </w:tc>
        <w:tc>
          <w:tcPr>
            <w:tcW w:w="2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54"/>
        </w:trPr>
        <w:tc>
          <w:tcPr>
            <w:tcW w:w="39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income (loss) (GAAP basis)</w:t>
            </w:r>
          </w:p>
        </w:tc>
        <w:tc>
          <w:tcPr>
            <w:tcW w:w="1140" w:type="dxa"/>
            <w:vAlign w:val="bottom"/>
            <w:gridSpan w:val="2"/>
            <w:shd w:val="clear" w:color="auto" w:fill="CFF0FC"/>
          </w:tcPr>
          <w:p>
            <w:pPr>
              <w:jc w:val="right"/>
              <w:ind w:right="580"/>
              <w:spacing w:after="0"/>
              <w:rPr>
                <w:sz w:val="20"/>
                <w:szCs w:val="20"/>
                <w:color w:val="auto"/>
              </w:rPr>
            </w:pPr>
            <w:r>
              <w:rPr>
                <w:rFonts w:ascii="Arial" w:cs="Arial" w:eastAsia="Arial" w:hAnsi="Arial"/>
                <w:sz w:val="12"/>
                <w:szCs w:val="12"/>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8,697</w:t>
            </w:r>
          </w:p>
        </w:tc>
        <w:tc>
          <w:tcPr>
            <w:tcW w:w="8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0.14</w:t>
            </w:r>
          </w:p>
        </w:tc>
        <w:tc>
          <w:tcPr>
            <w:tcW w:w="3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(41,726)</w:t>
            </w: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(0.82)</w:t>
            </w: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(3,081)</w:t>
            </w:r>
          </w:p>
        </w:tc>
        <w:tc>
          <w:tcPr>
            <w:tcW w:w="160" w:type="dxa"/>
            <w:vAlign w:val="bottom"/>
            <w:gridSpan w:val="2"/>
            <w:shd w:val="clear" w:color="auto" w:fill="CFF0FC"/>
          </w:tcPr>
          <w:p>
            <w:pPr>
              <w:jc w:val="center"/>
              <w:ind w:right="20"/>
              <w:spacing w:after="0"/>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(0.06)</w:t>
            </w:r>
          </w:p>
        </w:tc>
      </w:tr>
      <w:tr>
        <w:trPr>
          <w:trHeight w:val="154"/>
        </w:trPr>
        <w:tc>
          <w:tcPr>
            <w:tcW w:w="3940" w:type="dxa"/>
            <w:vAlign w:val="bottom"/>
            <w:gridSpan w:val="2"/>
          </w:tcPr>
          <w:p>
            <w:pPr>
              <w:spacing w:after="0"/>
              <w:rPr>
                <w:sz w:val="20"/>
                <w:szCs w:val="20"/>
                <w:color w:val="auto"/>
              </w:rPr>
            </w:pPr>
            <w:r>
              <w:rPr>
                <w:rFonts w:ascii="Arial" w:cs="Arial" w:eastAsia="Arial" w:hAnsi="Arial"/>
                <w:sz w:val="12"/>
                <w:szCs w:val="12"/>
                <w:b w:val="1"/>
                <w:bCs w:val="1"/>
                <w:color w:val="auto"/>
              </w:rPr>
              <w:t>Adjust:</w:t>
            </w: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9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Impairment of assets</w:t>
            </w:r>
          </w:p>
        </w:tc>
        <w:tc>
          <w:tcPr>
            <w:tcW w:w="5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(652)</w:t>
            </w: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16,335</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3940" w:type="dxa"/>
            <w:vAlign w:val="bottom"/>
            <w:gridSpan w:val="2"/>
          </w:tcPr>
          <w:p>
            <w:pPr>
              <w:spacing w:after="0"/>
              <w:rPr>
                <w:sz w:val="20"/>
                <w:szCs w:val="20"/>
                <w:color w:val="auto"/>
              </w:rPr>
            </w:pPr>
            <w:r>
              <w:rPr>
                <w:rFonts w:ascii="Arial" w:cs="Arial" w:eastAsia="Arial" w:hAnsi="Arial"/>
                <w:sz w:val="12"/>
                <w:szCs w:val="12"/>
                <w:color w:val="auto"/>
              </w:rPr>
              <w:t>CEO transition costs</w:t>
            </w: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702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9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Add back actual income tax provision (benefit)</w:t>
            </w:r>
          </w:p>
        </w:tc>
        <w:tc>
          <w:tcPr>
            <w:tcW w:w="5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(21)</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3940" w:type="dxa"/>
            <w:vAlign w:val="bottom"/>
            <w:gridSpan w:val="2"/>
          </w:tcPr>
          <w:p>
            <w:pPr>
              <w:spacing w:after="0"/>
              <w:rPr>
                <w:sz w:val="20"/>
                <w:szCs w:val="20"/>
                <w:color w:val="auto"/>
              </w:rPr>
            </w:pPr>
            <w:r>
              <w:rPr>
                <w:rFonts w:ascii="Arial" w:cs="Arial" w:eastAsia="Arial" w:hAnsi="Arial"/>
                <w:sz w:val="12"/>
                <w:szCs w:val="12"/>
                <w:color w:val="auto"/>
              </w:rPr>
              <w:t>Add income tax (provision) benefit, assuming a normal tax rate of 26%</w:t>
            </w: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rPr>
              <w:t>(2,099)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6,596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624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180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43"/>
        </w:trPr>
        <w:tc>
          <w:tcPr>
            <w:tcW w:w="3940" w:type="dxa"/>
            <w:vAlign w:val="bottom"/>
            <w:gridSpan w:val="2"/>
          </w:tcPr>
          <w:p>
            <w:pPr>
              <w:spacing w:after="0"/>
              <w:rPr>
                <w:sz w:val="20"/>
                <w:szCs w:val="20"/>
                <w:color w:val="auto"/>
              </w:rPr>
            </w:pPr>
            <w:r>
              <w:rPr>
                <w:rFonts w:ascii="Arial" w:cs="Arial" w:eastAsia="Arial" w:hAnsi="Arial"/>
                <w:sz w:val="12"/>
                <w:szCs w:val="12"/>
                <w:color w:val="auto"/>
              </w:rPr>
              <w:t>Adjusted net income (loss) (non-GAAP basis)</w:t>
            </w:r>
          </w:p>
        </w:tc>
        <w:tc>
          <w:tcPr>
            <w:tcW w:w="114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5,974</w:t>
            </w:r>
          </w:p>
        </w:tc>
        <w:tc>
          <w:tcPr>
            <w:tcW w:w="80" w:type="dxa"/>
            <w:vAlign w:val="bottom"/>
          </w:tcPr>
          <w:p>
            <w:pPr>
              <w:spacing w:after="0"/>
              <w:rPr>
                <w:sz w:val="12"/>
                <w:szCs w:val="12"/>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0.09</w:t>
            </w:r>
          </w:p>
        </w:tc>
        <w:tc>
          <w:tcPr>
            <w:tcW w:w="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2"/>
                <w:szCs w:val="12"/>
                <w:color w:val="auto"/>
              </w:rPr>
              <w:t>(18,775)</w:t>
            </w:r>
          </w:p>
        </w:tc>
        <w:tc>
          <w:tcPr>
            <w:tcW w:w="1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2"/>
                <w:szCs w:val="12"/>
                <w:color w:val="auto"/>
              </w:rPr>
              <w:t>(0.37)</w:t>
            </w:r>
          </w:p>
        </w:tc>
        <w:tc>
          <w:tcPr>
            <w:tcW w:w="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(1,776)</w:t>
            </w:r>
          </w:p>
        </w:tc>
        <w:tc>
          <w:tcPr>
            <w:tcW w:w="160" w:type="dxa"/>
            <w:vAlign w:val="bottom"/>
            <w:gridSpan w:val="2"/>
          </w:tcPr>
          <w:p>
            <w:pPr>
              <w:jc w:val="center"/>
              <w:ind w:right="20"/>
              <w:spacing w:after="0"/>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(0.04)</w:t>
            </w:r>
          </w:p>
        </w:tc>
      </w:tr>
      <w:tr>
        <w:trPr>
          <w:trHeight w:val="154"/>
        </w:trPr>
        <w:tc>
          <w:tcPr>
            <w:tcW w:w="180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3940" w:type="dxa"/>
            <w:vAlign w:val="bottom"/>
            <w:gridSpan w:val="2"/>
          </w:tcPr>
          <w:p>
            <w:pPr>
              <w:spacing w:after="0"/>
              <w:rPr>
                <w:sz w:val="20"/>
                <w:szCs w:val="20"/>
                <w:color w:val="auto"/>
              </w:rPr>
            </w:pPr>
            <w:r>
              <w:rPr>
                <w:rFonts w:ascii="Arial" w:cs="Arial" w:eastAsia="Arial" w:hAnsi="Arial"/>
                <w:sz w:val="12"/>
                <w:szCs w:val="12"/>
                <w:color w:val="auto"/>
              </w:rPr>
              <w:t>Weighted average number of common shares</w:t>
            </w: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94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outstanding on a diluted basis</w:t>
            </w:r>
          </w:p>
        </w:tc>
        <w:tc>
          <w:tcPr>
            <w:tcW w:w="5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63,000</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50,758</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49,602</w:t>
            </w:r>
          </w:p>
        </w:tc>
        <w:tc>
          <w:tcPr>
            <w:tcW w:w="80" w:type="dxa"/>
            <w:vAlign w:val="bottom"/>
            <w:shd w:val="clear" w:color="auto" w:fill="CFF0FC"/>
          </w:tcPr>
          <w:p>
            <w:pPr>
              <w:spacing w:after="0"/>
              <w:rPr>
                <w:sz w:val="13"/>
                <w:szCs w:val="13"/>
                <w:color w:val="auto"/>
              </w:rPr>
            </w:pPr>
          </w:p>
        </w:tc>
      </w:tr>
    </w:tbl>
    <w:p>
      <w:pPr>
        <w:spacing w:after="0" w:line="136"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i w:val="1"/>
          <w:iCs w:val="1"/>
          <w:u w:val="single" w:color="auto"/>
          <w:color w:val="auto"/>
        </w:rPr>
        <w:t>Free Cash Flow.</w:t>
      </w:r>
      <w:r>
        <w:rPr>
          <w:rFonts w:ascii="Arial" w:cs="Arial" w:eastAsia="Arial" w:hAnsi="Arial"/>
          <w:sz w:val="12"/>
          <w:szCs w:val="12"/>
          <w:i w:val="1"/>
          <w:iCs w:val="1"/>
          <w:color w:val="auto"/>
        </w:rPr>
        <w:t xml:space="preserve"> </w:t>
      </w:r>
      <w:r>
        <w:rPr>
          <w:rFonts w:ascii="Arial" w:cs="Arial" w:eastAsia="Arial" w:hAnsi="Arial"/>
          <w:sz w:val="12"/>
          <w:szCs w:val="12"/>
          <w:color w:val="auto"/>
        </w:rPr>
        <w:t>We define free cash flow as cash flow from operating activities less capital expenditures. Free cash flow excludes the mandatory and discretionary repayment of debt. Free cash flow is a metric that management uses</w:t>
      </w:r>
      <w:r>
        <w:rPr>
          <w:rFonts w:ascii="Arial" w:cs="Arial" w:eastAsia="Arial" w:hAnsi="Arial"/>
          <w:sz w:val="12"/>
          <w:szCs w:val="12"/>
          <w:i w:val="1"/>
          <w:iCs w:val="1"/>
          <w:color w:val="auto"/>
        </w:rPr>
        <w:t xml:space="preserve"> </w:t>
      </w:r>
      <w:r>
        <w:rPr>
          <w:rFonts w:ascii="Arial" w:cs="Arial" w:eastAsia="Arial" w:hAnsi="Arial"/>
          <w:sz w:val="12"/>
          <w:szCs w:val="12"/>
          <w:color w:val="auto"/>
        </w:rPr>
        <w:t>to monitor liquidity. We expect to fund our ongoing capital expenditures with cash flow from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reconciles free cash flow:</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For the three months ended</w:t>
            </w: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00" w:type="dxa"/>
            <w:vAlign w:val="bottom"/>
          </w:tcPr>
          <w:p>
            <w:pPr>
              <w:spacing w:after="0"/>
              <w:rPr>
                <w:sz w:val="20"/>
                <w:szCs w:val="20"/>
                <w:color w:val="auto"/>
              </w:rPr>
            </w:pPr>
            <w:r>
              <w:rPr>
                <w:rFonts w:ascii="Arial" w:cs="Arial" w:eastAsia="Arial" w:hAnsi="Arial"/>
                <w:sz w:val="12"/>
                <w:szCs w:val="12"/>
                <w:i w:val="1"/>
                <w:iCs w:val="1"/>
                <w:color w:val="auto"/>
              </w:rPr>
              <w:t>(in millions)</w:t>
            </w:r>
          </w:p>
        </w:tc>
        <w:tc>
          <w:tcPr>
            <w:tcW w:w="14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rPr>
              <w:t>May 1, 2021</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color w:val="auto"/>
                <w:w w:val="93"/>
              </w:rPr>
              <w:t>May 2, 2020</w:t>
            </w:r>
          </w:p>
        </w:tc>
        <w:tc>
          <w:tcPr>
            <w:tcW w:w="3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May 4, 2019</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800" w:type="dxa"/>
            <w:vAlign w:val="bottom"/>
          </w:tcPr>
          <w:p>
            <w:pPr>
              <w:spacing w:after="0"/>
              <w:rPr>
                <w:sz w:val="20"/>
                <w:szCs w:val="20"/>
                <w:color w:val="auto"/>
              </w:rPr>
            </w:pPr>
            <w:r>
              <w:rPr>
                <w:rFonts w:ascii="Arial" w:cs="Arial" w:eastAsia="Arial" w:hAnsi="Arial"/>
                <w:sz w:val="12"/>
                <w:szCs w:val="12"/>
                <w:color w:val="auto"/>
              </w:rPr>
              <w:t>Cash flow from operating activities (GAAP basis)</w:t>
            </w:r>
          </w:p>
        </w:tc>
        <w:tc>
          <w:tcPr>
            <w:tcW w:w="1620" w:type="dxa"/>
            <w:vAlign w:val="bottom"/>
            <w:gridSpan w:val="2"/>
          </w:tcPr>
          <w:p>
            <w:pPr>
              <w:jc w:val="right"/>
              <w:ind w:right="110"/>
              <w:spacing w:after="0"/>
              <w:rPr>
                <w:sz w:val="20"/>
                <w:szCs w:val="20"/>
                <w:color w:val="auto"/>
              </w:rPr>
            </w:pPr>
            <w:r>
              <w:rPr>
                <w:rFonts w:ascii="Arial" w:cs="Arial" w:eastAsia="Arial" w:hAnsi="Arial"/>
                <w:sz w:val="12"/>
                <w:szCs w:val="12"/>
                <w:color w:val="auto"/>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7.8</w:t>
            </w:r>
          </w:p>
        </w:tc>
        <w:tc>
          <w:tcPr>
            <w:tcW w:w="300" w:type="dxa"/>
            <w:vAlign w:val="bottom"/>
          </w:tcPr>
          <w:p>
            <w:pPr>
              <w:spacing w:after="0"/>
              <w:rPr>
                <w:sz w:val="12"/>
                <w:szCs w:val="12"/>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860" w:type="dxa"/>
            <w:vAlign w:val="bottom"/>
            <w:gridSpan w:val="2"/>
          </w:tcPr>
          <w:p>
            <w:pPr>
              <w:jc w:val="right"/>
              <w:ind w:right="280"/>
              <w:spacing w:after="0"/>
              <w:rPr>
                <w:sz w:val="20"/>
                <w:szCs w:val="20"/>
                <w:color w:val="auto"/>
              </w:rPr>
            </w:pPr>
            <w:r>
              <w:rPr>
                <w:rFonts w:ascii="Arial" w:cs="Arial" w:eastAsia="Arial" w:hAnsi="Arial"/>
                <w:sz w:val="12"/>
                <w:szCs w:val="12"/>
                <w:color w:val="auto"/>
              </w:rPr>
              <w:t>(16.8)</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880" w:type="dxa"/>
            <w:vAlign w:val="bottom"/>
            <w:gridSpan w:val="2"/>
          </w:tcPr>
          <w:p>
            <w:pPr>
              <w:jc w:val="right"/>
              <w:ind w:right="440"/>
              <w:spacing w:after="0"/>
              <w:rPr>
                <w:sz w:val="20"/>
                <w:szCs w:val="20"/>
                <w:color w:val="auto"/>
              </w:rPr>
            </w:pPr>
            <w:r>
              <w:rPr>
                <w:rFonts w:ascii="Arial" w:cs="Arial" w:eastAsia="Arial" w:hAnsi="Arial"/>
                <w:sz w:val="12"/>
                <w:szCs w:val="12"/>
                <w:color w:val="auto"/>
              </w:rPr>
              <w:t>(16.5)</w:t>
            </w:r>
          </w:p>
        </w:tc>
        <w:tc>
          <w:tcPr>
            <w:tcW w:w="0" w:type="dxa"/>
            <w:vAlign w:val="bottom"/>
          </w:tcPr>
          <w:p>
            <w:pPr>
              <w:spacing w:after="0"/>
              <w:rPr>
                <w:sz w:val="1"/>
                <w:szCs w:val="1"/>
                <w:color w:val="auto"/>
              </w:rPr>
            </w:pPr>
          </w:p>
        </w:tc>
      </w:tr>
      <w:tr>
        <w:trPr>
          <w:trHeight w:val="154"/>
        </w:trPr>
        <w:tc>
          <w:tcPr>
            <w:tcW w:w="3800" w:type="dxa"/>
            <w:vAlign w:val="bottom"/>
            <w:shd w:val="clear" w:color="auto" w:fill="CFF0FC"/>
          </w:tcPr>
          <w:p>
            <w:pPr>
              <w:spacing w:after="0"/>
              <w:rPr>
                <w:sz w:val="20"/>
                <w:szCs w:val="20"/>
                <w:color w:val="auto"/>
              </w:rPr>
            </w:pPr>
            <w:r>
              <w:rPr>
                <w:rFonts w:ascii="Arial" w:cs="Arial" w:eastAsia="Arial" w:hAnsi="Arial"/>
                <w:sz w:val="12"/>
                <w:szCs w:val="12"/>
                <w:color w:val="auto"/>
              </w:rPr>
              <w:t>Capital expenditures</w:t>
            </w:r>
          </w:p>
        </w:tc>
        <w:tc>
          <w:tcPr>
            <w:tcW w:w="1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7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(0.8)</w:t>
            </w:r>
          </w:p>
        </w:tc>
        <w:tc>
          <w:tcPr>
            <w:tcW w:w="12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(1.6)</w:t>
            </w:r>
          </w:p>
        </w:tc>
        <w:tc>
          <w:tcPr>
            <w:tcW w:w="280" w:type="dxa"/>
            <w:vAlign w:val="bottom"/>
            <w:shd w:val="clear" w:color="auto" w:fill="CFF0FC"/>
          </w:tcPr>
          <w:p>
            <w:pPr>
              <w:spacing w:after="0"/>
              <w:rPr>
                <w:sz w:val="13"/>
                <w:szCs w:val="13"/>
                <w:color w:val="auto"/>
              </w:rPr>
            </w:pPr>
          </w:p>
        </w:tc>
        <w:tc>
          <w:tcPr>
            <w:tcW w:w="1880" w:type="dxa"/>
            <w:vAlign w:val="bottom"/>
            <w:gridSpan w:val="2"/>
            <w:shd w:val="clear" w:color="auto" w:fill="CFF0FC"/>
          </w:tcPr>
          <w:p>
            <w:pPr>
              <w:jc w:val="right"/>
              <w:ind w:right="440"/>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80"/>
              <w:spacing w:after="0"/>
              <w:rPr>
                <w:sz w:val="20"/>
                <w:szCs w:val="20"/>
                <w:color w:val="auto"/>
              </w:rPr>
            </w:pPr>
            <w:r>
              <w:rPr>
                <w:rFonts w:ascii="Arial" w:cs="Arial" w:eastAsia="Arial" w:hAnsi="Arial"/>
                <w:sz w:val="12"/>
                <w:szCs w:val="12"/>
                <w:color w:val="auto"/>
              </w:rPr>
              <w:t>Free Cash Flow (non-GAAP basis)</w:t>
            </w:r>
          </w:p>
        </w:tc>
        <w:tc>
          <w:tcPr>
            <w:tcW w:w="1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0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7.0</w:t>
            </w:r>
          </w:p>
        </w:tc>
        <w:tc>
          <w:tcPr>
            <w:tcW w:w="300" w:type="dxa"/>
            <w:vAlign w:val="bottom"/>
          </w:tcPr>
          <w:p>
            <w:pPr>
              <w:spacing w:after="0"/>
              <w:rPr>
                <w:sz w:val="13"/>
                <w:szCs w:val="13"/>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860" w:type="dxa"/>
            <w:vAlign w:val="bottom"/>
            <w:gridSpan w:val="2"/>
          </w:tcPr>
          <w:p>
            <w:pPr>
              <w:jc w:val="right"/>
              <w:ind w:right="280"/>
              <w:spacing w:after="0"/>
              <w:rPr>
                <w:sz w:val="20"/>
                <w:szCs w:val="20"/>
                <w:color w:val="auto"/>
              </w:rPr>
            </w:pPr>
            <w:r>
              <w:rPr>
                <w:rFonts w:ascii="Arial" w:cs="Arial" w:eastAsia="Arial" w:hAnsi="Arial"/>
                <w:sz w:val="12"/>
                <w:szCs w:val="12"/>
                <w:color w:val="auto"/>
              </w:rPr>
              <w:t>(18.4)</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880" w:type="dxa"/>
            <w:vAlign w:val="bottom"/>
            <w:gridSpan w:val="2"/>
          </w:tcPr>
          <w:p>
            <w:pPr>
              <w:jc w:val="right"/>
              <w:ind w:right="440"/>
              <w:spacing w:after="0"/>
              <w:rPr>
                <w:sz w:val="20"/>
                <w:szCs w:val="20"/>
                <w:color w:val="auto"/>
              </w:rPr>
            </w:pPr>
            <w:r>
              <w:rPr>
                <w:rFonts w:ascii="Arial" w:cs="Arial" w:eastAsia="Arial" w:hAnsi="Arial"/>
                <w:sz w:val="12"/>
                <w:szCs w:val="12"/>
                <w:color w:val="auto"/>
              </w:rPr>
              <w:t>(20.2)</w:t>
            </w:r>
          </w:p>
        </w:tc>
        <w:tc>
          <w:tcPr>
            <w:tcW w:w="0" w:type="dxa"/>
            <w:vAlign w:val="bottom"/>
          </w:tcPr>
          <w:p>
            <w:pPr>
              <w:spacing w:after="0"/>
              <w:rPr>
                <w:sz w:val="1"/>
                <w:szCs w:val="1"/>
                <w:color w:val="auto"/>
              </w:rPr>
            </w:pPr>
          </w:p>
        </w:tc>
      </w:tr>
      <w:tr>
        <w:trPr>
          <w:trHeight w:val="579"/>
        </w:trPr>
        <w:tc>
          <w:tcPr>
            <w:tcW w:w="3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jc w:val="right"/>
              <w:ind w:right="1100"/>
              <w:spacing w:after="0"/>
              <w:rPr>
                <w:sz w:val="20"/>
                <w:szCs w:val="20"/>
                <w:color w:val="auto"/>
              </w:rPr>
            </w:pPr>
            <w:r>
              <w:rPr>
                <w:rFonts w:ascii="Arial" w:cs="Arial" w:eastAsia="Arial" w:hAnsi="Arial"/>
                <w:sz w:val="12"/>
                <w:szCs w:val="12"/>
                <w:color w:val="auto"/>
              </w:rPr>
              <w:t>24</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380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-23495</wp:posOffset>
            </wp:positionV>
            <wp:extent cx="3111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61" w:right="299" w:bottom="1440" w:gutter="0" w:footer="0" w:header="0"/>
        </w:sectPr>
      </w:pPr>
    </w:p>
    <w:bookmarkStart w:id="24" w:name="page25"/>
    <w:bookmarkEnd w:id="24"/>
    <w:p>
      <w:pPr>
        <w:ind w:right="320"/>
        <w:spacing w:after="0" w:line="279" w:lineRule="auto"/>
        <w:rPr>
          <w:sz w:val="20"/>
          <w:szCs w:val="20"/>
          <w:color w:val="auto"/>
        </w:rPr>
      </w:pPr>
      <w:r>
        <w:rPr>
          <w:rFonts w:ascii="Arial" w:cs="Arial" w:eastAsia="Arial" w:hAnsi="Arial"/>
          <w:sz w:val="12"/>
          <w:szCs w:val="12"/>
          <w:i w:val="1"/>
          <w:iCs w:val="1"/>
          <w:u w:val="single" w:color="auto"/>
          <w:color w:val="auto"/>
        </w:rPr>
        <w:t>Adjusted EBITDA</w:t>
      </w:r>
      <w:r>
        <w:rPr>
          <w:rFonts w:ascii="Arial" w:cs="Arial" w:eastAsia="Arial" w:hAnsi="Arial"/>
          <w:sz w:val="12"/>
          <w:szCs w:val="12"/>
          <w:i w:val="1"/>
          <w:iCs w:val="1"/>
          <w:color w:val="auto"/>
        </w:rPr>
        <w:t xml:space="preserve">. </w:t>
      </w:r>
      <w:r>
        <w:rPr>
          <w:rFonts w:ascii="Arial" w:cs="Arial" w:eastAsia="Arial" w:hAnsi="Arial"/>
          <w:sz w:val="12"/>
          <w:szCs w:val="12"/>
          <w:color w:val="auto"/>
        </w:rPr>
        <w:t>Adjusted EBITDA is calculated as earnings before interest, taxes, depreciation and amortization and is before any impairment of assets and CEO transition costs. We believe that adjusted EBITDA is useful to</w:t>
      </w:r>
      <w:r>
        <w:rPr>
          <w:rFonts w:ascii="Arial" w:cs="Arial" w:eastAsia="Arial" w:hAnsi="Arial"/>
          <w:sz w:val="12"/>
          <w:szCs w:val="12"/>
          <w:i w:val="1"/>
          <w:iCs w:val="1"/>
          <w:color w:val="auto"/>
        </w:rPr>
        <w:t xml:space="preserve"> </w:t>
      </w:r>
      <w:r>
        <w:rPr>
          <w:rFonts w:ascii="Arial" w:cs="Arial" w:eastAsia="Arial" w:hAnsi="Arial"/>
          <w:sz w:val="12"/>
          <w:szCs w:val="12"/>
          <w:color w:val="auto"/>
        </w:rPr>
        <w:t>investors in evaluating our performance.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tcPr>
          <w:p>
            <w:pPr>
              <w:jc w:val="right"/>
              <w:ind w:right="52"/>
              <w:spacing w:after="0"/>
              <w:rPr>
                <w:sz w:val="20"/>
                <w:szCs w:val="20"/>
                <w:color w:val="auto"/>
              </w:rPr>
            </w:pPr>
            <w:r>
              <w:rPr>
                <w:rFonts w:ascii="Arial" w:cs="Arial" w:eastAsia="Arial" w:hAnsi="Arial"/>
                <w:sz w:val="10"/>
                <w:szCs w:val="10"/>
                <w:color w:val="auto"/>
              </w:rPr>
              <w:t>For the three months ended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6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260" w:type="dxa"/>
            <w:vAlign w:val="bottom"/>
            <w:tcBorders>
              <w:bottom w:val="single" w:sz="8" w:color="auto"/>
            </w:tcBorders>
          </w:tcPr>
          <w:p>
            <w:pPr>
              <w:jc w:val="right"/>
              <w:ind w:right="168"/>
              <w:spacing w:after="0" w:line="113" w:lineRule="exact"/>
              <w:rPr>
                <w:sz w:val="20"/>
                <w:szCs w:val="20"/>
                <w:color w:val="auto"/>
              </w:rPr>
            </w:pPr>
            <w:r>
              <w:rPr>
                <w:rFonts w:ascii="Arial" w:cs="Arial" w:eastAsia="Arial" w:hAnsi="Arial"/>
                <w:sz w:val="10"/>
                <w:szCs w:val="10"/>
                <w:color w:val="auto"/>
              </w:rPr>
              <w:t>May 1, 2021</w:t>
            </w: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Borders>
              <w:bottom w:val="single" w:sz="8" w:color="auto"/>
            </w:tcBorders>
          </w:tcPr>
          <w:p>
            <w:pPr>
              <w:jc w:val="right"/>
              <w:ind w:right="232"/>
              <w:spacing w:after="0" w:line="113" w:lineRule="exact"/>
              <w:rPr>
                <w:sz w:val="20"/>
                <w:szCs w:val="20"/>
                <w:color w:val="auto"/>
              </w:rPr>
            </w:pPr>
            <w:r>
              <w:rPr>
                <w:rFonts w:ascii="Arial" w:cs="Arial" w:eastAsia="Arial" w:hAnsi="Arial"/>
                <w:sz w:val="10"/>
                <w:szCs w:val="10"/>
                <w:color w:val="auto"/>
              </w:rPr>
              <w:t>May 2, 2020</w:t>
            </w: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jc w:val="right"/>
              <w:ind w:right="512"/>
              <w:spacing w:after="0" w:line="113" w:lineRule="exact"/>
              <w:rPr>
                <w:sz w:val="20"/>
                <w:szCs w:val="20"/>
                <w:color w:val="auto"/>
              </w:rPr>
            </w:pPr>
            <w:r>
              <w:rPr>
                <w:rFonts w:ascii="Arial" w:cs="Arial" w:eastAsia="Arial" w:hAnsi="Arial"/>
                <w:sz w:val="10"/>
                <w:szCs w:val="10"/>
                <w:color w:val="auto"/>
              </w:rPr>
              <w:t>May 4, 2019</w:t>
            </w: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5600" w:type="dxa"/>
            <w:vAlign w:val="bottom"/>
            <w:gridSpan w:val="2"/>
          </w:tcPr>
          <w:p>
            <w:pPr>
              <w:spacing w:after="0" w:line="98" w:lineRule="exact"/>
              <w:rPr>
                <w:sz w:val="20"/>
                <w:szCs w:val="20"/>
                <w:color w:val="auto"/>
              </w:rPr>
            </w:pPr>
            <w:r>
              <w:rPr>
                <w:rFonts w:ascii="Arial" w:cs="Arial" w:eastAsia="Arial" w:hAnsi="Arial"/>
                <w:sz w:val="10"/>
                <w:szCs w:val="10"/>
                <w:i w:val="1"/>
                <w:iCs w:val="1"/>
                <w:color w:val="auto"/>
              </w:rPr>
              <w:t>(in millions)</w:t>
            </w:r>
          </w:p>
        </w:tc>
        <w:tc>
          <w:tcPr>
            <w:tcW w:w="1260" w:type="dxa"/>
            <w:vAlign w:val="bottom"/>
            <w:vMerge w:val="restart"/>
          </w:tcPr>
          <w:p>
            <w:pPr>
              <w:jc w:val="right"/>
              <w:ind w:right="1188"/>
              <w:spacing w:after="0"/>
              <w:rPr>
                <w:sz w:val="20"/>
                <w:szCs w:val="20"/>
                <w:color w:val="auto"/>
              </w:rPr>
            </w:pPr>
            <w:r>
              <w:rPr>
                <w:rFonts w:ascii="Arial" w:cs="Arial" w:eastAsia="Arial" w:hAnsi="Arial"/>
                <w:sz w:val="5"/>
                <w:szCs w:val="5"/>
                <w:color w:val="auto"/>
                <w:w w:val="70"/>
              </w:rPr>
              <w:t>$</w:t>
            </w:r>
          </w:p>
        </w:tc>
        <w:tc>
          <w:tcPr>
            <w:tcW w:w="360" w:type="dxa"/>
            <w:vAlign w:val="bottom"/>
            <w:vMerge w:val="restart"/>
          </w:tcPr>
          <w:p>
            <w:pPr>
              <w:jc w:val="right"/>
              <w:spacing w:after="0"/>
              <w:rPr>
                <w:sz w:val="20"/>
                <w:szCs w:val="20"/>
                <w:color w:val="auto"/>
              </w:rPr>
            </w:pPr>
            <w:r>
              <w:rPr>
                <w:rFonts w:ascii="Arial" w:cs="Arial" w:eastAsia="Arial" w:hAnsi="Arial"/>
                <w:sz w:val="10"/>
                <w:szCs w:val="10"/>
                <w:color w:val="auto"/>
              </w:rPr>
              <w:t>8.7</w:t>
            </w:r>
          </w:p>
        </w:tc>
        <w:tc>
          <w:tcPr>
            <w:tcW w:w="320" w:type="dxa"/>
            <w:vAlign w:val="bottom"/>
          </w:tcPr>
          <w:p>
            <w:pPr>
              <w:spacing w:after="0"/>
              <w:rPr>
                <w:sz w:val="8"/>
                <w:szCs w:val="8"/>
                <w:color w:val="auto"/>
              </w:rPr>
            </w:pPr>
          </w:p>
        </w:tc>
        <w:tc>
          <w:tcPr>
            <w:tcW w:w="1380" w:type="dxa"/>
            <w:vAlign w:val="bottom"/>
            <w:vMerge w:val="restart"/>
          </w:tcPr>
          <w:p>
            <w:pPr>
              <w:jc w:val="right"/>
              <w:ind w:right="1272"/>
              <w:spacing w:after="0"/>
              <w:rPr>
                <w:sz w:val="20"/>
                <w:szCs w:val="20"/>
                <w:color w:val="auto"/>
              </w:rPr>
            </w:pPr>
            <w:r>
              <w:rPr>
                <w:rFonts w:ascii="Arial" w:cs="Arial" w:eastAsia="Arial" w:hAnsi="Arial"/>
                <w:sz w:val="10"/>
                <w:szCs w:val="10"/>
                <w:color w:val="auto"/>
                <w:w w:val="71"/>
              </w:rPr>
              <w:t>$</w:t>
            </w:r>
          </w:p>
        </w:tc>
        <w:tc>
          <w:tcPr>
            <w:tcW w:w="420" w:type="dxa"/>
            <w:vAlign w:val="bottom"/>
            <w:gridSpan w:val="2"/>
            <w:vMerge w:val="restart"/>
          </w:tcPr>
          <w:p>
            <w:pPr>
              <w:jc w:val="right"/>
              <w:ind w:right="60"/>
              <w:spacing w:after="0"/>
              <w:rPr>
                <w:sz w:val="20"/>
                <w:szCs w:val="20"/>
                <w:color w:val="auto"/>
              </w:rPr>
            </w:pPr>
            <w:r>
              <w:rPr>
                <w:rFonts w:ascii="Arial" w:cs="Arial" w:eastAsia="Arial" w:hAnsi="Arial"/>
                <w:sz w:val="10"/>
                <w:szCs w:val="10"/>
                <w:color w:val="auto"/>
              </w:rPr>
              <w:t>(41.7)</w:t>
            </w:r>
          </w:p>
        </w:tc>
        <w:tc>
          <w:tcPr>
            <w:tcW w:w="360" w:type="dxa"/>
            <w:vAlign w:val="bottom"/>
            <w:gridSpan w:val="2"/>
            <w:vMerge w:val="restart"/>
          </w:tcPr>
          <w:p>
            <w:pPr>
              <w:jc w:val="right"/>
              <w:ind w:right="216"/>
              <w:spacing w:after="0"/>
              <w:rPr>
                <w:sz w:val="20"/>
                <w:szCs w:val="20"/>
                <w:color w:val="auto"/>
              </w:rPr>
            </w:pPr>
            <w:r>
              <w:rPr>
                <w:rFonts w:ascii="Arial" w:cs="Arial" w:eastAsia="Arial" w:hAnsi="Arial"/>
                <w:sz w:val="10"/>
                <w:szCs w:val="10"/>
                <w:color w:val="auto"/>
              </w:rPr>
              <w:t>$</w:t>
            </w:r>
          </w:p>
        </w:tc>
        <w:tc>
          <w:tcPr>
            <w:tcW w:w="1600" w:type="dxa"/>
            <w:vAlign w:val="bottom"/>
            <w:gridSpan w:val="2"/>
            <w:vMerge w:val="restart"/>
          </w:tcPr>
          <w:p>
            <w:pPr>
              <w:jc w:val="right"/>
              <w:ind w:right="260"/>
              <w:spacing w:after="0"/>
              <w:rPr>
                <w:sz w:val="20"/>
                <w:szCs w:val="20"/>
                <w:color w:val="auto"/>
              </w:rPr>
            </w:pPr>
            <w:r>
              <w:rPr>
                <w:rFonts w:ascii="Arial" w:cs="Arial" w:eastAsia="Arial" w:hAnsi="Arial"/>
                <w:sz w:val="10"/>
                <w:szCs w:val="10"/>
                <w:color w:val="auto"/>
              </w:rPr>
              <w:t>(3.1)</w:t>
            </w:r>
          </w:p>
        </w:tc>
        <w:tc>
          <w:tcPr>
            <w:tcW w:w="0" w:type="dxa"/>
            <w:vAlign w:val="bottom"/>
          </w:tcPr>
          <w:p>
            <w:pPr>
              <w:spacing w:after="0"/>
              <w:rPr>
                <w:sz w:val="1"/>
                <w:szCs w:val="1"/>
                <w:color w:val="auto"/>
              </w:rPr>
            </w:pPr>
          </w:p>
        </w:tc>
      </w:tr>
      <w:tr>
        <w:trPr>
          <w:trHeight w:val="98"/>
        </w:trPr>
        <w:tc>
          <w:tcPr>
            <w:tcW w:w="460" w:type="dxa"/>
            <w:vAlign w:val="bottom"/>
            <w:tcBorders>
              <w:top w:val="single" w:sz="8" w:color="auto"/>
            </w:tcBorders>
          </w:tcPr>
          <w:p>
            <w:pPr>
              <w:spacing w:after="0" w:line="98" w:lineRule="exact"/>
              <w:rPr>
                <w:sz w:val="20"/>
                <w:szCs w:val="20"/>
                <w:color w:val="auto"/>
              </w:rPr>
            </w:pPr>
            <w:r>
              <w:rPr>
                <w:rFonts w:ascii="Arial" w:cs="Arial" w:eastAsia="Arial" w:hAnsi="Arial"/>
                <w:sz w:val="10"/>
                <w:szCs w:val="10"/>
                <w:color w:val="auto"/>
                <w:w w:val="86"/>
              </w:rPr>
              <w:t>Net income</w:t>
            </w:r>
          </w:p>
        </w:tc>
        <w:tc>
          <w:tcPr>
            <w:tcW w:w="5140" w:type="dxa"/>
            <w:vAlign w:val="bottom"/>
          </w:tcPr>
          <w:p>
            <w:pPr>
              <w:spacing w:after="0" w:line="98" w:lineRule="exact"/>
              <w:rPr>
                <w:sz w:val="20"/>
                <w:szCs w:val="20"/>
                <w:color w:val="auto"/>
              </w:rPr>
            </w:pPr>
            <w:r>
              <w:rPr>
                <w:rFonts w:ascii="Arial" w:cs="Arial" w:eastAsia="Arial" w:hAnsi="Arial"/>
                <w:sz w:val="10"/>
                <w:szCs w:val="10"/>
                <w:color w:val="auto"/>
              </w:rPr>
              <w:t>(loss) (GAAP basis)</w:t>
            </w:r>
          </w:p>
        </w:tc>
        <w:tc>
          <w:tcPr>
            <w:tcW w:w="12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5600" w:type="dxa"/>
            <w:vAlign w:val="bottom"/>
            <w:gridSpan w:val="2"/>
            <w:shd w:val="clear" w:color="auto" w:fill="CFF0FC"/>
          </w:tcPr>
          <w:p>
            <w:pPr>
              <w:spacing w:after="0" w:line="109" w:lineRule="exact"/>
              <w:rPr>
                <w:sz w:val="20"/>
                <w:szCs w:val="20"/>
                <w:color w:val="auto"/>
              </w:rPr>
            </w:pPr>
            <w:r>
              <w:rPr>
                <w:rFonts w:ascii="Arial" w:cs="Arial" w:eastAsia="Arial" w:hAnsi="Arial"/>
                <w:sz w:val="10"/>
                <w:szCs w:val="10"/>
                <w:color w:val="auto"/>
              </w:rPr>
              <w:t>Add back:</w:t>
            </w:r>
          </w:p>
        </w:tc>
        <w:tc>
          <w:tcPr>
            <w:tcW w:w="126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600" w:type="dxa"/>
            <w:vAlign w:val="bottom"/>
            <w:gridSpan w:val="2"/>
          </w:tcPr>
          <w:p>
            <w:pPr>
              <w:spacing w:after="0" w:line="109" w:lineRule="exact"/>
              <w:rPr>
                <w:sz w:val="20"/>
                <w:szCs w:val="20"/>
                <w:color w:val="auto"/>
              </w:rPr>
            </w:pPr>
            <w:r>
              <w:rPr>
                <w:rFonts w:ascii="Arial" w:cs="Arial" w:eastAsia="Arial" w:hAnsi="Arial"/>
                <w:sz w:val="10"/>
                <w:szCs w:val="10"/>
                <w:color w:val="auto"/>
              </w:rPr>
              <w:t>Impairment of assets</w:t>
            </w:r>
          </w:p>
        </w:tc>
        <w:tc>
          <w:tcPr>
            <w:tcW w:w="1260" w:type="dxa"/>
            <w:vAlign w:val="bottom"/>
          </w:tcPr>
          <w:p>
            <w:pPr>
              <w:spacing w:after="0"/>
              <w:rPr>
                <w:sz w:val="9"/>
                <w:szCs w:val="9"/>
                <w:color w:val="auto"/>
              </w:rPr>
            </w:pPr>
          </w:p>
        </w:tc>
        <w:tc>
          <w:tcPr>
            <w:tcW w:w="680" w:type="dxa"/>
            <w:vAlign w:val="bottom"/>
            <w:gridSpan w:val="2"/>
          </w:tcPr>
          <w:p>
            <w:pPr>
              <w:jc w:val="right"/>
              <w:ind w:right="280"/>
              <w:spacing w:after="0" w:line="109" w:lineRule="exact"/>
              <w:rPr>
                <w:sz w:val="20"/>
                <w:szCs w:val="20"/>
                <w:color w:val="auto"/>
              </w:rPr>
            </w:pPr>
            <w:r>
              <w:rPr>
                <w:rFonts w:ascii="Arial" w:cs="Arial" w:eastAsia="Arial" w:hAnsi="Arial"/>
                <w:sz w:val="10"/>
                <w:szCs w:val="10"/>
                <w:color w:val="auto"/>
              </w:rPr>
              <w:t>(0.7)</w:t>
            </w:r>
          </w:p>
        </w:tc>
        <w:tc>
          <w:tcPr>
            <w:tcW w:w="1380" w:type="dxa"/>
            <w:vAlign w:val="bottom"/>
          </w:tcPr>
          <w:p>
            <w:pPr>
              <w:spacing w:after="0"/>
              <w:rPr>
                <w:sz w:val="9"/>
                <w:szCs w:val="9"/>
                <w:color w:val="auto"/>
              </w:rPr>
            </w:pPr>
          </w:p>
        </w:tc>
        <w:tc>
          <w:tcPr>
            <w:tcW w:w="320" w:type="dxa"/>
            <w:vAlign w:val="bottom"/>
          </w:tcPr>
          <w:p>
            <w:pPr>
              <w:jc w:val="right"/>
              <w:spacing w:after="0" w:line="109" w:lineRule="exact"/>
              <w:rPr>
                <w:sz w:val="20"/>
                <w:szCs w:val="20"/>
                <w:color w:val="auto"/>
              </w:rPr>
            </w:pPr>
            <w:r>
              <w:rPr>
                <w:rFonts w:ascii="Arial" w:cs="Arial" w:eastAsia="Arial" w:hAnsi="Arial"/>
                <w:sz w:val="10"/>
                <w:szCs w:val="10"/>
                <w:color w:val="auto"/>
              </w:rPr>
              <w:t>16.3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600" w:type="dxa"/>
            <w:vAlign w:val="bottom"/>
            <w:gridSpan w:val="2"/>
            <w:shd w:val="clear" w:color="auto" w:fill="CFF0FC"/>
          </w:tcPr>
          <w:p>
            <w:pPr>
              <w:spacing w:after="0" w:line="109" w:lineRule="exact"/>
              <w:rPr>
                <w:sz w:val="20"/>
                <w:szCs w:val="20"/>
                <w:color w:val="auto"/>
              </w:rPr>
            </w:pPr>
            <w:r>
              <w:rPr>
                <w:rFonts w:ascii="Arial" w:cs="Arial" w:eastAsia="Arial" w:hAnsi="Arial"/>
                <w:sz w:val="10"/>
                <w:szCs w:val="10"/>
                <w:color w:val="auto"/>
              </w:rPr>
              <w:t>CEO transition costs</w:t>
            </w:r>
          </w:p>
        </w:tc>
        <w:tc>
          <w:tcPr>
            <w:tcW w:w="12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32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30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0.7</w:t>
            </w:r>
          </w:p>
        </w:tc>
        <w:tc>
          <w:tcPr>
            <w:tcW w:w="3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600" w:type="dxa"/>
            <w:vAlign w:val="bottom"/>
            <w:gridSpan w:val="2"/>
          </w:tcPr>
          <w:p>
            <w:pPr>
              <w:spacing w:after="0" w:line="109" w:lineRule="exact"/>
              <w:rPr>
                <w:sz w:val="20"/>
                <w:szCs w:val="20"/>
                <w:color w:val="auto"/>
              </w:rPr>
            </w:pPr>
            <w:r>
              <w:rPr>
                <w:rFonts w:ascii="Arial" w:cs="Arial" w:eastAsia="Arial" w:hAnsi="Arial"/>
                <w:sz w:val="10"/>
                <w:szCs w:val="10"/>
                <w:color w:val="auto"/>
              </w:rPr>
              <w:t>Provision (benefit) for income taxes</w:t>
            </w:r>
          </w:p>
        </w:tc>
        <w:tc>
          <w:tcPr>
            <w:tcW w:w="1260" w:type="dxa"/>
            <w:vAlign w:val="bottom"/>
          </w:tcPr>
          <w:p>
            <w:pPr>
              <w:spacing w:after="0"/>
              <w:rPr>
                <w:sz w:val="9"/>
                <w:szCs w:val="9"/>
                <w:color w:val="auto"/>
              </w:rPr>
            </w:pPr>
          </w:p>
        </w:tc>
        <w:tc>
          <w:tcPr>
            <w:tcW w:w="3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2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600" w:type="dxa"/>
            <w:vAlign w:val="bottom"/>
            <w:gridSpan w:val="2"/>
            <w:shd w:val="clear" w:color="auto" w:fill="CFF0FC"/>
          </w:tcPr>
          <w:p>
            <w:pPr>
              <w:spacing w:after="0" w:line="109" w:lineRule="exact"/>
              <w:rPr>
                <w:sz w:val="20"/>
                <w:szCs w:val="20"/>
                <w:color w:val="auto"/>
              </w:rPr>
            </w:pPr>
            <w:r>
              <w:rPr>
                <w:rFonts w:ascii="Arial" w:cs="Arial" w:eastAsia="Arial" w:hAnsi="Arial"/>
                <w:sz w:val="10"/>
                <w:szCs w:val="10"/>
                <w:color w:val="auto"/>
              </w:rPr>
              <w:t>Interest expense</w:t>
            </w:r>
          </w:p>
        </w:tc>
        <w:tc>
          <w:tcPr>
            <w:tcW w:w="12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1.1</w:t>
            </w:r>
          </w:p>
        </w:tc>
        <w:tc>
          <w:tcPr>
            <w:tcW w:w="32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32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0.7</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30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0.9</w:t>
            </w:r>
          </w:p>
        </w:tc>
        <w:tc>
          <w:tcPr>
            <w:tcW w:w="3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600" w:type="dxa"/>
            <w:vAlign w:val="bottom"/>
            <w:tcBorders>
              <w:bottom w:val="single" w:sz="8" w:color="CFF0FC"/>
            </w:tcBorders>
            <w:gridSpan w:val="2"/>
          </w:tcPr>
          <w:p>
            <w:pPr>
              <w:spacing w:after="0" w:line="109" w:lineRule="exact"/>
              <w:rPr>
                <w:sz w:val="20"/>
                <w:szCs w:val="20"/>
                <w:color w:val="auto"/>
              </w:rPr>
            </w:pPr>
            <w:r>
              <w:rPr>
                <w:rFonts w:ascii="Arial" w:cs="Arial" w:eastAsia="Arial" w:hAnsi="Arial"/>
                <w:sz w:val="10"/>
                <w:szCs w:val="10"/>
                <w:color w:val="auto"/>
              </w:rPr>
              <w:t>Depreciation and amortization</w:t>
            </w:r>
          </w:p>
        </w:tc>
        <w:tc>
          <w:tcPr>
            <w:tcW w:w="1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4.5</w:t>
            </w:r>
          </w:p>
        </w:tc>
        <w:tc>
          <w:tcPr>
            <w:tcW w:w="320" w:type="dxa"/>
            <w:vAlign w:val="bottom"/>
            <w:tcBorders>
              <w:bottom w:val="single" w:sz="8" w:color="CFF0FC"/>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5.7</w:t>
            </w:r>
          </w:p>
        </w:tc>
        <w:tc>
          <w:tcPr>
            <w:tcW w:w="10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6.3</w:t>
            </w:r>
          </w:p>
        </w:tc>
        <w:tc>
          <w:tcPr>
            <w:tcW w:w="30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5600" w:type="dxa"/>
            <w:vAlign w:val="bottom"/>
            <w:gridSpan w:val="2"/>
            <w:shd w:val="clear" w:color="auto" w:fill="CFF0FC"/>
          </w:tcPr>
          <w:p>
            <w:pPr>
              <w:spacing w:after="0" w:line="98" w:lineRule="exact"/>
              <w:rPr>
                <w:sz w:val="20"/>
                <w:szCs w:val="20"/>
                <w:color w:val="auto"/>
              </w:rPr>
            </w:pPr>
            <w:r>
              <w:rPr>
                <w:rFonts w:ascii="Arial" w:cs="Arial" w:eastAsia="Arial" w:hAnsi="Arial"/>
                <w:sz w:val="10"/>
                <w:szCs w:val="10"/>
                <w:color w:val="auto"/>
              </w:rPr>
              <w:t>Adjusted EBITDA (non-GAAP basis)</w:t>
            </w:r>
          </w:p>
        </w:tc>
        <w:tc>
          <w:tcPr>
            <w:tcW w:w="1260" w:type="dxa"/>
            <w:vAlign w:val="bottom"/>
            <w:shd w:val="clear" w:color="auto" w:fill="CFF0FC"/>
          </w:tcPr>
          <w:p>
            <w:pPr>
              <w:jc w:val="right"/>
              <w:ind w:right="1188"/>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FF0FC"/>
          </w:tcPr>
          <w:p>
            <w:pPr>
              <w:jc w:val="right"/>
              <w:spacing w:after="0" w:line="98" w:lineRule="exact"/>
              <w:rPr>
                <w:sz w:val="20"/>
                <w:szCs w:val="20"/>
                <w:color w:val="auto"/>
              </w:rPr>
            </w:pPr>
            <w:r>
              <w:rPr>
                <w:rFonts w:ascii="Arial" w:cs="Arial" w:eastAsia="Arial" w:hAnsi="Arial"/>
                <w:sz w:val="10"/>
                <w:szCs w:val="10"/>
                <w:color w:val="auto"/>
              </w:rPr>
              <w:t>13.7</w:t>
            </w:r>
          </w:p>
        </w:tc>
        <w:tc>
          <w:tcPr>
            <w:tcW w:w="320" w:type="dxa"/>
            <w:vAlign w:val="bottom"/>
            <w:shd w:val="clear" w:color="auto" w:fill="CFF0FC"/>
          </w:tcPr>
          <w:p>
            <w:pPr>
              <w:spacing w:after="0"/>
              <w:rPr>
                <w:sz w:val="8"/>
                <w:szCs w:val="8"/>
                <w:color w:val="auto"/>
              </w:rPr>
            </w:pPr>
          </w:p>
        </w:tc>
        <w:tc>
          <w:tcPr>
            <w:tcW w:w="1380" w:type="dxa"/>
            <w:vAlign w:val="bottom"/>
            <w:shd w:val="clear" w:color="auto" w:fill="CFF0FC"/>
          </w:tcPr>
          <w:p>
            <w:pPr>
              <w:jc w:val="right"/>
              <w:ind w:right="1272"/>
              <w:spacing w:after="0" w:line="98" w:lineRule="exact"/>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FF0FC"/>
          </w:tcPr>
          <w:p>
            <w:pPr>
              <w:jc w:val="right"/>
              <w:ind w:right="60"/>
              <w:spacing w:after="0" w:line="98" w:lineRule="exact"/>
              <w:rPr>
                <w:sz w:val="20"/>
                <w:szCs w:val="20"/>
                <w:color w:val="auto"/>
              </w:rPr>
            </w:pPr>
            <w:r>
              <w:rPr>
                <w:rFonts w:ascii="Arial" w:cs="Arial" w:eastAsia="Arial" w:hAnsi="Arial"/>
                <w:sz w:val="10"/>
                <w:szCs w:val="10"/>
                <w:color w:val="auto"/>
              </w:rPr>
              <w:t>(18.9)</w:t>
            </w:r>
          </w:p>
        </w:tc>
        <w:tc>
          <w:tcPr>
            <w:tcW w:w="80" w:type="dxa"/>
            <w:vAlign w:val="bottom"/>
            <w:shd w:val="clear" w:color="auto" w:fill="CFF0FC"/>
          </w:tcPr>
          <w:p>
            <w:pPr>
              <w:spacing w:after="0"/>
              <w:rPr>
                <w:sz w:val="8"/>
                <w:szCs w:val="8"/>
                <w:color w:val="auto"/>
              </w:rPr>
            </w:pPr>
          </w:p>
        </w:tc>
        <w:tc>
          <w:tcPr>
            <w:tcW w:w="280" w:type="dxa"/>
            <w:vAlign w:val="bottom"/>
            <w:shd w:val="clear" w:color="auto" w:fill="CFF0FC"/>
          </w:tcPr>
          <w:p>
            <w:pPr>
              <w:jc w:val="right"/>
              <w:ind w:right="216"/>
              <w:spacing w:after="0"/>
              <w:rPr>
                <w:sz w:val="20"/>
                <w:szCs w:val="20"/>
                <w:color w:val="auto"/>
              </w:rPr>
            </w:pPr>
            <w:r>
              <w:rPr>
                <w:rFonts w:ascii="Arial" w:cs="Arial" w:eastAsia="Arial" w:hAnsi="Arial"/>
                <w:sz w:val="5"/>
                <w:szCs w:val="5"/>
                <w:color w:val="auto"/>
                <w:w w:val="70"/>
              </w:rPr>
              <w:t>$</w:t>
            </w:r>
          </w:p>
        </w:tc>
        <w:tc>
          <w:tcPr>
            <w:tcW w:w="1300" w:type="dxa"/>
            <w:vAlign w:val="bottom"/>
            <w:shd w:val="clear" w:color="auto" w:fill="CFF0FC"/>
          </w:tcPr>
          <w:p>
            <w:pPr>
              <w:jc w:val="right"/>
              <w:spacing w:after="0" w:line="98" w:lineRule="exact"/>
              <w:rPr>
                <w:sz w:val="20"/>
                <w:szCs w:val="20"/>
                <w:color w:val="auto"/>
              </w:rPr>
            </w:pPr>
            <w:r>
              <w:rPr>
                <w:rFonts w:ascii="Arial" w:cs="Arial" w:eastAsia="Arial" w:hAnsi="Arial"/>
                <w:sz w:val="10"/>
                <w:szCs w:val="10"/>
                <w:color w:val="auto"/>
              </w:rPr>
              <w:t>4.8</w:t>
            </w:r>
          </w:p>
        </w:tc>
        <w:tc>
          <w:tcPr>
            <w:tcW w:w="3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60" w:type="dxa"/>
            <w:vAlign w:val="bottom"/>
            <w:shd w:val="clear" w:color="auto" w:fill="CFF0FC"/>
          </w:tcPr>
          <w:p>
            <w:pPr>
              <w:spacing w:after="0"/>
              <w:rPr>
                <w:sz w:val="2"/>
                <w:szCs w:val="2"/>
                <w:color w:val="auto"/>
              </w:rPr>
            </w:pPr>
          </w:p>
        </w:tc>
        <w:tc>
          <w:tcPr>
            <w:tcW w:w="5140" w:type="dxa"/>
            <w:vAlign w:val="bottom"/>
            <w:shd w:val="clear" w:color="auto" w:fill="CFF0F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In the normal course of business, our financial position and results of operations are routinely subject to a variety of risks, including market risk associated with interest rate movements on borrowings and foreign currency fluctuations.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We regularly assess these risks and have established policies and business practices to protect against the adverse effects of these and other potential exposures.</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Interest Rates</w:t>
      </w:r>
    </w:p>
    <w:p>
      <w:pPr>
        <w:spacing w:after="0" w:line="79" w:lineRule="exact"/>
        <w:rPr>
          <w:sz w:val="20"/>
          <w:szCs w:val="20"/>
          <w:color w:val="auto"/>
        </w:rPr>
      </w:pPr>
    </w:p>
    <w:p>
      <w:pPr>
        <w:jc w:val="both"/>
        <w:ind w:right="80"/>
        <w:spacing w:after="0" w:line="265" w:lineRule="auto"/>
        <w:rPr>
          <w:sz w:val="20"/>
          <w:szCs w:val="20"/>
          <w:color w:val="auto"/>
        </w:rPr>
      </w:pPr>
      <w:r>
        <w:rPr>
          <w:rFonts w:ascii="Arial" w:cs="Arial" w:eastAsia="Arial" w:hAnsi="Arial"/>
          <w:sz w:val="12"/>
          <w:szCs w:val="12"/>
          <w:color w:val="auto"/>
        </w:rPr>
        <w:t>We utilize cash from operations and from our Revolving Facility of our Credit Facility to fund our working capital needs. Our Credit Facility is not used for trading or speculative purposes. As part of our Credit Facility, we also have an outstanding $17.5 million FILO loan. In addition, we have available letters of credit as sources of financing for our working capital requirements. Borrowings under the Credit Facility, which expires May 24, 2023, bear interest at variable rates based on Bank of America’s prime rate or LIBOR.</w:t>
      </w:r>
    </w:p>
    <w:p>
      <w:pPr>
        <w:spacing w:after="0" w:line="50" w:lineRule="exact"/>
        <w:rPr>
          <w:sz w:val="20"/>
          <w:szCs w:val="20"/>
          <w:color w:val="auto"/>
        </w:rPr>
      </w:pPr>
    </w:p>
    <w:p>
      <w:pPr>
        <w:jc w:val="both"/>
        <w:ind w:right="80"/>
        <w:spacing w:after="0" w:line="279" w:lineRule="auto"/>
        <w:rPr>
          <w:sz w:val="20"/>
          <w:szCs w:val="20"/>
          <w:color w:val="auto"/>
        </w:rPr>
      </w:pPr>
      <w:r>
        <w:rPr>
          <w:rFonts w:ascii="Arial" w:cs="Arial" w:eastAsia="Arial" w:hAnsi="Arial"/>
          <w:sz w:val="12"/>
          <w:szCs w:val="12"/>
          <w:color w:val="auto"/>
        </w:rPr>
        <w:t>At May 1, 2021, we had outstanding borrowings under our Revolving Facility of $33.6 million, of which $28.0 million were in LIBOR-based contracts with an interest rate of 4.00%. The remainder was prime-based borrowings, with a rate of 5.25%. At May 1, 2021, the interest rate for the $17.5 million outstanding under the FILO loan was 8.50%.</w:t>
      </w:r>
    </w:p>
    <w:p>
      <w:pPr>
        <w:spacing w:after="0" w:line="41" w:lineRule="exact"/>
        <w:rPr>
          <w:sz w:val="20"/>
          <w:szCs w:val="20"/>
          <w:color w:val="auto"/>
        </w:rPr>
      </w:pPr>
    </w:p>
    <w:p>
      <w:pPr>
        <w:ind w:right="140"/>
        <w:spacing w:after="0" w:line="279" w:lineRule="auto"/>
        <w:rPr>
          <w:sz w:val="20"/>
          <w:szCs w:val="20"/>
          <w:color w:val="auto"/>
        </w:rPr>
      </w:pPr>
      <w:r>
        <w:rPr>
          <w:rFonts w:ascii="Arial" w:cs="Arial" w:eastAsia="Arial" w:hAnsi="Arial"/>
          <w:sz w:val="12"/>
          <w:szCs w:val="12"/>
          <w:color w:val="auto"/>
        </w:rPr>
        <w:t>Based upon a sensitivity analysis as of May 1, 2021, assuming average outstanding borrowing during the first three months of fiscal 2021 of $51.2 million under our Revolving Facility and $17.5 million outstanding under our FILO loan, a 50 basis point increase in interest rates would have resulted in a potential increase in interest expense of approximately $344,000 on an annualized basis.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Foreign Currency</w:t>
      </w:r>
    </w:p>
    <w:p>
      <w:pPr>
        <w:spacing w:after="0" w:line="79" w:lineRule="exact"/>
        <w:rPr>
          <w:sz w:val="20"/>
          <w:szCs w:val="20"/>
          <w:color w:val="auto"/>
        </w:rPr>
      </w:pPr>
    </w:p>
    <w:p>
      <w:pPr>
        <w:ind w:right="240"/>
        <w:spacing w:after="0" w:line="279" w:lineRule="auto"/>
        <w:rPr>
          <w:sz w:val="20"/>
          <w:szCs w:val="20"/>
          <w:color w:val="auto"/>
        </w:rPr>
      </w:pPr>
      <w:r>
        <w:rPr>
          <w:rFonts w:ascii="Arial" w:cs="Arial" w:eastAsia="Arial" w:hAnsi="Arial"/>
          <w:sz w:val="12"/>
          <w:szCs w:val="12"/>
          <w:color w:val="auto"/>
        </w:rPr>
        <w:t>Our two DXL stores located in Ontario, Canada conduct business in Canadian dollars. Sales from these stores were immaterial to consolidated sales. As such, we believe that movement in foreign currency exchange rates will not have a material adverse effect on our financial position or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Evaluation of Disclosure Controls and Procedures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May 1, 2021.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May 1, 2021, our disclosure controls and procedures were effective.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Changes in Internal Control over Financial Reporting</w:t>
      </w:r>
    </w:p>
    <w:p>
      <w:pPr>
        <w:spacing w:after="0" w:line="79" w:lineRule="exact"/>
        <w:rPr>
          <w:sz w:val="20"/>
          <w:szCs w:val="20"/>
          <w:color w:val="auto"/>
        </w:rPr>
      </w:pPr>
    </w:p>
    <w:p>
      <w:pPr>
        <w:ind w:right="60"/>
        <w:spacing w:after="0" w:line="279" w:lineRule="auto"/>
        <w:rPr>
          <w:sz w:val="20"/>
          <w:szCs w:val="20"/>
          <w:color w:val="auto"/>
        </w:rPr>
      </w:pPr>
      <w:r>
        <w:rPr>
          <w:rFonts w:ascii="Arial" w:cs="Arial" w:eastAsia="Arial" w:hAnsi="Arial"/>
          <w:sz w:val="12"/>
          <w:szCs w:val="12"/>
          <w:color w:val="auto"/>
        </w:rPr>
        <w:t>While the majority of our employees are working remotely during the COVID-19 pandemic, we have not experienced any changes in our internal control over financial reporting (as defined in Rules 13a-15(f) and 15d-15(f) under the Exchange Act) during the three months ended May 1, 2021 that has materially affected, or is reasonably likely to materially affect, our internal control over financial reporting.</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565" w:right="299"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color w:val="auto"/>
        </w:rPr>
        <w:t>PART II. OTHER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83"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There have been no material changes to the risk factors as previously disclosed in Part I, Item 1A of our Fiscal 2020 Annual Report.</w:t>
      </w:r>
    </w:p>
    <w:p>
      <w:pPr>
        <w:spacing w:after="0" w:line="2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8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Not applicable.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100"/>
          </w:cols>
          <w:pgMar w:left="300" w:top="127" w:right="4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58"/>
        </w:trPr>
        <w:tc>
          <w:tcPr>
            <w:tcW w:w="1100" w:type="dxa"/>
            <w:vAlign w:val="bottom"/>
          </w:tcPr>
          <w:p>
            <w:pPr>
              <w:spacing w:after="0"/>
              <w:rPr>
                <w:sz w:val="20"/>
                <w:szCs w:val="20"/>
                <w:color w:val="auto"/>
              </w:rPr>
            </w:pPr>
            <w:r>
              <w:rPr>
                <w:rFonts w:ascii="Arial" w:cs="Arial" w:eastAsia="Arial" w:hAnsi="Arial"/>
                <w:sz w:val="12"/>
                <w:szCs w:val="12"/>
                <w:b w:val="1"/>
                <w:bCs w:val="1"/>
                <w:color w:val="auto"/>
              </w:rPr>
              <w:t>Item 6. Exhibits.</w:t>
            </w:r>
          </w:p>
        </w:tc>
        <w:tc>
          <w:tcPr>
            <w:tcW w:w="7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81"/>
        </w:trPr>
        <w:tc>
          <w:tcPr>
            <w:tcW w:w="1100" w:type="dxa"/>
            <w:vAlign w:val="bottom"/>
          </w:tcPr>
          <w:p>
            <w:pPr>
              <w:ind w:left="60"/>
              <w:spacing w:after="0"/>
              <w:rPr>
                <w:sz w:val="20"/>
                <w:szCs w:val="20"/>
                <w:color w:val="auto"/>
              </w:rPr>
            </w:pPr>
            <w:r>
              <w:rPr>
                <w:rFonts w:ascii="Arial" w:cs="Arial" w:eastAsia="Arial" w:hAnsi="Arial"/>
                <w:sz w:val="12"/>
                <w:szCs w:val="12"/>
                <w:color w:val="auto"/>
              </w:rPr>
              <w:t>10.1</w:t>
            </w:r>
          </w:p>
        </w:tc>
        <w:tc>
          <w:tcPr>
            <w:tcW w:w="10120" w:type="dxa"/>
            <w:vAlign w:val="bottom"/>
            <w:gridSpan w:val="15"/>
          </w:tcPr>
          <w:p>
            <w:pPr>
              <w:spacing w:after="0"/>
              <w:rPr>
                <w:rFonts w:ascii="Arial" w:cs="Arial" w:eastAsia="Arial" w:hAnsi="Arial"/>
                <w:sz w:val="12"/>
                <w:szCs w:val="12"/>
                <w:color w:val="0000EE"/>
              </w:rPr>
            </w:pPr>
            <w:hyperlink w:anchor="page29">
              <w:r>
                <w:rPr>
                  <w:rFonts w:ascii="Arial" w:cs="Arial" w:eastAsia="Arial" w:hAnsi="Arial"/>
                  <w:sz w:val="12"/>
                  <w:szCs w:val="12"/>
                  <w:color w:val="0000EE"/>
                </w:rPr>
                <w:t>Employment Agreement between the Company and Stacey Jones effective as of February 21, 2021.</w:t>
              </w:r>
            </w:hyperlink>
          </w:p>
        </w:tc>
      </w:tr>
      <w:tr>
        <w:trPr>
          <w:trHeight w:val="20"/>
        </w:trPr>
        <w:tc>
          <w:tcPr>
            <w:tcW w:w="110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10.2</w:t>
            </w:r>
          </w:p>
        </w:tc>
        <w:tc>
          <w:tcPr>
            <w:tcW w:w="10120" w:type="dxa"/>
            <w:vAlign w:val="bottom"/>
            <w:tcBorders>
              <w:bottom w:val="single" w:sz="8" w:color="0000EE"/>
            </w:tcBorders>
            <w:gridSpan w:val="15"/>
          </w:tcPr>
          <w:p>
            <w:pPr>
              <w:spacing w:after="0"/>
              <w:rPr>
                <w:rFonts w:ascii="Arial" w:cs="Arial" w:eastAsia="Arial" w:hAnsi="Arial"/>
                <w:sz w:val="12"/>
                <w:szCs w:val="12"/>
                <w:color w:val="0000EE"/>
                <w:w w:val="91"/>
              </w:rPr>
            </w:pPr>
            <w:hyperlink r:id="rId43">
              <w:r>
                <w:rPr>
                  <w:rFonts w:ascii="Arial" w:cs="Arial" w:eastAsia="Arial" w:hAnsi="Arial"/>
                  <w:sz w:val="12"/>
                  <w:szCs w:val="12"/>
                  <w:color w:val="0000EE"/>
                  <w:w w:val="91"/>
                </w:rPr>
                <w:t>Fourth Amendment to the Seventh Amended and Restated Credit Agreement dated March 16, 2021, by and among Bank of America, N.A., as Administrative Agent and Collateral Agent, the Lenders identified</w:t>
              </w:r>
            </w:hyperlink>
          </w:p>
        </w:tc>
      </w:tr>
      <w:tr>
        <w:trPr>
          <w:trHeight w:val="125"/>
        </w:trPr>
        <w:tc>
          <w:tcPr>
            <w:tcW w:w="1100" w:type="dxa"/>
            <w:vAlign w:val="bottom"/>
          </w:tcPr>
          <w:p>
            <w:pPr>
              <w:spacing w:after="0"/>
              <w:rPr>
                <w:sz w:val="10"/>
                <w:szCs w:val="10"/>
                <w:color w:val="auto"/>
              </w:rPr>
            </w:pPr>
          </w:p>
        </w:tc>
        <w:tc>
          <w:tcPr>
            <w:tcW w:w="9700" w:type="dxa"/>
            <w:vAlign w:val="bottom"/>
            <w:tcBorders>
              <w:bottom w:val="single" w:sz="8" w:color="0000EE"/>
            </w:tcBorders>
            <w:gridSpan w:val="13"/>
          </w:tcPr>
          <w:p>
            <w:pPr>
              <w:spacing w:after="0" w:line="125" w:lineRule="exact"/>
              <w:rPr>
                <w:rFonts w:ascii="Arial" w:cs="Arial" w:eastAsia="Arial" w:hAnsi="Arial"/>
                <w:sz w:val="12"/>
                <w:szCs w:val="12"/>
                <w:color w:val="0000EE"/>
                <w:w w:val="92"/>
              </w:rPr>
            </w:pPr>
            <w:hyperlink r:id="rId43">
              <w:r>
                <w:rPr>
                  <w:rFonts w:ascii="Arial" w:cs="Arial" w:eastAsia="Arial" w:hAnsi="Arial"/>
                  <w:sz w:val="12"/>
                  <w:szCs w:val="12"/>
                  <w:color w:val="0000EE"/>
                  <w:w w:val="92"/>
                </w:rPr>
                <w:t>therein, PLC Agent LLC, as FILO Agent, the Company, as Lead Borrower, the Company and CMRG Apparel, LLC, as Borrowers, and the Guarantors identified therein (included as Exhibit 10.1 to the</w:t>
              </w:r>
            </w:hyperlink>
          </w:p>
        </w:tc>
        <w:tc>
          <w:tcPr>
            <w:tcW w:w="420" w:type="dxa"/>
            <w:vAlign w:val="bottom"/>
            <w:gridSpan w:val="2"/>
          </w:tcPr>
          <w:p>
            <w:pPr>
              <w:spacing w:after="0"/>
              <w:rPr>
                <w:sz w:val="10"/>
                <w:szCs w:val="10"/>
                <w:color w:val="auto"/>
              </w:rPr>
            </w:pPr>
          </w:p>
        </w:tc>
      </w:tr>
      <w:tr>
        <w:trPr>
          <w:trHeight w:val="125"/>
        </w:trPr>
        <w:tc>
          <w:tcPr>
            <w:tcW w:w="1100" w:type="dxa"/>
            <w:vAlign w:val="bottom"/>
          </w:tcPr>
          <w:p>
            <w:pPr>
              <w:spacing w:after="0"/>
              <w:rPr>
                <w:sz w:val="10"/>
                <w:szCs w:val="10"/>
                <w:color w:val="auto"/>
              </w:rPr>
            </w:pPr>
          </w:p>
        </w:tc>
        <w:tc>
          <w:tcPr>
            <w:tcW w:w="10120" w:type="dxa"/>
            <w:vAlign w:val="bottom"/>
            <w:gridSpan w:val="15"/>
          </w:tcPr>
          <w:p>
            <w:pPr>
              <w:spacing w:after="0" w:line="125" w:lineRule="exact"/>
              <w:rPr>
                <w:rFonts w:ascii="Arial" w:cs="Arial" w:eastAsia="Arial" w:hAnsi="Arial"/>
                <w:sz w:val="12"/>
                <w:szCs w:val="12"/>
                <w:color w:val="0000EE"/>
              </w:rPr>
            </w:pPr>
            <w:hyperlink r:id="rId43">
              <w:r>
                <w:rPr>
                  <w:rFonts w:ascii="Arial" w:cs="Arial" w:eastAsia="Arial" w:hAnsi="Arial"/>
                  <w:sz w:val="12"/>
                  <w:szCs w:val="12"/>
                  <w:color w:val="0000EE"/>
                </w:rPr>
                <w:t>Company’s Current Report on Form 8-K filed on March 18, 2021, and incorporated herein by reference).</w:t>
              </w:r>
              <w:r>
                <w:rPr>
                  <w:rFonts w:ascii="Arial" w:cs="Arial" w:eastAsia="Arial" w:hAnsi="Arial"/>
                  <w:sz w:val="12"/>
                  <w:szCs w:val="12"/>
                  <w:color w:val="000000"/>
                </w:rPr>
                <w:t>*</w:t>
              </w:r>
            </w:hyperlink>
          </w:p>
        </w:tc>
      </w:tr>
      <w:tr>
        <w:trPr>
          <w:trHeight w:val="20"/>
        </w:trPr>
        <w:tc>
          <w:tcPr>
            <w:tcW w:w="110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20" w:type="dxa"/>
            <w:vAlign w:val="bottom"/>
            <w:tcBorders>
              <w:right w:val="single" w:sz="8" w:color="auto"/>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10.3</w:t>
            </w:r>
          </w:p>
        </w:tc>
        <w:tc>
          <w:tcPr>
            <w:tcW w:w="10120" w:type="dxa"/>
            <w:vAlign w:val="bottom"/>
            <w:gridSpan w:val="15"/>
          </w:tcPr>
          <w:p>
            <w:pPr>
              <w:spacing w:after="0"/>
              <w:rPr>
                <w:rFonts w:ascii="Arial" w:cs="Arial" w:eastAsia="Arial" w:hAnsi="Arial"/>
                <w:sz w:val="12"/>
                <w:szCs w:val="12"/>
                <w:color w:val="0000EE"/>
              </w:rPr>
            </w:pPr>
            <w:hyperlink r:id="rId44">
              <w:r>
                <w:rPr>
                  <w:rFonts w:ascii="Arial" w:cs="Arial" w:eastAsia="Arial" w:hAnsi="Arial"/>
                  <w:sz w:val="12"/>
                  <w:szCs w:val="12"/>
                  <w:color w:val="0000EE"/>
                </w:rPr>
                <w:t>Form of Stock Purchase Agreement (included as Exhibit 10.1 to the Company’s Current Report on Form 8-K/A, filed on February 5, 2021, and incorporated herein by reference).</w:t>
              </w:r>
            </w:hyperlink>
            <w:r>
              <w:rPr>
                <w:rFonts w:ascii="Arial" w:cs="Arial" w:eastAsia="Arial" w:hAnsi="Arial"/>
                <w:sz w:val="12"/>
                <w:szCs w:val="12"/>
                <w:color w:val="000000"/>
              </w:rPr>
              <w:t>*</w:t>
            </w:r>
          </w:p>
        </w:tc>
      </w:tr>
      <w:tr>
        <w:trPr>
          <w:trHeight w:val="20"/>
        </w:trPr>
        <w:tc>
          <w:tcPr>
            <w:tcW w:w="110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0" w:type="dxa"/>
            <w:vAlign w:val="bottom"/>
            <w:tcBorders>
              <w:right w:val="single" w:sz="8" w:color="auto"/>
            </w:tcBorders>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10.4</w:t>
            </w:r>
          </w:p>
        </w:tc>
        <w:tc>
          <w:tcPr>
            <w:tcW w:w="10120" w:type="dxa"/>
            <w:vAlign w:val="bottom"/>
            <w:gridSpan w:val="15"/>
          </w:tcPr>
          <w:p>
            <w:pPr>
              <w:spacing w:after="0"/>
              <w:rPr>
                <w:rFonts w:ascii="Arial" w:cs="Arial" w:eastAsia="Arial" w:hAnsi="Arial"/>
                <w:sz w:val="12"/>
                <w:szCs w:val="12"/>
                <w:color w:val="0000EE"/>
                <w:w w:val="92"/>
              </w:rPr>
            </w:pPr>
            <w:hyperlink r:id="rId45">
              <w:r>
                <w:rPr>
                  <w:rFonts w:ascii="Arial" w:cs="Arial" w:eastAsia="Arial" w:hAnsi="Arial"/>
                  <w:sz w:val="12"/>
                  <w:szCs w:val="12"/>
                  <w:color w:val="0000EE"/>
                  <w:w w:val="92"/>
                </w:rPr>
                <w:t>Placement Agency Agreement between the Company and D.A. Davidson &amp; Co. (included as Exhibit 10.2 to the Company’s Current Report on Form 8-K/A, filed on February 5, 2021, and incorporated herein</w:t>
              </w:r>
            </w:hyperlink>
          </w:p>
        </w:tc>
      </w:tr>
      <w:tr>
        <w:trPr>
          <w:trHeight w:val="125"/>
        </w:trPr>
        <w:tc>
          <w:tcPr>
            <w:tcW w:w="1100" w:type="dxa"/>
            <w:vAlign w:val="bottom"/>
          </w:tcPr>
          <w:p>
            <w:pPr>
              <w:spacing w:after="0"/>
              <w:rPr>
                <w:sz w:val="10"/>
                <w:szCs w:val="10"/>
                <w:color w:val="auto"/>
              </w:rPr>
            </w:pPr>
          </w:p>
        </w:tc>
        <w:tc>
          <w:tcPr>
            <w:tcW w:w="10040" w:type="dxa"/>
            <w:vAlign w:val="bottom"/>
            <w:tcBorders>
              <w:top w:val="single" w:sz="8" w:color="0000EE"/>
            </w:tcBorders>
            <w:gridSpan w:val="14"/>
          </w:tcPr>
          <w:p>
            <w:pPr>
              <w:spacing w:after="0" w:line="125" w:lineRule="exact"/>
              <w:rPr>
                <w:rFonts w:ascii="Arial" w:cs="Arial" w:eastAsia="Arial" w:hAnsi="Arial"/>
                <w:sz w:val="12"/>
                <w:szCs w:val="12"/>
                <w:color w:val="0000EE"/>
              </w:rPr>
            </w:pPr>
            <w:hyperlink r:id="rId45">
              <w:r>
                <w:rPr>
                  <w:rFonts w:ascii="Arial" w:cs="Arial" w:eastAsia="Arial" w:hAnsi="Arial"/>
                  <w:sz w:val="12"/>
                  <w:szCs w:val="12"/>
                  <w:color w:val="0000EE"/>
                </w:rPr>
                <w:t>by reference).</w:t>
              </w:r>
              <w:r>
                <w:rPr>
                  <w:rFonts w:ascii="Arial" w:cs="Arial" w:eastAsia="Arial" w:hAnsi="Arial"/>
                  <w:sz w:val="12"/>
                  <w:szCs w:val="12"/>
                  <w:color w:val="000000"/>
                </w:rPr>
                <w:t>*</w:t>
              </w:r>
            </w:hyperlink>
          </w:p>
        </w:tc>
        <w:tc>
          <w:tcPr>
            <w:tcW w:w="8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31.1</w:t>
            </w:r>
          </w:p>
        </w:tc>
        <w:tc>
          <w:tcPr>
            <w:tcW w:w="10120" w:type="dxa"/>
            <w:vAlign w:val="bottom"/>
            <w:gridSpan w:val="15"/>
          </w:tcPr>
          <w:p>
            <w:pPr>
              <w:spacing w:after="0"/>
              <w:rPr>
                <w:rFonts w:ascii="Arial" w:cs="Arial" w:eastAsia="Arial" w:hAnsi="Arial"/>
                <w:sz w:val="12"/>
                <w:szCs w:val="12"/>
                <w:color w:val="0000EE"/>
              </w:rPr>
            </w:pPr>
            <w:hyperlink w:anchor="page49">
              <w:r>
                <w:rPr>
                  <w:rFonts w:ascii="Arial" w:cs="Arial" w:eastAsia="Arial" w:hAnsi="Arial"/>
                  <w:sz w:val="12"/>
                  <w:szCs w:val="12"/>
                  <w:color w:val="0000EE"/>
                </w:rPr>
                <w:t>Certification of the Chief Executive Officer of the Company pursuant to Rule 13a-14(a) under the Securities Exchange Act of 1934</w:t>
              </w:r>
            </w:hyperlink>
            <w:r>
              <w:rPr>
                <w:rFonts w:ascii="Arial" w:cs="Arial" w:eastAsia="Arial" w:hAnsi="Arial"/>
                <w:sz w:val="12"/>
                <w:szCs w:val="12"/>
                <w:u w:val="single" w:color="auto"/>
                <w:color w:val="000000"/>
              </w:rPr>
              <w:t>.</w:t>
            </w:r>
          </w:p>
        </w:tc>
      </w:tr>
      <w:tr>
        <w:trPr>
          <w:trHeight w:val="20"/>
        </w:trPr>
        <w:tc>
          <w:tcPr>
            <w:tcW w:w="1100" w:type="dxa"/>
            <w:vAlign w:val="bottom"/>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31.2</w:t>
            </w:r>
          </w:p>
        </w:tc>
        <w:tc>
          <w:tcPr>
            <w:tcW w:w="10120" w:type="dxa"/>
            <w:vAlign w:val="bottom"/>
            <w:gridSpan w:val="15"/>
          </w:tcPr>
          <w:p>
            <w:pPr>
              <w:spacing w:after="0"/>
              <w:rPr>
                <w:rFonts w:ascii="Arial" w:cs="Arial" w:eastAsia="Arial" w:hAnsi="Arial"/>
                <w:sz w:val="12"/>
                <w:szCs w:val="12"/>
                <w:color w:val="0000EE"/>
              </w:rPr>
            </w:pPr>
            <w:hyperlink w:anchor="page50">
              <w:r>
                <w:rPr>
                  <w:rFonts w:ascii="Arial" w:cs="Arial" w:eastAsia="Arial" w:hAnsi="Arial"/>
                  <w:sz w:val="12"/>
                  <w:szCs w:val="12"/>
                  <w:color w:val="0000EE"/>
                </w:rPr>
                <w:t>Certification of the Chief Financial Officer of the Company pursuant to Rule 13a-14(a) under the Securities Exchange Act of 1934</w:t>
              </w:r>
            </w:hyperlink>
            <w:r>
              <w:rPr>
                <w:rFonts w:ascii="Arial" w:cs="Arial" w:eastAsia="Arial" w:hAnsi="Arial"/>
                <w:sz w:val="12"/>
                <w:szCs w:val="12"/>
                <w:u w:val="single" w:color="auto"/>
                <w:color w:val="000000"/>
              </w:rPr>
              <w:t>.</w:t>
            </w:r>
          </w:p>
        </w:tc>
      </w:tr>
      <w:tr>
        <w:trPr>
          <w:trHeight w:val="20"/>
        </w:trPr>
        <w:tc>
          <w:tcPr>
            <w:tcW w:w="1100" w:type="dxa"/>
            <w:vAlign w:val="bottom"/>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32.1</w:t>
            </w:r>
          </w:p>
        </w:tc>
        <w:tc>
          <w:tcPr>
            <w:tcW w:w="10120" w:type="dxa"/>
            <w:vAlign w:val="bottom"/>
            <w:gridSpan w:val="15"/>
          </w:tcPr>
          <w:p>
            <w:pPr>
              <w:spacing w:after="0"/>
              <w:rPr>
                <w:rFonts w:ascii="Arial" w:cs="Arial" w:eastAsia="Arial" w:hAnsi="Arial"/>
                <w:sz w:val="12"/>
                <w:szCs w:val="12"/>
                <w:color w:val="0000EE"/>
              </w:rPr>
            </w:pPr>
            <w:hyperlink w:anchor="page51">
              <w:r>
                <w:rPr>
                  <w:rFonts w:ascii="Arial" w:cs="Arial" w:eastAsia="Arial" w:hAnsi="Arial"/>
                  <w:sz w:val="12"/>
                  <w:szCs w:val="12"/>
                  <w:color w:val="0000EE"/>
                </w:rPr>
                <w:t>Certification of Chief Executive Officer pursuant to 18 U.S.C. Section 1350, as adopted pursuant to Section 906 of the Sarbanes-Oxley Act of 2002.</w:t>
              </w:r>
            </w:hyperlink>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32.2</w:t>
            </w:r>
          </w:p>
        </w:tc>
        <w:tc>
          <w:tcPr>
            <w:tcW w:w="7140" w:type="dxa"/>
            <w:vAlign w:val="bottom"/>
            <w:tcBorders>
              <w:top w:val="single" w:sz="8" w:color="0000EE"/>
              <w:bottom w:val="single" w:sz="8" w:color="0000EE"/>
            </w:tcBorders>
            <w:gridSpan w:val="9"/>
          </w:tcPr>
          <w:p>
            <w:pPr>
              <w:spacing w:after="0"/>
              <w:rPr>
                <w:rFonts w:ascii="Arial" w:cs="Arial" w:eastAsia="Arial" w:hAnsi="Arial"/>
                <w:sz w:val="12"/>
                <w:szCs w:val="12"/>
                <w:color w:val="0000EE"/>
                <w:w w:val="91"/>
              </w:rPr>
            </w:pPr>
            <w:hyperlink w:anchor="page52">
              <w:r>
                <w:rPr>
                  <w:rFonts w:ascii="Arial" w:cs="Arial" w:eastAsia="Arial" w:hAnsi="Arial"/>
                  <w:sz w:val="12"/>
                  <w:szCs w:val="12"/>
                  <w:color w:val="0000EE"/>
                  <w:w w:val="91"/>
                </w:rPr>
                <w:t>Certification of Chief Financial Officer pursuant to 18 U.S.C. Section 1350, as adopted pursuant to Section 906 of the Sarbanes-Oxley Act of 2002.</w:t>
              </w:r>
            </w:hyperlink>
          </w:p>
        </w:tc>
        <w:tc>
          <w:tcPr>
            <w:tcW w:w="20" w:type="dxa"/>
            <w:vAlign w:val="bottom"/>
            <w:tcBorders>
              <w:top w:val="single" w:sz="8" w:color="0000EE"/>
            </w:tcBorders>
          </w:tcPr>
          <w:p>
            <w:pPr>
              <w:spacing w:after="0"/>
              <w:rPr>
                <w:sz w:val="23"/>
                <w:szCs w:val="23"/>
                <w:color w:val="auto"/>
              </w:rPr>
            </w:pPr>
          </w:p>
        </w:tc>
        <w:tc>
          <w:tcPr>
            <w:tcW w:w="2960" w:type="dxa"/>
            <w:vAlign w:val="bottom"/>
            <w:gridSpan w:val="5"/>
          </w:tcPr>
          <w:p>
            <w:pPr>
              <w:spacing w:after="0"/>
              <w:rPr>
                <w:sz w:val="23"/>
                <w:szCs w:val="23"/>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101.INS</w:t>
            </w:r>
          </w:p>
        </w:tc>
        <w:tc>
          <w:tcPr>
            <w:tcW w:w="8460" w:type="dxa"/>
            <w:vAlign w:val="bottom"/>
            <w:tcBorders>
              <w:bottom w:val="single" w:sz="8" w:color="auto"/>
            </w:tcBorders>
            <w:gridSpan w:val="11"/>
          </w:tcPr>
          <w:p>
            <w:pPr>
              <w:spacing w:after="0"/>
              <w:rPr>
                <w:sz w:val="20"/>
                <w:szCs w:val="20"/>
                <w:color w:val="auto"/>
              </w:rPr>
            </w:pPr>
            <w:r>
              <w:rPr>
                <w:rFonts w:ascii="Arial" w:cs="Arial" w:eastAsia="Arial" w:hAnsi="Arial"/>
                <w:sz w:val="12"/>
                <w:szCs w:val="12"/>
                <w:color w:val="auto"/>
                <w:w w:val="91"/>
              </w:rPr>
              <w:t>Inline XBRL Instance Document. The instance document does not appear in the Interactive Data File because its XBRL tags are embedded within the Inline XBRL document.</w:t>
            </w:r>
          </w:p>
        </w:tc>
        <w:tc>
          <w:tcPr>
            <w:tcW w:w="1660" w:type="dxa"/>
            <w:vAlign w:val="bottom"/>
            <w:gridSpan w:val="4"/>
          </w:tcPr>
          <w:p>
            <w:pPr>
              <w:spacing w:after="0"/>
              <w:rPr>
                <w:sz w:val="23"/>
                <w:szCs w:val="23"/>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101.SCH</w:t>
            </w:r>
          </w:p>
        </w:tc>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92"/>
              </w:rPr>
              <w:t>Inline XBRL Taxonomy Extension Schema Document.</w:t>
            </w:r>
          </w:p>
        </w:tc>
        <w:tc>
          <w:tcPr>
            <w:tcW w:w="7440" w:type="dxa"/>
            <w:vAlign w:val="bottom"/>
            <w:gridSpan w:val="13"/>
          </w:tcPr>
          <w:p>
            <w:pPr>
              <w:spacing w:after="0"/>
              <w:rPr>
                <w:sz w:val="23"/>
                <w:szCs w:val="23"/>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101.CAL</w:t>
            </w:r>
          </w:p>
        </w:tc>
        <w:tc>
          <w:tcPr>
            <w:tcW w:w="10120" w:type="dxa"/>
            <w:vAlign w:val="bottom"/>
            <w:gridSpan w:val="15"/>
          </w:tcPr>
          <w:p>
            <w:pPr>
              <w:spacing w:after="0"/>
              <w:rPr>
                <w:sz w:val="20"/>
                <w:szCs w:val="20"/>
                <w:color w:val="auto"/>
              </w:rPr>
            </w:pPr>
            <w:r>
              <w:rPr>
                <w:rFonts w:ascii="Arial" w:cs="Arial" w:eastAsia="Arial" w:hAnsi="Arial"/>
                <w:sz w:val="12"/>
                <w:szCs w:val="12"/>
                <w:color w:val="auto"/>
              </w:rPr>
              <w:t>Inline XBRL Taxonomy Extension Calculation Linkbase Document.</w:t>
            </w: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101.DEF</w:t>
            </w:r>
          </w:p>
        </w:tc>
        <w:tc>
          <w:tcPr>
            <w:tcW w:w="326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2"/>
                <w:szCs w:val="12"/>
                <w:color w:val="auto"/>
                <w:w w:val="93"/>
              </w:rPr>
              <w:t>Inline XBRL Taxonomy Extension Definition Linkbase Document.</w:t>
            </w:r>
          </w:p>
        </w:tc>
        <w:tc>
          <w:tcPr>
            <w:tcW w:w="100" w:type="dxa"/>
            <w:vAlign w:val="bottom"/>
            <w:tcBorders>
              <w:top w:val="single" w:sz="8" w:color="auto"/>
            </w:tcBorders>
          </w:tcPr>
          <w:p>
            <w:pPr>
              <w:spacing w:after="0"/>
              <w:rPr>
                <w:sz w:val="23"/>
                <w:szCs w:val="23"/>
                <w:color w:val="auto"/>
              </w:rPr>
            </w:pPr>
          </w:p>
        </w:tc>
        <w:tc>
          <w:tcPr>
            <w:tcW w:w="6760" w:type="dxa"/>
            <w:vAlign w:val="bottom"/>
            <w:gridSpan w:val="10"/>
          </w:tcPr>
          <w:p>
            <w:pPr>
              <w:spacing w:after="0"/>
              <w:rPr>
                <w:sz w:val="23"/>
                <w:szCs w:val="23"/>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101.LAB</w:t>
            </w:r>
          </w:p>
        </w:tc>
        <w:tc>
          <w:tcPr>
            <w:tcW w:w="304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w w:val="93"/>
              </w:rPr>
              <w:t>Inline XBRL Taxonomy Extension Label Linkbase Document.</w:t>
            </w:r>
          </w:p>
        </w:tc>
        <w:tc>
          <w:tcPr>
            <w:tcW w:w="7080" w:type="dxa"/>
            <w:vAlign w:val="bottom"/>
            <w:gridSpan w:val="12"/>
          </w:tcPr>
          <w:p>
            <w:pPr>
              <w:spacing w:after="0"/>
              <w:rPr>
                <w:sz w:val="23"/>
                <w:szCs w:val="23"/>
                <w:color w:val="auto"/>
              </w:rPr>
            </w:pPr>
          </w:p>
        </w:tc>
      </w:tr>
      <w:tr>
        <w:trPr>
          <w:trHeight w:val="270"/>
        </w:trPr>
        <w:tc>
          <w:tcPr>
            <w:tcW w:w="1100" w:type="dxa"/>
            <w:vAlign w:val="bottom"/>
          </w:tcPr>
          <w:p>
            <w:pPr>
              <w:ind w:left="60"/>
              <w:spacing w:after="0"/>
              <w:rPr>
                <w:sz w:val="20"/>
                <w:szCs w:val="20"/>
                <w:color w:val="auto"/>
              </w:rPr>
            </w:pPr>
            <w:r>
              <w:rPr>
                <w:rFonts w:ascii="Arial" w:cs="Arial" w:eastAsia="Arial" w:hAnsi="Arial"/>
                <w:sz w:val="12"/>
                <w:szCs w:val="12"/>
                <w:color w:val="auto"/>
              </w:rPr>
              <w:t>101.PRE</w:t>
            </w:r>
          </w:p>
        </w:tc>
        <w:tc>
          <w:tcPr>
            <w:tcW w:w="10120" w:type="dxa"/>
            <w:vAlign w:val="bottom"/>
            <w:gridSpan w:val="15"/>
          </w:tcPr>
          <w:p>
            <w:pPr>
              <w:spacing w:after="0"/>
              <w:rPr>
                <w:sz w:val="20"/>
                <w:szCs w:val="20"/>
                <w:color w:val="auto"/>
              </w:rPr>
            </w:pPr>
            <w:r>
              <w:rPr>
                <w:rFonts w:ascii="Arial" w:cs="Arial" w:eastAsia="Arial" w:hAnsi="Arial"/>
                <w:sz w:val="12"/>
                <w:szCs w:val="12"/>
                <w:color w:val="auto"/>
              </w:rPr>
              <w:t>Inline XBRL Taxonomy Extension Presentation Linkbase Document.</w:t>
            </w:r>
          </w:p>
        </w:tc>
      </w:tr>
      <w:tr>
        <w:trPr>
          <w:trHeight w:val="20"/>
        </w:trPr>
        <w:tc>
          <w:tcPr>
            <w:tcW w:w="110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ind w:left="1100" w:right="1100" w:hanging="1035"/>
        <w:spacing w:after="0" w:line="531" w:lineRule="auto"/>
        <w:tabs>
          <w:tab w:leader="none" w:pos="1100" w:val="left"/>
        </w:tabs>
        <w:numPr>
          <w:ilvl w:val="0"/>
          <w:numId w:val="10"/>
        </w:numPr>
        <w:rPr>
          <w:rFonts w:ascii="Arial" w:cs="Arial" w:eastAsia="Arial" w:hAnsi="Arial"/>
          <w:sz w:val="12"/>
          <w:szCs w:val="12"/>
          <w:color w:val="auto"/>
        </w:rPr>
      </w:pPr>
      <w:r>
        <w:rPr>
          <w:rFonts w:ascii="Arial" w:cs="Arial" w:eastAsia="Arial" w:hAnsi="Arial"/>
          <w:sz w:val="12"/>
          <w:szCs w:val="12"/>
          <w:u w:val="single" w:color="auto"/>
          <w:color w:val="auto"/>
        </w:rPr>
        <w:t xml:space="preserve">Cover Page Interactive Data File – The cover page interactive data file does not appear in the interactive data file because its XBRL tags are embedded within the Inline XBRL document. </w:t>
      </w:r>
      <w:r>
        <w:rPr>
          <w:rFonts w:ascii="Arial" w:cs="Arial" w:eastAsia="Arial" w:hAnsi="Arial"/>
          <w:sz w:val="12"/>
          <w:szCs w:val="12"/>
          <w:color w:val="auto"/>
        </w:rPr>
        <w:t>* Previously filed.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20"/>
          </w:cols>
          <w:pgMar w:left="300" w:top="290" w:right="3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54"/>
        </w:trPr>
        <w:tc>
          <w:tcPr>
            <w:tcW w:w="3120" w:type="dxa"/>
            <w:vAlign w:val="bottom"/>
          </w:tcPr>
          <w:p>
            <w:pPr>
              <w:spacing w:after="0"/>
              <w:rPr>
                <w:sz w:val="13"/>
                <w:szCs w:val="13"/>
                <w:color w:val="auto"/>
              </w:rPr>
            </w:pPr>
          </w:p>
        </w:tc>
        <w:tc>
          <w:tcPr>
            <w:tcW w:w="8180" w:type="dxa"/>
            <w:vAlign w:val="bottom"/>
            <w:gridSpan w:val="2"/>
          </w:tcPr>
          <w:p>
            <w:pPr>
              <w:ind w:left="2160"/>
              <w:spacing w:after="0"/>
              <w:rPr>
                <w:sz w:val="20"/>
                <w:szCs w:val="20"/>
                <w:color w:val="auto"/>
              </w:rPr>
            </w:pPr>
            <w:r>
              <w:rPr>
                <w:rFonts w:ascii="Arial" w:cs="Arial" w:eastAsia="Arial" w:hAnsi="Arial"/>
                <w:sz w:val="12"/>
                <w:szCs w:val="12"/>
                <w:color w:val="auto"/>
              </w:rPr>
              <w:t>SIGNATURES</w:t>
            </w:r>
          </w:p>
        </w:tc>
      </w:tr>
      <w:tr>
        <w:trPr>
          <w:trHeight w:val="290"/>
        </w:trPr>
        <w:tc>
          <w:tcPr>
            <w:tcW w:w="11300" w:type="dxa"/>
            <w:vAlign w:val="bottom"/>
            <w:gridSpan w:val="3"/>
          </w:tcPr>
          <w:p>
            <w:pPr>
              <w:ind w:left="24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tc>
      </w:tr>
      <w:tr>
        <w:trPr>
          <w:trHeight w:val="308"/>
        </w:trPr>
        <w:tc>
          <w:tcPr>
            <w:tcW w:w="3120" w:type="dxa"/>
            <w:vAlign w:val="bottom"/>
          </w:tcPr>
          <w:p>
            <w:pPr>
              <w:spacing w:after="0"/>
              <w:rPr>
                <w:sz w:val="24"/>
                <w:szCs w:val="24"/>
                <w:color w:val="auto"/>
              </w:rPr>
            </w:pPr>
          </w:p>
        </w:tc>
        <w:tc>
          <w:tcPr>
            <w:tcW w:w="8180" w:type="dxa"/>
            <w:vAlign w:val="bottom"/>
            <w:gridSpan w:val="2"/>
          </w:tcPr>
          <w:p>
            <w:pPr>
              <w:ind w:left="3340"/>
              <w:spacing w:after="0"/>
              <w:rPr>
                <w:sz w:val="20"/>
                <w:szCs w:val="20"/>
                <w:color w:val="auto"/>
              </w:rPr>
            </w:pPr>
            <w:r>
              <w:rPr>
                <w:rFonts w:ascii="Arial" w:cs="Arial" w:eastAsia="Arial" w:hAnsi="Arial"/>
                <w:sz w:val="12"/>
                <w:szCs w:val="12"/>
                <w:color w:val="auto"/>
              </w:rPr>
              <w:t>DESTINATION XL GROUP, INC.</w:t>
            </w:r>
          </w:p>
        </w:tc>
      </w:tr>
      <w:tr>
        <w:trPr>
          <w:trHeight w:val="308"/>
        </w:trPr>
        <w:tc>
          <w:tcPr>
            <w:tcW w:w="3120" w:type="dxa"/>
            <w:vAlign w:val="bottom"/>
          </w:tcPr>
          <w:p>
            <w:pPr>
              <w:spacing w:after="0"/>
              <w:rPr>
                <w:sz w:val="20"/>
                <w:szCs w:val="20"/>
                <w:color w:val="auto"/>
              </w:rPr>
            </w:pPr>
            <w:r>
              <w:rPr>
                <w:rFonts w:ascii="Arial" w:cs="Arial" w:eastAsia="Arial" w:hAnsi="Arial"/>
                <w:sz w:val="12"/>
                <w:szCs w:val="12"/>
                <w:color w:val="auto"/>
              </w:rPr>
              <w:t>Date: May 27, 2021</w:t>
            </w:r>
          </w:p>
        </w:tc>
        <w:tc>
          <w:tcPr>
            <w:tcW w:w="8180" w:type="dxa"/>
            <w:vAlign w:val="bottom"/>
            <w:gridSpan w:val="2"/>
          </w:tcPr>
          <w:p>
            <w:pPr>
              <w:ind w:left="3340"/>
              <w:spacing w:after="0"/>
              <w:rPr>
                <w:sz w:val="20"/>
                <w:szCs w:val="20"/>
                <w:color w:val="auto"/>
              </w:rPr>
            </w:pPr>
            <w:r>
              <w:rPr>
                <w:rFonts w:ascii="Arial" w:cs="Arial" w:eastAsia="Arial" w:hAnsi="Arial"/>
                <w:sz w:val="12"/>
                <w:szCs w:val="12"/>
                <w:color w:val="auto"/>
              </w:rPr>
              <w:t>By:  /S/ John F. Cooney</w:t>
            </w:r>
          </w:p>
        </w:tc>
      </w:tr>
      <w:tr>
        <w:trPr>
          <w:trHeight w:val="125"/>
        </w:trPr>
        <w:tc>
          <w:tcPr>
            <w:tcW w:w="31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456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color w:val="auto"/>
              </w:rPr>
              <w:t>John F. Cooney</w:t>
            </w:r>
          </w:p>
        </w:tc>
      </w:tr>
      <w:tr>
        <w:trPr>
          <w:trHeight w:val="145"/>
        </w:trPr>
        <w:tc>
          <w:tcPr>
            <w:tcW w:w="31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2"/>
                <w:szCs w:val="12"/>
                <w:color w:val="auto"/>
                <w:w w:val="93"/>
              </w:rPr>
              <w:t>Vice President, Managing Director, Chief Accounting Officer and Corporate Controller (Duly</w:t>
            </w:r>
          </w:p>
        </w:tc>
      </w:tr>
      <w:tr>
        <w:trPr>
          <w:trHeight w:val="154"/>
        </w:trPr>
        <w:tc>
          <w:tcPr>
            <w:tcW w:w="31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2"/>
                <w:szCs w:val="12"/>
                <w:color w:val="auto"/>
              </w:rPr>
              <w:t>Authorized Officer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300"/>
          </w:cols>
          <w:pgMar w:left="300" w:top="131" w:right="299" w:bottom="1440" w:gutter="0" w:footer="0" w:header="0"/>
        </w:sectPr>
      </w:pPr>
    </w:p>
    <w:bookmarkStart w:id="28" w:name="page29"/>
    <w:bookmarkEnd w:id="28"/>
    <w:p>
      <w:pPr>
        <w:jc w:val="right"/>
        <w:spacing w:after="0"/>
        <w:rPr>
          <w:sz w:val="20"/>
          <w:szCs w:val="20"/>
          <w:color w:val="auto"/>
        </w:rPr>
      </w:pPr>
      <w:r>
        <w:rPr>
          <w:rFonts w:ascii="Arial" w:cs="Arial" w:eastAsia="Arial" w:hAnsi="Arial"/>
          <w:sz w:val="14"/>
          <w:szCs w:val="14"/>
          <w:b w:val="1"/>
          <w:bCs w:val="1"/>
          <w:u w:val="single" w:color="auto"/>
          <w:color w:val="auto"/>
        </w:rPr>
        <w:t>Exhibit 10.1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EMPLOYMENT AGREEMENT</w:t>
      </w:r>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This Employment Agreement ("Agreement") is made effective as of February 21, 2021 (the “Effective Date”) between DESTINATION XL GROUP, INC. (the “Company”), a Delaware corporation with an office at 555 Turnpike Street, Canton, Massachusetts 02021 (“DXLG” which term includes any affiliates and subsidiaries), and STACEY JONES (the “Executive”) having an address at 67 High Plain Street, Walpole, MA 02081.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WITNESSETH:</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the Company desires that Executive work for the Company and Executive desires to be so employed by the Company as its Chief Human Resources Officer.</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Executive and the Company desire to set forth in writing the terms and conditions of the Executive's employment with the Company from the date hereof.</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NOW, THEREFORE, in consideration of the promises and the mutual promises, representations and covenants herein contained, the parties hereto agree as follows:</w:t>
      </w:r>
    </w:p>
    <w:p>
      <w:pPr>
        <w:spacing w:after="0" w:line="165" w:lineRule="exact"/>
        <w:rPr>
          <w:sz w:val="20"/>
          <w:szCs w:val="20"/>
          <w:color w:val="auto"/>
        </w:rPr>
      </w:pPr>
    </w:p>
    <w:p>
      <w:pPr>
        <w:ind w:left="1140" w:hanging="397"/>
        <w:spacing w:after="0"/>
        <w:tabs>
          <w:tab w:leader="none" w:pos="1140" w:val="left"/>
        </w:tabs>
        <w:numPr>
          <w:ilvl w:val="0"/>
          <w:numId w:val="11"/>
        </w:numPr>
        <w:rPr>
          <w:rFonts w:ascii="Arial" w:cs="Arial" w:eastAsia="Arial" w:hAnsi="Arial"/>
          <w:sz w:val="14"/>
          <w:szCs w:val="14"/>
          <w:color w:val="auto"/>
        </w:rPr>
      </w:pPr>
      <w:r>
        <w:rPr>
          <w:rFonts w:ascii="Arial" w:cs="Arial" w:eastAsia="Arial" w:hAnsi="Arial"/>
          <w:sz w:val="14"/>
          <w:szCs w:val="14"/>
          <w:u w:val="single" w:color="auto"/>
          <w:color w:val="auto"/>
        </w:rPr>
        <w:t>EMPLOYMENT</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The Company hereby employs Executive and Executive hereby accepts such employment, subject to the terms and conditions herein set forth.</w:t>
      </w:r>
    </w:p>
    <w:p>
      <w:pPr>
        <w:spacing w:after="0" w:line="165" w:lineRule="exact"/>
        <w:rPr>
          <w:sz w:val="20"/>
          <w:szCs w:val="20"/>
          <w:color w:val="auto"/>
        </w:rPr>
      </w:pPr>
    </w:p>
    <w:p>
      <w:pPr>
        <w:ind w:left="1400" w:hanging="973"/>
        <w:spacing w:after="0"/>
        <w:tabs>
          <w:tab w:leader="none" w:pos="1400" w:val="left"/>
        </w:tabs>
        <w:numPr>
          <w:ilvl w:val="0"/>
          <w:numId w:val="12"/>
        </w:numPr>
        <w:rPr>
          <w:rFonts w:ascii="Arial" w:cs="Arial" w:eastAsia="Arial" w:hAnsi="Arial"/>
          <w:sz w:val="14"/>
          <w:szCs w:val="14"/>
          <w:color w:val="auto"/>
        </w:rPr>
      </w:pPr>
      <w:r>
        <w:rPr>
          <w:rFonts w:ascii="Arial" w:cs="Arial" w:eastAsia="Arial" w:hAnsi="Arial"/>
          <w:sz w:val="14"/>
          <w:szCs w:val="14"/>
          <w:u w:val="single" w:color="auto"/>
          <w:color w:val="auto"/>
        </w:rPr>
        <w:t>TERM</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The term of employment under this Agreement (the “Term of Employment”) shall begin on the Effective Date and shall continue until terminated by either party as hereinafter</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set forth.</w:t>
      </w:r>
    </w:p>
    <w:p>
      <w:pPr>
        <w:spacing w:after="0" w:line="153" w:lineRule="exact"/>
        <w:rPr>
          <w:sz w:val="20"/>
          <w:szCs w:val="20"/>
          <w:color w:val="auto"/>
        </w:rPr>
      </w:pPr>
    </w:p>
    <w:p>
      <w:pPr>
        <w:ind w:left="860" w:hanging="433"/>
        <w:spacing w:after="0"/>
        <w:tabs>
          <w:tab w:leader="none" w:pos="860" w:val="left"/>
        </w:tabs>
        <w:numPr>
          <w:ilvl w:val="0"/>
          <w:numId w:val="13"/>
        </w:numPr>
        <w:rPr>
          <w:rFonts w:ascii="Arial" w:cs="Arial" w:eastAsia="Arial" w:hAnsi="Arial"/>
          <w:sz w:val="14"/>
          <w:szCs w:val="14"/>
          <w:color w:val="auto"/>
        </w:rPr>
      </w:pPr>
      <w:r>
        <w:rPr>
          <w:rFonts w:ascii="Arial" w:cs="Arial" w:eastAsia="Arial" w:hAnsi="Arial"/>
          <w:sz w:val="14"/>
          <w:szCs w:val="14"/>
          <w:u w:val="single" w:color="auto"/>
          <w:color w:val="auto"/>
        </w:rPr>
        <w:t>COMPENSATION</w:t>
      </w:r>
    </w:p>
    <w:p>
      <w:pPr>
        <w:spacing w:after="0" w:line="165" w:lineRule="exact"/>
        <w:rPr>
          <w:rFonts w:ascii="Arial" w:cs="Arial" w:eastAsia="Arial" w:hAnsi="Arial"/>
          <w:sz w:val="14"/>
          <w:szCs w:val="14"/>
          <w:color w:val="auto"/>
        </w:rPr>
      </w:pPr>
    </w:p>
    <w:p>
      <w:pPr>
        <w:ind w:right="100" w:firstLine="970"/>
        <w:spacing w:after="0" w:line="254" w:lineRule="auto"/>
        <w:tabs>
          <w:tab w:leader="none" w:pos="1573" w:val="left"/>
        </w:tabs>
        <w:numPr>
          <w:ilvl w:val="2"/>
          <w:numId w:val="13"/>
        </w:numPr>
        <w:rPr>
          <w:rFonts w:ascii="Arial" w:cs="Arial" w:eastAsia="Arial" w:hAnsi="Arial"/>
          <w:sz w:val="14"/>
          <w:szCs w:val="14"/>
          <w:color w:val="auto"/>
        </w:rPr>
      </w:pPr>
      <w:r>
        <w:rPr>
          <w:rFonts w:ascii="Arial" w:cs="Arial" w:eastAsia="Arial" w:hAnsi="Arial"/>
          <w:sz w:val="14"/>
          <w:szCs w:val="14"/>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Sixty-One Thousand One Hundred and Eighty-Eight Dollars and 00/100 Cents ($261,188.00) (the “Base Salary”) as of the Effective Date. The Base Salary shall be reviewed at least annually to ascertain whether, in the judgment of the Company, such Base Salary should be adjusted. If so, the adjusted Base Salary shall be adjusted for all purposes of this Agreement.</w:t>
      </w:r>
    </w:p>
    <w:p>
      <w:pPr>
        <w:spacing w:after="0" w:line="133" w:lineRule="exact"/>
        <w:rPr>
          <w:rFonts w:ascii="Arial" w:cs="Arial" w:eastAsia="Arial" w:hAnsi="Arial"/>
          <w:sz w:val="14"/>
          <w:szCs w:val="14"/>
          <w:color w:val="auto"/>
        </w:rPr>
      </w:pPr>
    </w:p>
    <w:p>
      <w:pPr>
        <w:jc w:val="both"/>
        <w:ind w:firstLine="612"/>
        <w:spacing w:after="0" w:line="254" w:lineRule="auto"/>
        <w:tabs>
          <w:tab w:leader="none" w:pos="826" w:val="left"/>
        </w:tabs>
        <w:numPr>
          <w:ilvl w:val="1"/>
          <w:numId w:val="13"/>
        </w:numPr>
        <w:rPr>
          <w:rFonts w:ascii="Arial" w:cs="Arial" w:eastAsia="Arial" w:hAnsi="Arial"/>
          <w:sz w:val="14"/>
          <w:szCs w:val="14"/>
          <w:color w:val="auto"/>
        </w:rPr>
      </w:pPr>
      <w:r>
        <w:rPr>
          <w:rFonts w:ascii="Arial" w:cs="Arial" w:eastAsia="Arial" w:hAnsi="Arial"/>
          <w:sz w:val="14"/>
          <w:szCs w:val="14"/>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40% of Executive’s actual annual base earnings (which shall be the total Base Salary as may be paid during the fiscal year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23495</wp:posOffset>
            </wp:positionV>
            <wp:extent cx="721423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29" w:name="page30"/>
    <w:bookmarkEnd w:id="29"/>
    <w:p>
      <w:pPr>
        <w:ind w:left="8" w:right="20"/>
        <w:spacing w:after="0" w:line="275" w:lineRule="auto"/>
        <w:rPr>
          <w:sz w:val="20"/>
          <w:szCs w:val="20"/>
          <w:color w:val="auto"/>
        </w:rPr>
      </w:pPr>
      <w:r>
        <w:rPr>
          <w:rFonts w:ascii="Arial" w:cs="Arial" w:eastAsia="Arial" w:hAnsi="Arial"/>
          <w:sz w:val="14"/>
          <w:szCs w:val="14"/>
          <w:color w:val="auto"/>
        </w:rPr>
        <w:t>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20" w:lineRule="exact"/>
        <w:rPr>
          <w:sz w:val="20"/>
          <w:szCs w:val="20"/>
          <w:color w:val="auto"/>
        </w:rPr>
      </w:pPr>
    </w:p>
    <w:p>
      <w:pPr>
        <w:jc w:val="both"/>
        <w:ind w:left="8" w:firstLine="1025"/>
        <w:spacing w:after="0" w:line="279" w:lineRule="auto"/>
        <w:tabs>
          <w:tab w:leader="none" w:pos="1635" w:val="left"/>
        </w:tabs>
        <w:numPr>
          <w:ilvl w:val="1"/>
          <w:numId w:val="14"/>
        </w:numPr>
        <w:rPr>
          <w:rFonts w:ascii="Arial" w:cs="Arial" w:eastAsia="Arial" w:hAnsi="Arial"/>
          <w:sz w:val="13"/>
          <w:szCs w:val="13"/>
          <w:color w:val="auto"/>
        </w:rPr>
      </w:pPr>
      <w:r>
        <w:rPr>
          <w:rFonts w:ascii="Arial" w:cs="Arial" w:eastAsia="Arial" w:hAnsi="Arial"/>
          <w:sz w:val="13"/>
          <w:szCs w:val="13"/>
          <w:color w:val="auto"/>
        </w:rPr>
        <w:t>In addition, during the Term of Employment, Executive is eligible to participate in the Company’s Long-Term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Base Salary in effect on the Executive’s Effective Date of Participation, for the incentive period, based upon the Company’s targeted performance as defined in the LTIP documents in effect at the time of the award.</w:t>
      </w:r>
    </w:p>
    <w:p>
      <w:pPr>
        <w:spacing w:after="0" w:line="119" w:lineRule="exact"/>
        <w:rPr>
          <w:rFonts w:ascii="Arial" w:cs="Arial" w:eastAsia="Arial" w:hAnsi="Arial"/>
          <w:sz w:val="13"/>
          <w:szCs w:val="13"/>
          <w:color w:val="auto"/>
        </w:rPr>
      </w:pPr>
    </w:p>
    <w:p>
      <w:pPr>
        <w:ind w:left="1408" w:hanging="538"/>
        <w:spacing w:after="0"/>
        <w:tabs>
          <w:tab w:leader="none" w:pos="1408" w:val="left"/>
        </w:tabs>
        <w:numPr>
          <w:ilvl w:val="0"/>
          <w:numId w:val="15"/>
        </w:numPr>
        <w:rPr>
          <w:rFonts w:ascii="Arial" w:cs="Arial" w:eastAsia="Arial" w:hAnsi="Arial"/>
          <w:sz w:val="14"/>
          <w:szCs w:val="14"/>
          <w:color w:val="auto"/>
        </w:rPr>
      </w:pPr>
      <w:r>
        <w:rPr>
          <w:rFonts w:ascii="Arial" w:cs="Arial" w:eastAsia="Arial" w:hAnsi="Arial"/>
          <w:sz w:val="14"/>
          <w:szCs w:val="14"/>
          <w:u w:val="single" w:color="auto"/>
          <w:color w:val="auto"/>
        </w:rPr>
        <w:t>EXPENSES</w:t>
      </w:r>
    </w:p>
    <w:p>
      <w:pPr>
        <w:spacing w:after="0" w:line="165" w:lineRule="exact"/>
        <w:rPr>
          <w:sz w:val="20"/>
          <w:szCs w:val="20"/>
          <w:color w:val="auto"/>
        </w:rPr>
      </w:pPr>
    </w:p>
    <w:p>
      <w:pPr>
        <w:jc w:val="both"/>
        <w:ind w:left="8" w:firstLine="1039"/>
        <w:spacing w:after="0" w:line="254" w:lineRule="auto"/>
        <w:rPr>
          <w:sz w:val="20"/>
          <w:szCs w:val="20"/>
          <w:color w:val="auto"/>
        </w:rPr>
      </w:pPr>
      <w:r>
        <w:rPr>
          <w:rFonts w:ascii="Arial" w:cs="Arial" w:eastAsia="Arial" w:hAnsi="Arial"/>
          <w:sz w:val="14"/>
          <w:szCs w:val="14"/>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her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34" w:lineRule="exact"/>
        <w:rPr>
          <w:sz w:val="20"/>
          <w:szCs w:val="20"/>
          <w:color w:val="auto"/>
        </w:rPr>
      </w:pPr>
    </w:p>
    <w:p>
      <w:pPr>
        <w:ind w:left="628" w:hanging="628"/>
        <w:spacing w:after="0"/>
        <w:tabs>
          <w:tab w:leader="none" w:pos="628" w:val="left"/>
        </w:tabs>
        <w:numPr>
          <w:ilvl w:val="0"/>
          <w:numId w:val="16"/>
        </w:numPr>
        <w:rPr>
          <w:rFonts w:ascii="Arial" w:cs="Arial" w:eastAsia="Arial" w:hAnsi="Arial"/>
          <w:sz w:val="14"/>
          <w:szCs w:val="14"/>
          <w:color w:val="auto"/>
        </w:rPr>
      </w:pPr>
      <w:r>
        <w:rPr>
          <w:rFonts w:ascii="Arial" w:cs="Arial" w:eastAsia="Arial" w:hAnsi="Arial"/>
          <w:sz w:val="14"/>
          <w:szCs w:val="14"/>
          <w:u w:val="single" w:color="auto"/>
          <w:color w:val="auto"/>
        </w:rPr>
        <w:t>OTHER BENEFITS</w:t>
      </w:r>
    </w:p>
    <w:p>
      <w:pPr>
        <w:spacing w:after="0" w:line="165" w:lineRule="exact"/>
        <w:rPr>
          <w:rFonts w:ascii="Arial" w:cs="Arial" w:eastAsia="Arial" w:hAnsi="Arial"/>
          <w:sz w:val="14"/>
          <w:szCs w:val="14"/>
          <w:color w:val="auto"/>
        </w:rPr>
      </w:pPr>
    </w:p>
    <w:p>
      <w:pPr>
        <w:jc w:val="both"/>
        <w:ind w:left="8" w:firstLine="1036"/>
        <w:spacing w:after="0" w:line="254" w:lineRule="auto"/>
        <w:tabs>
          <w:tab w:leader="none" w:pos="1731" w:val="left"/>
        </w:tabs>
        <w:numPr>
          <w:ilvl w:val="1"/>
          <w:numId w:val="16"/>
        </w:numPr>
        <w:rPr>
          <w:rFonts w:ascii="Arial" w:cs="Arial" w:eastAsia="Arial" w:hAnsi="Arial"/>
          <w:sz w:val="14"/>
          <w:szCs w:val="14"/>
          <w:color w:val="auto"/>
        </w:rPr>
      </w:pPr>
      <w:r>
        <w:rPr>
          <w:rFonts w:ascii="Arial" w:cs="Arial" w:eastAsia="Arial" w:hAnsi="Arial"/>
          <w:sz w:val="14"/>
          <w:szCs w:val="14"/>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33" w:lineRule="exact"/>
        <w:rPr>
          <w:rFonts w:ascii="Arial" w:cs="Arial" w:eastAsia="Arial" w:hAnsi="Arial"/>
          <w:sz w:val="14"/>
          <w:szCs w:val="14"/>
          <w:color w:val="auto"/>
        </w:rPr>
      </w:pPr>
    </w:p>
    <w:p>
      <w:pPr>
        <w:jc w:val="both"/>
        <w:ind w:left="8" w:firstLine="1036"/>
        <w:spacing w:after="0" w:line="288" w:lineRule="auto"/>
        <w:tabs>
          <w:tab w:leader="none" w:pos="1655" w:val="left"/>
        </w:tabs>
        <w:numPr>
          <w:ilvl w:val="1"/>
          <w:numId w:val="16"/>
        </w:numPr>
        <w:rPr>
          <w:rFonts w:ascii="Arial" w:cs="Arial" w:eastAsia="Arial" w:hAnsi="Arial"/>
          <w:sz w:val="13"/>
          <w:szCs w:val="13"/>
          <w:color w:val="auto"/>
        </w:rPr>
      </w:pPr>
      <w:r>
        <w:rPr>
          <w:rFonts w:ascii="Arial" w:cs="Arial" w:eastAsia="Arial" w:hAnsi="Arial"/>
          <w:sz w:val="13"/>
          <w:szCs w:val="13"/>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her gasoline, unless the gasoline expense is reimbursable under the Company's policies and procedures.</w:t>
      </w:r>
    </w:p>
    <w:p>
      <w:pPr>
        <w:spacing w:after="0" w:line="114" w:lineRule="exact"/>
        <w:rPr>
          <w:sz w:val="20"/>
          <w:szCs w:val="20"/>
          <w:color w:val="auto"/>
        </w:rPr>
      </w:pPr>
    </w:p>
    <w:p>
      <w:pPr>
        <w:ind w:left="1728" w:hanging="684"/>
        <w:spacing w:after="0"/>
        <w:tabs>
          <w:tab w:leader="none" w:pos="1728" w:val="left"/>
        </w:tabs>
        <w:numPr>
          <w:ilvl w:val="1"/>
          <w:numId w:val="17"/>
        </w:numPr>
        <w:rPr>
          <w:rFonts w:ascii="Arial" w:cs="Arial" w:eastAsia="Arial" w:hAnsi="Arial"/>
          <w:sz w:val="14"/>
          <w:szCs w:val="14"/>
          <w:color w:val="auto"/>
        </w:rPr>
      </w:pPr>
      <w:r>
        <w:rPr>
          <w:rFonts w:ascii="Arial" w:cs="Arial" w:eastAsia="Arial" w:hAnsi="Arial"/>
          <w:sz w:val="14"/>
          <w:szCs w:val="14"/>
          <w:color w:val="auto"/>
        </w:rPr>
        <w:t>Executive will be eligible to participate in the Company’s annual performance appraisal process.</w:t>
      </w:r>
    </w:p>
    <w:p>
      <w:pPr>
        <w:spacing w:after="0" w:line="165" w:lineRule="exact"/>
        <w:rPr>
          <w:rFonts w:ascii="Arial" w:cs="Arial" w:eastAsia="Arial" w:hAnsi="Arial"/>
          <w:sz w:val="14"/>
          <w:szCs w:val="14"/>
          <w:color w:val="auto"/>
        </w:rPr>
      </w:pPr>
    </w:p>
    <w:p>
      <w:pPr>
        <w:ind w:left="1728" w:hanging="867"/>
        <w:spacing w:after="0"/>
        <w:tabs>
          <w:tab w:leader="none" w:pos="1728" w:val="left"/>
        </w:tabs>
        <w:numPr>
          <w:ilvl w:val="0"/>
          <w:numId w:val="18"/>
        </w:numPr>
        <w:rPr>
          <w:rFonts w:ascii="Arial" w:cs="Arial" w:eastAsia="Arial" w:hAnsi="Arial"/>
          <w:sz w:val="14"/>
          <w:szCs w:val="14"/>
          <w:color w:val="auto"/>
        </w:rPr>
      </w:pPr>
      <w:r>
        <w:rPr>
          <w:rFonts w:ascii="Arial" w:cs="Arial" w:eastAsia="Arial" w:hAnsi="Arial"/>
          <w:sz w:val="14"/>
          <w:szCs w:val="14"/>
          <w:u w:val="single" w:color="auto"/>
          <w:color w:val="auto"/>
        </w:rPr>
        <w:t>DUTIES</w:t>
      </w:r>
    </w:p>
    <w:p>
      <w:pPr>
        <w:spacing w:after="0" w:line="3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1423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30" w:name="page31"/>
    <w:bookmarkEnd w:id="30"/>
    <w:p>
      <w:pPr>
        <w:ind w:firstLine="862"/>
        <w:spacing w:after="0" w:line="275" w:lineRule="auto"/>
        <w:tabs>
          <w:tab w:leader="none" w:pos="1465" w:val="left"/>
        </w:tabs>
        <w:numPr>
          <w:ilvl w:val="1"/>
          <w:numId w:val="19"/>
        </w:numPr>
        <w:rPr>
          <w:rFonts w:ascii="Arial" w:cs="Arial" w:eastAsia="Arial" w:hAnsi="Arial"/>
          <w:sz w:val="14"/>
          <w:szCs w:val="14"/>
          <w:color w:val="auto"/>
        </w:rPr>
      </w:pPr>
      <w:r>
        <w:rPr>
          <w:rFonts w:ascii="Arial" w:cs="Arial" w:eastAsia="Arial" w:hAnsi="Arial"/>
          <w:sz w:val="14"/>
          <w:szCs w:val="14"/>
          <w:color w:val="auto"/>
        </w:rPr>
        <w:t>Executive shall perform such duties and functions consistent with the position of Chief Human Resources Officer and/or as the Company shall from time to time determine and Executive shall comply in the performance of her duties with the policies of, and be subject to the direction of the Company.</w:t>
      </w:r>
    </w:p>
    <w:p>
      <w:pPr>
        <w:spacing w:after="0" w:line="119" w:lineRule="exact"/>
        <w:rPr>
          <w:rFonts w:ascii="Arial" w:cs="Arial" w:eastAsia="Arial" w:hAnsi="Arial"/>
          <w:sz w:val="14"/>
          <w:szCs w:val="14"/>
          <w:color w:val="auto"/>
        </w:rPr>
      </w:pPr>
    </w:p>
    <w:p>
      <w:pPr>
        <w:jc w:val="both"/>
        <w:ind w:firstLine="862"/>
        <w:spacing w:after="0" w:line="254" w:lineRule="auto"/>
        <w:tabs>
          <w:tab w:leader="none" w:pos="1376" w:val="left"/>
        </w:tabs>
        <w:numPr>
          <w:ilvl w:val="1"/>
          <w:numId w:val="19"/>
        </w:numPr>
        <w:rPr>
          <w:rFonts w:ascii="Arial" w:cs="Arial" w:eastAsia="Arial" w:hAnsi="Arial"/>
          <w:sz w:val="14"/>
          <w:szCs w:val="14"/>
          <w:color w:val="auto"/>
        </w:rPr>
      </w:pPr>
      <w:r>
        <w:rPr>
          <w:rFonts w:ascii="Arial" w:cs="Arial" w:eastAsia="Arial" w:hAnsi="Arial"/>
          <w:sz w:val="14"/>
          <w:szCs w:val="14"/>
          <w:color w:val="auto"/>
        </w:rPr>
        <w:t>During the Term of Employment, Executive shall devote substantially all of her time and attention, vacation time and absences for sickness excepted, to the business of the Company, as necessary to fulfill her duties. Executive shall perform the duties assigned to her with fidelity and to the best of her ability. Notwithstanding anything herein to the contrary, and subject to the foregoing and review by the Company’s Board of Directors, Executive shall not be prevented from accepting positions in outside organizations so long as such activities do not interfere with Executive's performance of her duties hereunder and do not violate paragraph 10 hereof.</w:t>
      </w:r>
    </w:p>
    <w:p>
      <w:pPr>
        <w:spacing w:after="0" w:line="133" w:lineRule="exact"/>
        <w:rPr>
          <w:rFonts w:ascii="Arial" w:cs="Arial" w:eastAsia="Arial" w:hAnsi="Arial"/>
          <w:sz w:val="14"/>
          <w:szCs w:val="14"/>
          <w:color w:val="auto"/>
        </w:rPr>
      </w:pPr>
    </w:p>
    <w:p>
      <w:pPr>
        <w:ind w:right="20" w:firstLine="862"/>
        <w:spacing w:after="0" w:line="259" w:lineRule="auto"/>
        <w:tabs>
          <w:tab w:leader="none" w:pos="1501" w:val="left"/>
        </w:tabs>
        <w:numPr>
          <w:ilvl w:val="1"/>
          <w:numId w:val="19"/>
        </w:numPr>
        <w:rPr>
          <w:rFonts w:ascii="Arial" w:cs="Arial" w:eastAsia="Arial" w:hAnsi="Arial"/>
          <w:sz w:val="14"/>
          <w:szCs w:val="14"/>
          <w:color w:val="auto"/>
        </w:rPr>
      </w:pPr>
      <w:r>
        <w:rPr>
          <w:rFonts w:ascii="Arial" w:cs="Arial" w:eastAsia="Arial" w:hAnsi="Arial"/>
          <w:sz w:val="14"/>
          <w:szCs w:val="14"/>
          <w:color w:val="auto"/>
        </w:rPr>
        <w:t>The principal location at which the Executive shall perform her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her duties hereunder, and Executive recognizes that such duties may involve travel.</w:t>
      </w:r>
    </w:p>
    <w:p>
      <w:pPr>
        <w:spacing w:after="0" w:line="130" w:lineRule="exact"/>
        <w:rPr>
          <w:rFonts w:ascii="Arial" w:cs="Arial" w:eastAsia="Arial" w:hAnsi="Arial"/>
          <w:sz w:val="14"/>
          <w:szCs w:val="14"/>
          <w:color w:val="auto"/>
        </w:rPr>
      </w:pPr>
    </w:p>
    <w:p>
      <w:pPr>
        <w:ind w:left="1020" w:hanging="167"/>
        <w:spacing w:after="0"/>
        <w:tabs>
          <w:tab w:leader="none" w:pos="1020" w:val="left"/>
        </w:tabs>
        <w:numPr>
          <w:ilvl w:val="0"/>
          <w:numId w:val="20"/>
        </w:numPr>
        <w:rPr>
          <w:rFonts w:ascii="Arial" w:cs="Arial" w:eastAsia="Arial" w:hAnsi="Arial"/>
          <w:sz w:val="14"/>
          <w:szCs w:val="14"/>
          <w:color w:val="auto"/>
        </w:rPr>
      </w:pPr>
      <w:r>
        <w:rPr>
          <w:rFonts w:ascii="Arial" w:cs="Arial" w:eastAsia="Arial" w:hAnsi="Arial"/>
          <w:sz w:val="14"/>
          <w:szCs w:val="14"/>
          <w:u w:val="single" w:color="auto"/>
          <w:color w:val="auto"/>
        </w:rPr>
        <w:t>TERMINATION OF EMPLOYMENT; EFFECT OF TERMINATION</w:t>
      </w:r>
    </w:p>
    <w:p>
      <w:pPr>
        <w:spacing w:after="0" w:line="165" w:lineRule="exact"/>
        <w:rPr>
          <w:rFonts w:ascii="Arial" w:cs="Arial" w:eastAsia="Arial" w:hAnsi="Arial"/>
          <w:sz w:val="14"/>
          <w:szCs w:val="14"/>
          <w:color w:val="auto"/>
        </w:rPr>
      </w:pPr>
    </w:p>
    <w:p>
      <w:pPr>
        <w:ind w:left="1560" w:hanging="526"/>
        <w:spacing w:after="0"/>
        <w:tabs>
          <w:tab w:leader="none" w:pos="1560" w:val="left"/>
        </w:tabs>
        <w:numPr>
          <w:ilvl w:val="2"/>
          <w:numId w:val="20"/>
        </w:numPr>
        <w:rPr>
          <w:rFonts w:ascii="Arial" w:cs="Arial" w:eastAsia="Arial" w:hAnsi="Arial"/>
          <w:sz w:val="14"/>
          <w:szCs w:val="14"/>
          <w:color w:val="auto"/>
        </w:rPr>
      </w:pPr>
      <w:r>
        <w:rPr>
          <w:rFonts w:ascii="Arial" w:cs="Arial" w:eastAsia="Arial" w:hAnsi="Arial"/>
          <w:sz w:val="14"/>
          <w:szCs w:val="14"/>
          <w:color w:val="auto"/>
        </w:rPr>
        <w:t>The Term of Employment may be terminated by the Company at any time:</w:t>
      </w:r>
    </w:p>
    <w:p>
      <w:pPr>
        <w:spacing w:after="0" w:line="165" w:lineRule="exact"/>
        <w:rPr>
          <w:rFonts w:ascii="Arial" w:cs="Arial" w:eastAsia="Arial" w:hAnsi="Arial"/>
          <w:sz w:val="14"/>
          <w:szCs w:val="14"/>
          <w:color w:val="auto"/>
        </w:rPr>
      </w:pPr>
    </w:p>
    <w:p>
      <w:pPr>
        <w:jc w:val="both"/>
        <w:ind w:firstLine="1558"/>
        <w:spacing w:after="0" w:line="259" w:lineRule="auto"/>
        <w:tabs>
          <w:tab w:leader="none" w:pos="2475" w:val="left"/>
        </w:tabs>
        <w:numPr>
          <w:ilvl w:val="5"/>
          <w:numId w:val="20"/>
        </w:numPr>
        <w:rPr>
          <w:rFonts w:ascii="Arial" w:cs="Arial" w:eastAsia="Arial" w:hAnsi="Arial"/>
          <w:sz w:val="14"/>
          <w:szCs w:val="14"/>
          <w:color w:val="auto"/>
        </w:rPr>
      </w:pPr>
      <w:r>
        <w:rPr>
          <w:rFonts w:ascii="Arial" w:cs="Arial" w:eastAsia="Arial" w:hAnsi="Arial"/>
          <w:sz w:val="14"/>
          <w:szCs w:val="14"/>
          <w:color w:val="auto"/>
        </w:rPr>
        <w:t>upon the determination by the Company that Executive's performance of her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30" w:lineRule="exact"/>
        <w:rPr>
          <w:rFonts w:ascii="Arial" w:cs="Arial" w:eastAsia="Arial" w:hAnsi="Arial"/>
          <w:sz w:val="14"/>
          <w:szCs w:val="14"/>
          <w:color w:val="auto"/>
        </w:rPr>
      </w:pPr>
    </w:p>
    <w:p>
      <w:pPr>
        <w:ind w:left="2500" w:hanging="942"/>
        <w:spacing w:after="0"/>
        <w:tabs>
          <w:tab w:leader="none" w:pos="2500" w:val="left"/>
        </w:tabs>
        <w:numPr>
          <w:ilvl w:val="5"/>
          <w:numId w:val="20"/>
        </w:numPr>
        <w:rPr>
          <w:rFonts w:ascii="Arial" w:cs="Arial" w:eastAsia="Arial" w:hAnsi="Arial"/>
          <w:sz w:val="14"/>
          <w:szCs w:val="14"/>
          <w:color w:val="auto"/>
        </w:rPr>
      </w:pPr>
      <w:r>
        <w:rPr>
          <w:rFonts w:ascii="Arial" w:cs="Arial" w:eastAsia="Arial" w:hAnsi="Arial"/>
          <w:sz w:val="14"/>
          <w:szCs w:val="14"/>
          <w:color w:val="auto"/>
        </w:rPr>
        <w:t>upon the determination of the Company that there is justifiable cause (as hereinafter defined) for such termination.</w:t>
      </w:r>
    </w:p>
    <w:p>
      <w:pPr>
        <w:spacing w:after="0" w:line="165" w:lineRule="exact"/>
        <w:rPr>
          <w:rFonts w:ascii="Arial" w:cs="Arial" w:eastAsia="Arial" w:hAnsi="Arial"/>
          <w:sz w:val="14"/>
          <w:szCs w:val="14"/>
          <w:color w:val="auto"/>
        </w:rPr>
      </w:pPr>
    </w:p>
    <w:p>
      <w:pPr>
        <w:ind w:left="1560" w:hanging="526"/>
        <w:spacing w:after="0"/>
        <w:tabs>
          <w:tab w:leader="none" w:pos="1560" w:val="left"/>
        </w:tabs>
        <w:numPr>
          <w:ilvl w:val="2"/>
          <w:numId w:val="20"/>
        </w:numPr>
        <w:rPr>
          <w:rFonts w:ascii="Arial" w:cs="Arial" w:eastAsia="Arial" w:hAnsi="Arial"/>
          <w:sz w:val="14"/>
          <w:szCs w:val="14"/>
          <w:color w:val="auto"/>
        </w:rPr>
      </w:pPr>
      <w:r>
        <w:rPr>
          <w:rFonts w:ascii="Arial" w:cs="Arial" w:eastAsia="Arial" w:hAnsi="Arial"/>
          <w:sz w:val="14"/>
          <w:szCs w:val="14"/>
          <w:color w:val="auto"/>
        </w:rPr>
        <w:t>The Term of Employment shall terminate upon:</w:t>
      </w:r>
    </w:p>
    <w:p>
      <w:pPr>
        <w:spacing w:after="0" w:line="165" w:lineRule="exact"/>
        <w:rPr>
          <w:rFonts w:ascii="Arial" w:cs="Arial" w:eastAsia="Arial" w:hAnsi="Arial"/>
          <w:sz w:val="14"/>
          <w:szCs w:val="14"/>
          <w:color w:val="auto"/>
        </w:rPr>
      </w:pPr>
    </w:p>
    <w:p>
      <w:pPr>
        <w:ind w:left="2060" w:hanging="510"/>
        <w:spacing w:after="0"/>
        <w:tabs>
          <w:tab w:leader="none" w:pos="2060" w:val="left"/>
        </w:tabs>
        <w:numPr>
          <w:ilvl w:val="5"/>
          <w:numId w:val="20"/>
        </w:numPr>
        <w:rPr>
          <w:rFonts w:ascii="Arial" w:cs="Arial" w:eastAsia="Arial" w:hAnsi="Arial"/>
          <w:sz w:val="14"/>
          <w:szCs w:val="14"/>
          <w:color w:val="auto"/>
        </w:rPr>
      </w:pPr>
      <w:r>
        <w:rPr>
          <w:rFonts w:ascii="Arial" w:cs="Arial" w:eastAsia="Arial" w:hAnsi="Arial"/>
          <w:sz w:val="14"/>
          <w:szCs w:val="14"/>
          <w:color w:val="auto"/>
        </w:rPr>
        <w:t>the death of Executive;</w:t>
      </w:r>
    </w:p>
    <w:p>
      <w:pPr>
        <w:spacing w:after="0" w:line="165" w:lineRule="exact"/>
        <w:rPr>
          <w:rFonts w:ascii="Arial" w:cs="Arial" w:eastAsia="Arial" w:hAnsi="Arial"/>
          <w:sz w:val="14"/>
          <w:szCs w:val="14"/>
          <w:color w:val="auto"/>
        </w:rPr>
      </w:pPr>
    </w:p>
    <w:p>
      <w:pPr>
        <w:ind w:right="260" w:firstLine="1188"/>
        <w:spacing w:after="0" w:line="276" w:lineRule="auto"/>
        <w:tabs>
          <w:tab w:leader="none" w:pos="1807" w:val="left"/>
        </w:tabs>
        <w:numPr>
          <w:ilvl w:val="4"/>
          <w:numId w:val="20"/>
        </w:numPr>
        <w:rPr>
          <w:rFonts w:ascii="Arial" w:cs="Arial" w:eastAsia="Arial" w:hAnsi="Arial"/>
          <w:sz w:val="14"/>
          <w:szCs w:val="14"/>
          <w:color w:val="auto"/>
        </w:rPr>
      </w:pPr>
      <w:r>
        <w:rPr>
          <w:rFonts w:ascii="Arial" w:cs="Arial" w:eastAsia="Arial" w:hAnsi="Arial"/>
          <w:sz w:val="14"/>
          <w:szCs w:val="14"/>
          <w:color w:val="auto"/>
        </w:rPr>
        <w:t>the date on which the Company elects to terminate the Term of Employment by reason of the "disability" of Executive (as hereinafter defined in subsection (c) herein) pursuant to subsection (g) hereof; or</w:t>
      </w:r>
    </w:p>
    <w:p>
      <w:pPr>
        <w:spacing w:after="0" w:line="118" w:lineRule="exact"/>
        <w:rPr>
          <w:rFonts w:ascii="Arial" w:cs="Arial" w:eastAsia="Arial" w:hAnsi="Arial"/>
          <w:sz w:val="14"/>
          <w:szCs w:val="14"/>
          <w:color w:val="auto"/>
        </w:rPr>
      </w:pPr>
    </w:p>
    <w:p>
      <w:pPr>
        <w:ind w:left="2060" w:hanging="510"/>
        <w:spacing w:after="0"/>
        <w:tabs>
          <w:tab w:leader="none" w:pos="2060" w:val="left"/>
        </w:tabs>
        <w:numPr>
          <w:ilvl w:val="5"/>
          <w:numId w:val="21"/>
        </w:numPr>
        <w:rPr>
          <w:rFonts w:ascii="Arial" w:cs="Arial" w:eastAsia="Arial" w:hAnsi="Arial"/>
          <w:sz w:val="14"/>
          <w:szCs w:val="14"/>
          <w:color w:val="auto"/>
        </w:rPr>
      </w:pPr>
      <w:r>
        <w:rPr>
          <w:rFonts w:ascii="Arial" w:cs="Arial" w:eastAsia="Arial" w:hAnsi="Arial"/>
          <w:sz w:val="14"/>
          <w:szCs w:val="14"/>
          <w:color w:val="auto"/>
        </w:rPr>
        <w:t>Executive’s resignation of employment.</w:t>
      </w:r>
    </w:p>
    <w:p>
      <w:pPr>
        <w:spacing w:after="0" w:line="165" w:lineRule="exact"/>
        <w:rPr>
          <w:rFonts w:ascii="Arial" w:cs="Arial" w:eastAsia="Arial" w:hAnsi="Arial"/>
          <w:sz w:val="14"/>
          <w:szCs w:val="14"/>
          <w:color w:val="auto"/>
        </w:rPr>
      </w:pPr>
    </w:p>
    <w:p>
      <w:pPr>
        <w:ind w:left="1680" w:hanging="600"/>
        <w:spacing w:after="0"/>
        <w:tabs>
          <w:tab w:leader="none" w:pos="1680" w:val="left"/>
        </w:tabs>
        <w:numPr>
          <w:ilvl w:val="3"/>
          <w:numId w:val="22"/>
        </w:numPr>
        <w:rPr>
          <w:rFonts w:ascii="Arial" w:cs="Arial" w:eastAsia="Arial" w:hAnsi="Arial"/>
          <w:sz w:val="14"/>
          <w:szCs w:val="14"/>
          <w:color w:val="auto"/>
        </w:rPr>
      </w:pPr>
      <w:r>
        <w:rPr>
          <w:rFonts w:ascii="Arial" w:cs="Arial" w:eastAsia="Arial" w:hAnsi="Arial"/>
          <w:sz w:val="14"/>
          <w:szCs w:val="14"/>
          <w:color w:val="auto"/>
        </w:rPr>
        <w:t>For the purposes of this Agreement, the term "disability" shall mean Executive is physically or mentally incapacitated so as to render Executive incapable of</w:t>
      </w:r>
    </w:p>
    <w:p>
      <w:pPr>
        <w:spacing w:after="0" w:line="1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performing the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1423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auto"/>
        </w:rPr>
        <w:t>essentials of Executive's job, even with reasonable accommodation, as reasonably determined by the Company, which determination shall be final and binding.</w:t>
      </w:r>
    </w:p>
    <w:p>
      <w:pPr>
        <w:spacing w:after="0" w:line="165" w:lineRule="exact"/>
        <w:rPr>
          <w:sz w:val="20"/>
          <w:szCs w:val="20"/>
          <w:color w:val="auto"/>
        </w:rPr>
      </w:pPr>
    </w:p>
    <w:p>
      <w:pPr>
        <w:jc w:val="both"/>
        <w:ind w:firstLine="1036"/>
        <w:spacing w:after="0" w:line="247" w:lineRule="auto"/>
        <w:tabs>
          <w:tab w:leader="none" w:pos="1647" w:val="left"/>
        </w:tabs>
        <w:numPr>
          <w:ilvl w:val="1"/>
          <w:numId w:val="23"/>
        </w:numPr>
        <w:rPr>
          <w:rFonts w:ascii="Arial" w:cs="Arial" w:eastAsia="Arial" w:hAnsi="Arial"/>
          <w:sz w:val="14"/>
          <w:szCs w:val="14"/>
          <w:color w:val="auto"/>
        </w:rPr>
      </w:pPr>
      <w:r>
        <w:rPr>
          <w:rFonts w:ascii="Arial" w:cs="Arial" w:eastAsia="Arial" w:hAnsi="Arial"/>
          <w:sz w:val="14"/>
          <w:szCs w:val="14"/>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her duties in a satisfactory manner; Executive's performance of any act or her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her duties hereunder. Upon termination of Executive's employment for justifiable cause, Executive shall not be entitled to any amounts or benefits hereunder other than such portion of Executive's Base Salary and reimbursement of expenses pursuant to paragraph 4 hereof as have been accrued through the date of her termination of employment.</w:t>
      </w:r>
    </w:p>
    <w:p>
      <w:pPr>
        <w:spacing w:after="0" w:line="139" w:lineRule="exact"/>
        <w:rPr>
          <w:rFonts w:ascii="Arial" w:cs="Arial" w:eastAsia="Arial" w:hAnsi="Arial"/>
          <w:sz w:val="14"/>
          <w:szCs w:val="14"/>
          <w:color w:val="auto"/>
        </w:rPr>
      </w:pPr>
    </w:p>
    <w:p>
      <w:pPr>
        <w:jc w:val="both"/>
        <w:ind w:firstLine="862"/>
        <w:spacing w:after="0" w:line="247" w:lineRule="auto"/>
        <w:tabs>
          <w:tab w:leader="none" w:pos="1465" w:val="left"/>
        </w:tabs>
        <w:numPr>
          <w:ilvl w:val="0"/>
          <w:numId w:val="24"/>
        </w:numPr>
        <w:rPr>
          <w:rFonts w:ascii="Arial" w:cs="Arial" w:eastAsia="Arial" w:hAnsi="Arial"/>
          <w:sz w:val="14"/>
          <w:szCs w:val="14"/>
          <w:color w:val="auto"/>
        </w:rPr>
      </w:pPr>
      <w:r>
        <w:rPr>
          <w:rFonts w:ascii="Arial" w:cs="Arial" w:eastAsia="Arial" w:hAnsi="Arial"/>
          <w:sz w:val="14"/>
          <w:szCs w:val="14"/>
          <w:color w:val="auto"/>
        </w:rPr>
        <w:t>If the Company terminates this Agreement without "justifiable cause" as provided in subsection 7(a)(i), the Company shall pay Executive her then current base salary for six months (that is, the one month notice period referenced in Paragraph 7(a)(i) and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substantially in the form attached hereto as Exhibit A or such other form that is acceptable to the Company, in its sole discretion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(or such longer period as may be authorized by the Company or otherwise required by applicable law) after termination of the Term of Employment (and the Executive’s not revoking that General Release) and will be in lieu of payments to which Executive might have been entitled under any other severance plan of the Company.</w:t>
      </w:r>
    </w:p>
    <w:p>
      <w:pPr>
        <w:spacing w:after="0" w:line="141" w:lineRule="exact"/>
        <w:rPr>
          <w:rFonts w:ascii="Arial" w:cs="Arial" w:eastAsia="Arial" w:hAnsi="Arial"/>
          <w:sz w:val="14"/>
          <w:szCs w:val="14"/>
          <w:color w:val="auto"/>
        </w:rPr>
      </w:pPr>
    </w:p>
    <w:p>
      <w:pPr>
        <w:ind w:right="20" w:firstLine="1036"/>
        <w:spacing w:after="0" w:line="315" w:lineRule="auto"/>
        <w:tabs>
          <w:tab w:leader="none" w:pos="1707" w:val="left"/>
        </w:tabs>
        <w:numPr>
          <w:ilvl w:val="1"/>
          <w:numId w:val="24"/>
        </w:numPr>
        <w:rPr>
          <w:rFonts w:ascii="Arial" w:cs="Arial" w:eastAsia="Arial" w:hAnsi="Arial"/>
          <w:sz w:val="13"/>
          <w:szCs w:val="13"/>
          <w:color w:val="auto"/>
        </w:rPr>
      </w:pPr>
      <w:r>
        <w:rPr>
          <w:rFonts w:ascii="Arial" w:cs="Arial" w:eastAsia="Arial" w:hAnsi="Arial"/>
          <w:sz w:val="13"/>
          <w:szCs w:val="13"/>
          <w:color w:val="auto"/>
        </w:rPr>
        <w:t>If Executive shall die during the term of her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her death.</w:t>
      </w:r>
    </w:p>
    <w:p>
      <w:pPr>
        <w:spacing w:after="0" w:line="96" w:lineRule="exact"/>
        <w:rPr>
          <w:rFonts w:ascii="Arial" w:cs="Arial" w:eastAsia="Arial" w:hAnsi="Arial"/>
          <w:sz w:val="13"/>
          <w:szCs w:val="13"/>
          <w:color w:val="auto"/>
        </w:rPr>
      </w:pPr>
    </w:p>
    <w:p>
      <w:pPr>
        <w:jc w:val="both"/>
        <w:ind w:firstLine="1036"/>
        <w:spacing w:after="0" w:line="259" w:lineRule="auto"/>
        <w:tabs>
          <w:tab w:leader="none" w:pos="1731" w:val="left"/>
        </w:tabs>
        <w:numPr>
          <w:ilvl w:val="1"/>
          <w:numId w:val="24"/>
        </w:numPr>
        <w:rPr>
          <w:rFonts w:ascii="Arial" w:cs="Arial" w:eastAsia="Arial" w:hAnsi="Arial"/>
          <w:sz w:val="14"/>
          <w:szCs w:val="14"/>
          <w:color w:val="auto"/>
        </w:rPr>
      </w:pPr>
      <w:r>
        <w:rPr>
          <w:rFonts w:ascii="Arial" w:cs="Arial" w:eastAsia="Arial" w:hAnsi="Arial"/>
          <w:sz w:val="14"/>
          <w:szCs w:val="14"/>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she begins to receive long-term disability insurance benefits under the policy provided by the Company pursuant to paragraph 5 hereof.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1423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2" w:name="page33"/>
    <w:bookmarkEnd w:id="32"/>
    <w:p>
      <w:pPr>
        <w:jc w:val="both"/>
        <w:ind w:right="40" w:firstLine="1036"/>
        <w:spacing w:after="0" w:line="259" w:lineRule="auto"/>
        <w:tabs>
          <w:tab w:leader="none" w:pos="1647" w:val="left"/>
        </w:tabs>
        <w:numPr>
          <w:ilvl w:val="0"/>
          <w:numId w:val="25"/>
        </w:numPr>
        <w:rPr>
          <w:rFonts w:ascii="Arial" w:cs="Arial" w:eastAsia="Arial" w:hAnsi="Arial"/>
          <w:sz w:val="14"/>
          <w:szCs w:val="14"/>
          <w:color w:val="auto"/>
        </w:rPr>
      </w:pPr>
      <w:r>
        <w:rPr>
          <w:rFonts w:ascii="Arial" w:cs="Arial" w:eastAsia="Arial" w:hAnsi="Arial"/>
          <w:sz w:val="14"/>
          <w:szCs w:val="14"/>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she shall be entitled only to receive such portion of her annual Base Salary and reimbursement of expenses pursuant to paragraph 4 as have been accrued through the date of her resignation.</w:t>
      </w:r>
    </w:p>
    <w:p>
      <w:pPr>
        <w:spacing w:after="0" w:line="130" w:lineRule="exact"/>
        <w:rPr>
          <w:rFonts w:ascii="Arial" w:cs="Arial" w:eastAsia="Arial" w:hAnsi="Arial"/>
          <w:sz w:val="14"/>
          <w:szCs w:val="14"/>
          <w:color w:val="auto"/>
        </w:rPr>
      </w:pPr>
    </w:p>
    <w:p>
      <w:pPr>
        <w:ind w:right="20" w:firstLine="1036"/>
        <w:spacing w:after="0" w:line="266" w:lineRule="auto"/>
        <w:tabs>
          <w:tab w:leader="none" w:pos="1615" w:val="left"/>
        </w:tabs>
        <w:numPr>
          <w:ilvl w:val="0"/>
          <w:numId w:val="25"/>
        </w:numPr>
        <w:rPr>
          <w:rFonts w:ascii="Arial" w:cs="Arial" w:eastAsia="Arial" w:hAnsi="Arial"/>
          <w:sz w:val="13"/>
          <w:szCs w:val="13"/>
          <w:color w:val="auto"/>
        </w:rPr>
      </w:pPr>
      <w:r>
        <w:rPr>
          <w:rFonts w:ascii="Arial" w:cs="Arial" w:eastAsia="Arial" w:hAnsi="Arial"/>
          <w:sz w:val="13"/>
          <w:szCs w:val="13"/>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Base Salary in effect at the time of the termination. For the purposes of the foregoing, Change of Control shall have the meaning set forth in the Company’s 2016 Incentive Compensation Plan (without regard to any subsequent amendments thereto). For purposes of the foregoing, </w:t>
      </w:r>
      <w:r>
        <w:rPr>
          <w:rFonts w:ascii="Arial" w:cs="Arial" w:eastAsia="Arial" w:hAnsi="Arial"/>
          <w:sz w:val="13"/>
          <w:szCs w:val="13"/>
          <w:b w:val="1"/>
          <w:bCs w:val="1"/>
          <w:i w:val="1"/>
          <w:iCs w:val="1"/>
          <w:color w:val="auto"/>
        </w:rPr>
        <w:t>“</w:t>
      </w:r>
      <w:r>
        <w:rPr>
          <w:rFonts w:ascii="Arial" w:cs="Arial" w:eastAsia="Arial" w:hAnsi="Arial"/>
          <w:sz w:val="13"/>
          <w:szCs w:val="13"/>
          <w:i w:val="1"/>
          <w:iCs w:val="1"/>
          <w:color w:val="auto"/>
        </w:rPr>
        <w:t>Good Reason”</w:t>
      </w:r>
      <w:r>
        <w:rPr>
          <w:rFonts w:ascii="Arial" w:cs="Arial" w:eastAsia="Arial" w:hAnsi="Arial"/>
          <w:sz w:val="13"/>
          <w:szCs w:val="13"/>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7(i)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28" w:lineRule="exact"/>
        <w:rPr>
          <w:sz w:val="20"/>
          <w:szCs w:val="20"/>
          <w:color w:val="auto"/>
        </w:rPr>
      </w:pPr>
    </w:p>
    <w:p>
      <w:pPr>
        <w:ind w:left="1440" w:hanging="578"/>
        <w:spacing w:after="0"/>
        <w:tabs>
          <w:tab w:leader="none" w:pos="14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Clawback of Certain Compensation and Benefits</w:t>
      </w:r>
    </w:p>
    <w:p>
      <w:pPr>
        <w:spacing w:after="0" w:line="147" w:lineRule="exact"/>
        <w:rPr>
          <w:sz w:val="20"/>
          <w:szCs w:val="20"/>
          <w:color w:val="auto"/>
        </w:rPr>
      </w:pPr>
    </w:p>
    <w:p>
      <w:pPr>
        <w:ind w:left="1840" w:hanging="109"/>
        <w:spacing w:after="0"/>
        <w:tabs>
          <w:tab w:leader="none" w:pos="18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If, after the termination of the Term of Employment for any reason other than by the Company for “justifiable cause”:</w:t>
      </w:r>
    </w:p>
    <w:p>
      <w:pPr>
        <w:spacing w:after="0" w:line="146" w:lineRule="exact"/>
        <w:rPr>
          <w:rFonts w:ascii="Arial" w:cs="Arial" w:eastAsia="Arial" w:hAnsi="Arial"/>
          <w:sz w:val="14"/>
          <w:szCs w:val="14"/>
          <w:color w:val="auto"/>
        </w:rPr>
      </w:pPr>
    </w:p>
    <w:p>
      <w:pPr>
        <w:jc w:val="both"/>
        <w:ind w:firstLine="2057"/>
        <w:spacing w:after="0" w:line="259" w:lineRule="auto"/>
        <w:tabs>
          <w:tab w:leader="none" w:pos="2641" w:val="left"/>
        </w:tabs>
        <w:numPr>
          <w:ilvl w:val="1"/>
          <w:numId w:val="27"/>
        </w:numPr>
        <w:rPr>
          <w:rFonts w:ascii="Arial" w:cs="Arial" w:eastAsia="Arial" w:hAnsi="Arial"/>
          <w:sz w:val="14"/>
          <w:szCs w:val="14"/>
          <w:color w:val="auto"/>
        </w:rPr>
      </w:pPr>
      <w:r>
        <w:rPr>
          <w:rFonts w:ascii="Arial" w:cs="Arial" w:eastAsia="Arial" w:hAnsi="Arial"/>
          <w:sz w:val="14"/>
          <w:szCs w:val="14"/>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12" w:lineRule="exact"/>
        <w:rPr>
          <w:rFonts w:ascii="Arial" w:cs="Arial" w:eastAsia="Arial" w:hAnsi="Arial"/>
          <w:sz w:val="14"/>
          <w:szCs w:val="14"/>
          <w:color w:val="auto"/>
        </w:rPr>
      </w:pPr>
    </w:p>
    <w:p>
      <w:pPr>
        <w:ind w:firstLine="2057"/>
        <w:spacing w:after="0" w:line="276" w:lineRule="auto"/>
        <w:tabs>
          <w:tab w:leader="none" w:pos="2633" w:val="left"/>
        </w:tabs>
        <w:numPr>
          <w:ilvl w:val="1"/>
          <w:numId w:val="27"/>
        </w:numPr>
        <w:rPr>
          <w:rFonts w:ascii="Arial" w:cs="Arial" w:eastAsia="Arial" w:hAnsi="Arial"/>
          <w:sz w:val="14"/>
          <w:szCs w:val="14"/>
          <w:color w:val="auto"/>
        </w:rPr>
      </w:pPr>
      <w:r>
        <w:rPr>
          <w:rFonts w:ascii="Arial" w:cs="Arial" w:eastAsia="Arial" w:hAnsi="Arial"/>
          <w:sz w:val="14"/>
          <w:szCs w:val="14"/>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1423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300"/>
          </w:cols>
          <w:pgMar w:left="300" w:top="288" w:right="299"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auto"/>
        </w:rPr>
        <w:t>been terminated for justifiable cause retroactively to the Termination Date and the Executive also shall be subject to the following provisions:</w:t>
      </w:r>
    </w:p>
    <w:p>
      <w:pPr>
        <w:spacing w:after="0" w:line="147" w:lineRule="exact"/>
        <w:rPr>
          <w:sz w:val="20"/>
          <w:szCs w:val="20"/>
          <w:color w:val="auto"/>
        </w:rPr>
      </w:pPr>
    </w:p>
    <w:p>
      <w:pPr>
        <w:jc w:val="both"/>
        <w:ind w:right="20" w:firstLine="3478"/>
        <w:spacing w:after="0" w:line="251" w:lineRule="auto"/>
        <w:rPr>
          <w:sz w:val="20"/>
          <w:szCs w:val="20"/>
          <w:color w:val="auto"/>
        </w:rPr>
      </w:pPr>
      <w:r>
        <w:rPr>
          <w:rFonts w:ascii="Arial" w:cs="Arial" w:eastAsia="Arial" w:hAnsi="Arial"/>
          <w:sz w:val="14"/>
          <w:szCs w:val="14"/>
          <w:color w:val="auto"/>
        </w:rPr>
        <w:t>1) 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00" w:type="dxa"/>
            <w:vAlign w:val="bottom"/>
          </w:tcPr>
          <w:p>
            <w:pPr>
              <w:jc w:val="right"/>
              <w:ind w:right="1028"/>
              <w:spacing w:after="0"/>
              <w:rPr>
                <w:sz w:val="20"/>
                <w:szCs w:val="20"/>
                <w:color w:val="auto"/>
              </w:rPr>
            </w:pPr>
            <w:r>
              <w:rPr>
                <w:rFonts w:ascii="Arial" w:cs="Arial" w:eastAsia="Arial" w:hAnsi="Arial"/>
                <w:sz w:val="14"/>
                <w:szCs w:val="14"/>
                <w:color w:val="auto"/>
              </w:rPr>
              <w:t>2)</w:t>
            </w:r>
          </w:p>
        </w:tc>
        <w:tc>
          <w:tcPr>
            <w:tcW w:w="6580" w:type="dxa"/>
            <w:vAlign w:val="bottom"/>
          </w:tcPr>
          <w:p>
            <w:pPr>
              <w:ind w:left="1060"/>
              <w:spacing w:after="0"/>
              <w:rPr>
                <w:sz w:val="20"/>
                <w:szCs w:val="20"/>
                <w:color w:val="auto"/>
              </w:rPr>
            </w:pPr>
            <w:r>
              <w:rPr>
                <w:rFonts w:ascii="Arial" w:cs="Arial" w:eastAsia="Arial" w:hAnsi="Arial"/>
                <w:sz w:val="14"/>
                <w:szCs w:val="14"/>
                <w:color w:val="auto"/>
                <w:w w:val="96"/>
              </w:rPr>
              <w:t>all vested and unvested Awards (as that term is defined in the 2016 Incentive Compensation</w:t>
            </w:r>
          </w:p>
        </w:tc>
      </w:tr>
      <w:tr>
        <w:trPr>
          <w:trHeight w:val="183"/>
        </w:trPr>
        <w:tc>
          <w:tcPr>
            <w:tcW w:w="4700" w:type="dxa"/>
            <w:vAlign w:val="bottom"/>
          </w:tcPr>
          <w:p>
            <w:pPr>
              <w:jc w:val="right"/>
              <w:ind w:right="988"/>
              <w:spacing w:after="0"/>
              <w:rPr>
                <w:sz w:val="20"/>
                <w:szCs w:val="20"/>
                <w:color w:val="auto"/>
              </w:rPr>
            </w:pPr>
            <w:r>
              <w:rPr>
                <w:rFonts w:ascii="Arial" w:cs="Arial" w:eastAsia="Arial" w:hAnsi="Arial"/>
                <w:sz w:val="14"/>
                <w:szCs w:val="14"/>
                <w:color w:val="auto"/>
                <w:w w:val="93"/>
              </w:rPr>
              <w:t>Plan) then held by the Executive shall immediately expire; and</w:t>
            </w:r>
          </w:p>
        </w:tc>
        <w:tc>
          <w:tcPr>
            <w:tcW w:w="6580" w:type="dxa"/>
            <w:vAlign w:val="bottom"/>
          </w:tcPr>
          <w:p>
            <w:pPr>
              <w:spacing w:after="0"/>
              <w:rPr>
                <w:sz w:val="15"/>
                <w:szCs w:val="15"/>
                <w:color w:val="auto"/>
              </w:rPr>
            </w:pPr>
          </w:p>
        </w:tc>
      </w:tr>
      <w:tr>
        <w:trPr>
          <w:trHeight w:val="300"/>
        </w:trPr>
        <w:tc>
          <w:tcPr>
            <w:tcW w:w="4700" w:type="dxa"/>
            <w:vAlign w:val="bottom"/>
          </w:tcPr>
          <w:p>
            <w:pPr>
              <w:jc w:val="right"/>
              <w:ind w:right="1028"/>
              <w:spacing w:after="0"/>
              <w:rPr>
                <w:sz w:val="20"/>
                <w:szCs w:val="20"/>
                <w:color w:val="auto"/>
              </w:rPr>
            </w:pPr>
            <w:r>
              <w:rPr>
                <w:rFonts w:ascii="Arial" w:cs="Arial" w:eastAsia="Arial" w:hAnsi="Arial"/>
                <w:sz w:val="14"/>
                <w:szCs w:val="14"/>
                <w:color w:val="auto"/>
              </w:rPr>
              <w:t>3)</w:t>
            </w:r>
          </w:p>
        </w:tc>
        <w:tc>
          <w:tcPr>
            <w:tcW w:w="6580" w:type="dxa"/>
            <w:vAlign w:val="bottom"/>
          </w:tcPr>
          <w:p>
            <w:pPr>
              <w:ind w:left="1060"/>
              <w:spacing w:after="0"/>
              <w:rPr>
                <w:sz w:val="20"/>
                <w:szCs w:val="20"/>
                <w:color w:val="auto"/>
              </w:rPr>
            </w:pPr>
            <w:r>
              <w:rPr>
                <w:rFonts w:ascii="Arial" w:cs="Arial" w:eastAsia="Arial" w:hAnsi="Arial"/>
                <w:sz w:val="14"/>
                <w:szCs w:val="14"/>
                <w:color w:val="auto"/>
                <w:w w:val="96"/>
              </w:rPr>
              <w:t>the Executive shall be required to pay to the Company, immediately upon written demand by</w:t>
            </w:r>
          </w:p>
        </w:tc>
      </w:tr>
    </w:tbl>
    <w:p>
      <w:pPr>
        <w:jc w:val="both"/>
        <w:ind w:right="20"/>
        <w:spacing w:after="0" w:line="246" w:lineRule="auto"/>
        <w:rPr>
          <w:sz w:val="20"/>
          <w:szCs w:val="20"/>
          <w:color w:val="auto"/>
        </w:rPr>
      </w:pPr>
      <w:r>
        <w:rPr>
          <w:rFonts w:ascii="Arial" w:cs="Arial" w:eastAsia="Arial" w:hAnsi="Arial"/>
          <w:sz w:val="14"/>
          <w:szCs w:val="14"/>
          <w:color w:val="auto"/>
        </w:rPr>
        <w:t>the Company, an amount equal to any Gains resulting from the exercise or payment of any Awards (as that term is defined in the 2016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21" w:lineRule="exact"/>
        <w:rPr>
          <w:sz w:val="20"/>
          <w:szCs w:val="20"/>
          <w:color w:val="auto"/>
        </w:rPr>
      </w:pPr>
    </w:p>
    <w:p>
      <w:pPr>
        <w:ind w:right="160" w:firstLine="1036"/>
        <w:spacing w:after="0" w:line="276" w:lineRule="auto"/>
        <w:tabs>
          <w:tab w:leader="none" w:pos="1683"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Any payment pursuant to paragraph 7(e) or 7(i) shall be contingent upon Executive’s execution of the General Release within 21 days after termination of the Term of Employment (or such longer time as may be authorized by the Company or otherwise required by applicable law), and the Executive’s not revoking that release.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ind w:left="60"/>
              <w:spacing w:after="0"/>
              <w:rPr>
                <w:sz w:val="20"/>
                <w:szCs w:val="20"/>
                <w:color w:val="auto"/>
              </w:rPr>
            </w:pPr>
            <w:r>
              <w:rPr>
                <w:rFonts w:ascii="Arial" w:cs="Arial" w:eastAsia="Arial" w:hAnsi="Arial"/>
                <w:sz w:val="14"/>
                <w:szCs w:val="14"/>
                <w:color w:val="auto"/>
              </w:rPr>
              <w:t>8.</w:t>
            </w:r>
          </w:p>
        </w:tc>
        <w:tc>
          <w:tcPr>
            <w:tcW w:w="1120" w:type="dxa"/>
            <w:vAlign w:val="bottom"/>
          </w:tcPr>
          <w:p>
            <w:pPr>
              <w:spacing w:after="0"/>
              <w:rPr>
                <w:sz w:val="14"/>
                <w:szCs w:val="14"/>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COMPLIANCE WITH SECTION 409A</w:t>
            </w:r>
          </w:p>
        </w:tc>
        <w:tc>
          <w:tcPr>
            <w:tcW w:w="7300" w:type="dxa"/>
            <w:vAlign w:val="bottom"/>
          </w:tcPr>
          <w:p>
            <w:pPr>
              <w:spacing w:after="0"/>
              <w:rPr>
                <w:sz w:val="14"/>
                <w:szCs w:val="14"/>
                <w:color w:val="auto"/>
              </w:rPr>
            </w:pPr>
          </w:p>
        </w:tc>
      </w:tr>
      <w:tr>
        <w:trPr>
          <w:trHeight w:val="301"/>
        </w:trPr>
        <w:tc>
          <w:tcPr>
            <w:tcW w:w="540" w:type="dxa"/>
            <w:vAlign w:val="bottom"/>
          </w:tcPr>
          <w:p>
            <w:pPr>
              <w:ind w:left="60"/>
              <w:spacing w:after="0"/>
              <w:rPr>
                <w:sz w:val="20"/>
                <w:szCs w:val="20"/>
                <w:color w:val="auto"/>
              </w:rPr>
            </w:pPr>
            <w:r>
              <w:rPr>
                <w:rFonts w:ascii="Arial" w:cs="Arial" w:eastAsia="Arial" w:hAnsi="Arial"/>
                <w:sz w:val="14"/>
                <w:szCs w:val="14"/>
                <w:color w:val="auto"/>
              </w:rPr>
              <w:t>(a)</w:t>
            </w:r>
          </w:p>
        </w:tc>
        <w:tc>
          <w:tcPr>
            <w:tcW w:w="1120" w:type="dxa"/>
            <w:vAlign w:val="bottom"/>
          </w:tcPr>
          <w:p>
            <w:pPr>
              <w:spacing w:after="0"/>
              <w:rPr>
                <w:sz w:val="24"/>
                <w:szCs w:val="24"/>
                <w:color w:val="auto"/>
              </w:rPr>
            </w:pPr>
          </w:p>
        </w:tc>
        <w:tc>
          <w:tcPr>
            <w:tcW w:w="9660" w:type="dxa"/>
            <w:vAlign w:val="bottom"/>
            <w:gridSpan w:val="2"/>
          </w:tcPr>
          <w:p>
            <w:pPr>
              <w:spacing w:after="0"/>
              <w:rPr>
                <w:sz w:val="20"/>
                <w:szCs w:val="20"/>
                <w:color w:val="auto"/>
              </w:rPr>
            </w:pPr>
            <w:r>
              <w:rPr>
                <w:rFonts w:ascii="Arial" w:cs="Arial" w:eastAsia="Arial" w:hAnsi="Arial"/>
                <w:sz w:val="14"/>
                <w:szCs w:val="14"/>
                <w:color w:val="auto"/>
                <w:w w:val="96"/>
              </w:rPr>
              <w:t>General. It is the intention of both the Company and the Executive that the benefits and rights to which the Executive could be entitled pursuant to this Agreement</w:t>
            </w:r>
          </w:p>
        </w:tc>
      </w:tr>
      <w:tr>
        <w:trPr>
          <w:trHeight w:val="163"/>
        </w:trPr>
        <w:tc>
          <w:tcPr>
            <w:tcW w:w="540" w:type="dxa"/>
            <w:vAlign w:val="bottom"/>
          </w:tcPr>
          <w:p>
            <w:pPr>
              <w:spacing w:after="0"/>
              <w:rPr>
                <w:sz w:val="14"/>
                <w:szCs w:val="14"/>
                <w:color w:val="auto"/>
              </w:rPr>
            </w:pPr>
          </w:p>
        </w:tc>
        <w:tc>
          <w:tcPr>
            <w:tcW w:w="10780" w:type="dxa"/>
            <w:vAlign w:val="bottom"/>
            <w:gridSpan w:val="3"/>
          </w:tcPr>
          <w:p>
            <w:pPr>
              <w:ind w:left="320"/>
              <w:spacing w:after="0"/>
              <w:rPr>
                <w:sz w:val="20"/>
                <w:szCs w:val="20"/>
                <w:color w:val="auto"/>
              </w:rPr>
            </w:pPr>
            <w:r>
              <w:rPr>
                <w:rFonts w:ascii="Arial" w:cs="Arial" w:eastAsia="Arial" w:hAnsi="Arial"/>
                <w:sz w:val="14"/>
                <w:szCs w:val="14"/>
                <w:color w:val="auto"/>
                <w:w w:val="94"/>
              </w:rPr>
              <w:t>comply with Section 409A of the Code and the Treasury Regulations and other guidance promulgated or issued thereunder (“Section 409A”), to the extent that the requirements of</w:t>
            </w:r>
          </w:p>
        </w:tc>
      </w:tr>
      <w:tr>
        <w:trPr>
          <w:trHeight w:val="163"/>
        </w:trPr>
        <w:tc>
          <w:tcPr>
            <w:tcW w:w="540" w:type="dxa"/>
            <w:vAlign w:val="bottom"/>
          </w:tcPr>
          <w:p>
            <w:pPr>
              <w:spacing w:after="0"/>
              <w:rPr>
                <w:sz w:val="14"/>
                <w:szCs w:val="14"/>
                <w:color w:val="auto"/>
              </w:rPr>
            </w:pPr>
          </w:p>
        </w:tc>
        <w:tc>
          <w:tcPr>
            <w:tcW w:w="10780" w:type="dxa"/>
            <w:vAlign w:val="bottom"/>
            <w:gridSpan w:val="3"/>
          </w:tcPr>
          <w:p>
            <w:pPr>
              <w:ind w:left="320"/>
              <w:spacing w:after="0"/>
              <w:rPr>
                <w:sz w:val="20"/>
                <w:szCs w:val="20"/>
                <w:color w:val="auto"/>
              </w:rPr>
            </w:pPr>
            <w:r>
              <w:rPr>
                <w:rFonts w:ascii="Arial" w:cs="Arial" w:eastAsia="Arial" w:hAnsi="Arial"/>
                <w:sz w:val="14"/>
                <w:szCs w:val="14"/>
                <w:color w:val="auto"/>
                <w:w w:val="95"/>
              </w:rPr>
              <w:t>Section 409A are applicable thereto, and the provisions of this Agreement shall be construed in a manner consistent with that intention. If the Executive or the Company believes,</w:t>
            </w:r>
          </w:p>
        </w:tc>
      </w:tr>
      <w:tr>
        <w:trPr>
          <w:trHeight w:val="163"/>
        </w:trPr>
        <w:tc>
          <w:tcPr>
            <w:tcW w:w="540" w:type="dxa"/>
            <w:vAlign w:val="bottom"/>
          </w:tcPr>
          <w:p>
            <w:pPr>
              <w:spacing w:after="0"/>
              <w:rPr>
                <w:sz w:val="14"/>
                <w:szCs w:val="14"/>
                <w:color w:val="auto"/>
              </w:rPr>
            </w:pPr>
          </w:p>
        </w:tc>
        <w:tc>
          <w:tcPr>
            <w:tcW w:w="10780" w:type="dxa"/>
            <w:vAlign w:val="bottom"/>
            <w:gridSpan w:val="3"/>
          </w:tcPr>
          <w:p>
            <w:pPr>
              <w:ind w:left="320"/>
              <w:spacing w:after="0"/>
              <w:rPr>
                <w:sz w:val="20"/>
                <w:szCs w:val="20"/>
                <w:color w:val="auto"/>
              </w:rPr>
            </w:pPr>
            <w:r>
              <w:rPr>
                <w:rFonts w:ascii="Arial" w:cs="Arial" w:eastAsia="Arial" w:hAnsi="Arial"/>
                <w:sz w:val="14"/>
                <w:szCs w:val="14"/>
                <w:color w:val="auto"/>
                <w:w w:val="95"/>
              </w:rPr>
              <w:t>at any time, that any such benefit or right that is subject to Section 409A does not so comply, it shall promptly advise the other and shall negotiate reasonably and in good faith to</w:t>
            </w:r>
          </w:p>
        </w:tc>
      </w:tr>
      <w:tr>
        <w:trPr>
          <w:trHeight w:val="183"/>
        </w:trPr>
        <w:tc>
          <w:tcPr>
            <w:tcW w:w="540" w:type="dxa"/>
            <w:vAlign w:val="bottom"/>
          </w:tcPr>
          <w:p>
            <w:pPr>
              <w:spacing w:after="0"/>
              <w:rPr>
                <w:sz w:val="15"/>
                <w:szCs w:val="15"/>
                <w:color w:val="auto"/>
              </w:rPr>
            </w:pPr>
          </w:p>
        </w:tc>
        <w:tc>
          <w:tcPr>
            <w:tcW w:w="10780" w:type="dxa"/>
            <w:vAlign w:val="bottom"/>
            <w:gridSpan w:val="3"/>
          </w:tcPr>
          <w:p>
            <w:pPr>
              <w:ind w:left="320"/>
              <w:spacing w:after="0"/>
              <w:rPr>
                <w:sz w:val="20"/>
                <w:szCs w:val="20"/>
                <w:color w:val="auto"/>
              </w:rPr>
            </w:pPr>
            <w:r>
              <w:rPr>
                <w:rFonts w:ascii="Arial" w:cs="Arial" w:eastAsia="Arial" w:hAnsi="Arial"/>
                <w:sz w:val="14"/>
                <w:szCs w:val="14"/>
                <w:color w:val="auto"/>
              </w:rPr>
              <w:t>amend the timing of such benefits and rights such that they comply with Section 409A (with the most limited possible economic effect on the Executive).</w:t>
            </w:r>
          </w:p>
        </w:tc>
      </w:tr>
      <w:tr>
        <w:trPr>
          <w:trHeight w:val="429"/>
        </w:trPr>
        <w:tc>
          <w:tcPr>
            <w:tcW w:w="540" w:type="dxa"/>
            <w:vAlign w:val="bottom"/>
          </w:tcPr>
          <w:p>
            <w:pPr>
              <w:spacing w:after="0"/>
              <w:rPr>
                <w:sz w:val="24"/>
                <w:szCs w:val="24"/>
                <w:color w:val="auto"/>
              </w:rPr>
            </w:pPr>
          </w:p>
        </w:tc>
        <w:tc>
          <w:tcPr>
            <w:tcW w:w="10780" w:type="dxa"/>
            <w:vAlign w:val="bottom"/>
            <w:gridSpan w:val="3"/>
          </w:tcPr>
          <w:p>
            <w:pPr>
              <w:ind w:left="5080"/>
              <w:spacing w:after="0"/>
              <w:rPr>
                <w:sz w:val="20"/>
                <w:szCs w:val="20"/>
                <w:color w:val="auto"/>
              </w:rPr>
            </w:pPr>
            <w:r>
              <w:rPr>
                <w:rFonts w:ascii="Arial" w:cs="Arial" w:eastAsia="Arial" w:hAnsi="Arial"/>
                <w:sz w:val="12"/>
                <w:szCs w:val="12"/>
                <w:color w:val="auto"/>
              </w:rPr>
              <w:t>6</w:t>
            </w:r>
          </w:p>
        </w:tc>
      </w:tr>
      <w:tr>
        <w:trPr>
          <w:trHeight w:val="218"/>
        </w:trPr>
        <w:tc>
          <w:tcPr>
            <w:tcW w:w="54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73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125" w:right="279" w:bottom="1440" w:gutter="0" w:footer="0" w:header="0"/>
        </w:sectPr>
      </w:pPr>
    </w:p>
    <w:bookmarkStart w:id="34" w:name="page35"/>
    <w:bookmarkEnd w:id="34"/>
    <w:p>
      <w:pPr>
        <w:ind w:left="60"/>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jc w:val="both"/>
        <w:ind w:firstLine="803"/>
        <w:spacing w:after="0" w:line="259" w:lineRule="auto"/>
        <w:rPr>
          <w:sz w:val="20"/>
          <w:szCs w:val="20"/>
          <w:color w:val="auto"/>
        </w:rPr>
      </w:pPr>
      <w:r>
        <w:rPr>
          <w:rFonts w:ascii="Arial" w:cs="Arial" w:eastAsia="Arial" w:hAnsi="Arial"/>
          <w:sz w:val="14"/>
          <w:szCs w:val="14"/>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12" w:lineRule="exact"/>
        <w:rPr>
          <w:sz w:val="20"/>
          <w:szCs w:val="20"/>
          <w:color w:val="auto"/>
        </w:rPr>
      </w:pPr>
    </w:p>
    <w:p>
      <w:pPr>
        <w:sectPr>
          <w:pgSz w:w="11900" w:h="16838" w:orient="portrait"/>
          <w:cols w:equalWidth="0" w:num="2">
            <w:col w:w="220" w:space="640"/>
            <w:col w:w="10440"/>
          </w:cols>
          <w:pgMar w:left="300" w:top="125" w:right="299" w:bottom="1440" w:gutter="0" w:footer="0" w:header="0"/>
        </w:sectPr>
      </w:pPr>
    </w:p>
    <w:p>
      <w:pPr>
        <w:ind w:left="60"/>
        <w:spacing w:after="0"/>
        <w:rPr>
          <w:sz w:val="20"/>
          <w:szCs w:val="20"/>
          <w:color w:val="auto"/>
        </w:rPr>
      </w:pPr>
      <w:r>
        <w:rPr>
          <w:rFonts w:ascii="Arial" w:cs="Arial" w:eastAsia="Arial" w:hAnsi="Arial"/>
          <w:sz w:val="13"/>
          <w:szCs w:val="13"/>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6 Month Delay for “Specified Employees”.</w:t>
      </w:r>
    </w:p>
    <w:p>
      <w:pPr>
        <w:spacing w:after="0" w:line="158" w:lineRule="exact"/>
        <w:rPr>
          <w:sz w:val="20"/>
          <w:szCs w:val="20"/>
          <w:color w:val="auto"/>
        </w:rPr>
      </w:pPr>
    </w:p>
    <w:p>
      <w:pPr>
        <w:sectPr>
          <w:pgSz w:w="11900" w:h="16838" w:orient="portrait"/>
          <w:cols w:equalWidth="0" w:num="2">
            <w:col w:w="940" w:space="720"/>
            <w:col w:w="9640"/>
          </w:cols>
          <w:pgMar w:left="300" w:top="125" w:right="299" w:bottom="1440" w:gutter="0" w:footer="0" w:header="0"/>
          <w:type w:val="continuous"/>
        </w:sectPr>
      </w:pPr>
    </w:p>
    <w:p>
      <w:pPr>
        <w:ind w:right="20" w:firstLine="1731"/>
        <w:spacing w:after="0" w:line="248" w:lineRule="auto"/>
        <w:tabs>
          <w:tab w:leader="none" w:pos="1911" w:val="left"/>
        </w:tabs>
        <w:numPr>
          <w:ilvl w:val="0"/>
          <w:numId w:val="29"/>
        </w:numPr>
        <w:rPr>
          <w:rFonts w:ascii="Arial" w:cs="Arial" w:eastAsia="Arial" w:hAnsi="Arial"/>
          <w:sz w:val="14"/>
          <w:szCs w:val="14"/>
          <w:color w:val="auto"/>
        </w:rPr>
      </w:pPr>
      <w:r>
        <w:rPr>
          <w:rFonts w:ascii="Arial" w:cs="Arial" w:eastAsia="Arial" w:hAnsi="Arial"/>
          <w:sz w:val="14"/>
          <w:szCs w:val="14"/>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39" w:lineRule="exact"/>
        <w:rPr>
          <w:rFonts w:ascii="Arial" w:cs="Arial" w:eastAsia="Arial" w:hAnsi="Arial"/>
          <w:sz w:val="14"/>
          <w:szCs w:val="14"/>
          <w:color w:val="auto"/>
        </w:rPr>
      </w:pPr>
    </w:p>
    <w:p>
      <w:pPr>
        <w:jc w:val="both"/>
        <w:ind w:firstLine="1731"/>
        <w:spacing w:after="0" w:line="259" w:lineRule="auto"/>
        <w:tabs>
          <w:tab w:leader="none" w:pos="1959"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purposes of this provision, the Executive shall be considered to be a “specified employee” if, at the time of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ectPr>
          <w:pgSz w:w="11900" w:h="16838" w:orient="portrait"/>
          <w:cols w:equalWidth="0" w:num="1">
            <w:col w:w="11300"/>
          </w:cols>
          <w:pgMar w:left="300" w:top="125" w:right="299" w:bottom="1440" w:gutter="0" w:footer="0" w:header="0"/>
          <w:type w:val="continuous"/>
        </w:sectPr>
      </w:pPr>
    </w:p>
    <w:p>
      <w:pPr>
        <w:spacing w:after="0" w:line="113" w:lineRule="exact"/>
        <w:rPr>
          <w:sz w:val="20"/>
          <w:szCs w:val="20"/>
          <w:color w:val="auto"/>
        </w:rPr>
      </w:pPr>
    </w:p>
    <w:p>
      <w:pPr>
        <w:ind w:left="6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firstLine="803"/>
        <w:spacing w:after="0" w:line="259" w:lineRule="auto"/>
        <w:rPr>
          <w:sz w:val="20"/>
          <w:szCs w:val="20"/>
          <w:color w:val="auto"/>
        </w:rPr>
      </w:pPr>
      <w:r>
        <w:rPr>
          <w:rFonts w:ascii="Arial" w:cs="Arial" w:eastAsia="Arial" w:hAnsi="Arial"/>
          <w:sz w:val="14"/>
          <w:szCs w:val="14"/>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13" w:lineRule="exact"/>
        <w:rPr>
          <w:sz w:val="20"/>
          <w:szCs w:val="20"/>
          <w:color w:val="auto"/>
        </w:rPr>
      </w:pPr>
    </w:p>
    <w:p>
      <w:pPr>
        <w:sectPr>
          <w:pgSz w:w="11900" w:h="16838" w:orient="portrait"/>
          <w:cols w:equalWidth="0" w:num="2">
            <w:col w:w="220" w:space="640"/>
            <w:col w:w="10440"/>
          </w:cols>
          <w:pgMar w:left="300" w:top="125" w:right="299" w:bottom="1440" w:gutter="0" w:footer="0" w:header="0"/>
          <w:type w:val="continuous"/>
        </w:sectPr>
      </w:pPr>
    </w:p>
    <w:p>
      <w:pPr>
        <w:ind w:left="60"/>
        <w:spacing w:after="0"/>
        <w:rPr>
          <w:sz w:val="20"/>
          <w:szCs w:val="20"/>
          <w:color w:val="auto"/>
        </w:rPr>
      </w:pPr>
      <w:r>
        <w:rPr>
          <w:rFonts w:ascii="Arial" w:cs="Arial" w:eastAsia="Arial" w:hAnsi="Arial"/>
          <w:sz w:val="13"/>
          <w:szCs w:val="13"/>
          <w:color w:val="auto"/>
        </w:rPr>
        <w:t>(e)</w:t>
      </w:r>
    </w:p>
    <w:p>
      <w:pPr>
        <w:spacing w:after="0" w:line="20" w:lineRule="exact"/>
        <w:rPr>
          <w:sz w:val="20"/>
          <w:szCs w:val="20"/>
          <w:color w:val="auto"/>
        </w:rPr>
      </w:pPr>
      <w:r>
        <w:rPr>
          <w:sz w:val="20"/>
          <w:szCs w:val="20"/>
          <w:color w:val="auto"/>
        </w:rPr>
        <w:br w:type="column"/>
      </w:r>
    </w:p>
    <w:p>
      <w:pPr>
        <w:jc w:val="both"/>
        <w:ind w:firstLine="803"/>
        <w:spacing w:after="0" w:line="259" w:lineRule="auto"/>
        <w:rPr>
          <w:sz w:val="20"/>
          <w:szCs w:val="20"/>
          <w:color w:val="auto"/>
        </w:rPr>
      </w:pPr>
      <w:r>
        <w:rPr>
          <w:rFonts w:ascii="Arial" w:cs="Arial" w:eastAsia="Arial" w:hAnsi="Arial"/>
          <w:sz w:val="14"/>
          <w:szCs w:val="14"/>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13" w:lineRule="exact"/>
        <w:rPr>
          <w:sz w:val="20"/>
          <w:szCs w:val="20"/>
          <w:color w:val="auto"/>
        </w:rPr>
      </w:pPr>
    </w:p>
    <w:p>
      <w:pPr>
        <w:sectPr>
          <w:pgSz w:w="11900" w:h="16838" w:orient="portrait"/>
          <w:cols w:equalWidth="0" w:num="2">
            <w:col w:w="220" w:space="640"/>
            <w:col w:w="10440"/>
          </w:cols>
          <w:pgMar w:left="300" w:top="125" w:right="299" w:bottom="1440" w:gutter="0" w:footer="0" w:header="0"/>
          <w:type w:val="continuous"/>
        </w:sectPr>
      </w:pPr>
    </w:p>
    <w:p>
      <w:pPr>
        <w:ind w:left="60"/>
        <w:spacing w:after="0"/>
        <w:rPr>
          <w:sz w:val="20"/>
          <w:szCs w:val="20"/>
          <w:color w:val="auto"/>
        </w:rPr>
      </w:pPr>
      <w:r>
        <w:rPr>
          <w:rFonts w:ascii="Arial" w:cs="Arial" w:eastAsia="Arial" w:hAnsi="Arial"/>
          <w:sz w:val="14"/>
          <w:szCs w:val="14"/>
          <w:color w:val="auto"/>
        </w:rPr>
        <w:t>(f)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Taxable Reimbursements.</w:t>
      </w:r>
    </w:p>
    <w:p>
      <w:pPr>
        <w:spacing w:after="0" w:line="170" w:lineRule="exact"/>
        <w:rPr>
          <w:sz w:val="20"/>
          <w:szCs w:val="20"/>
          <w:color w:val="auto"/>
        </w:rPr>
      </w:pPr>
    </w:p>
    <w:p>
      <w:pPr>
        <w:sectPr>
          <w:pgSz w:w="11900" w:h="16838" w:orient="portrait"/>
          <w:cols w:equalWidth="0" w:num="2">
            <w:col w:w="940" w:space="720"/>
            <w:col w:w="9640"/>
          </w:cols>
          <w:pgMar w:left="300" w:top="125" w:right="299" w:bottom="1440" w:gutter="0" w:footer="0" w:header="0"/>
          <w:type w:val="continuous"/>
        </w:sectPr>
      </w:pPr>
    </w:p>
    <w:p>
      <w:pPr>
        <w:jc w:val="both"/>
        <w:ind w:firstLine="1731"/>
        <w:spacing w:after="0" w:line="259" w:lineRule="auto"/>
        <w:tabs>
          <w:tab w:leader="none" w:pos="19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1423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type w:val="continuous"/>
        </w:sectPr>
      </w:pPr>
    </w:p>
    <w:bookmarkStart w:id="35" w:name="page36"/>
    <w:bookmarkEnd w:id="35"/>
    <w:p>
      <w:pPr>
        <w:ind w:right="20" w:firstLine="1731"/>
        <w:spacing w:after="0" w:line="275" w:lineRule="auto"/>
        <w:tabs>
          <w:tab w:leader="none" w:pos="1958" w:val="left"/>
        </w:tabs>
        <w:numPr>
          <w:ilvl w:val="3"/>
          <w:numId w:val="31"/>
        </w:numPr>
        <w:rPr>
          <w:rFonts w:ascii="Arial" w:cs="Arial" w:eastAsia="Arial" w:hAnsi="Arial"/>
          <w:sz w:val="14"/>
          <w:szCs w:val="14"/>
          <w:color w:val="auto"/>
        </w:rPr>
      </w:pPr>
      <w:r>
        <w:rPr>
          <w:rFonts w:ascii="Arial" w:cs="Arial" w:eastAsia="Arial" w:hAnsi="Arial"/>
          <w:sz w:val="14"/>
          <w:szCs w:val="14"/>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01" w:lineRule="exact"/>
        <w:rPr>
          <w:rFonts w:ascii="Arial" w:cs="Arial" w:eastAsia="Arial" w:hAnsi="Arial"/>
          <w:sz w:val="14"/>
          <w:szCs w:val="14"/>
          <w:color w:val="auto"/>
        </w:rPr>
      </w:pPr>
    </w:p>
    <w:p>
      <w:pPr>
        <w:ind w:left="1980" w:hanging="249"/>
        <w:spacing w:after="0"/>
        <w:tabs>
          <w:tab w:leader="none" w:pos="1980" w:val="left"/>
        </w:tabs>
        <w:numPr>
          <w:ilvl w:val="3"/>
          <w:numId w:val="31"/>
        </w:numPr>
        <w:rPr>
          <w:rFonts w:ascii="Arial" w:cs="Arial" w:eastAsia="Arial" w:hAnsi="Arial"/>
          <w:sz w:val="14"/>
          <w:szCs w:val="14"/>
          <w:color w:val="auto"/>
        </w:rPr>
      </w:pPr>
      <w:r>
        <w:rPr>
          <w:rFonts w:ascii="Arial" w:cs="Arial" w:eastAsia="Arial" w:hAnsi="Arial"/>
          <w:sz w:val="14"/>
          <w:szCs w:val="14"/>
          <w:color w:val="auto"/>
        </w:rPr>
        <w:t>The right to Taxable Reimbursements shall not be subject to liquidation or exchange for another benefit.</w:t>
      </w:r>
    </w:p>
    <w:p>
      <w:pPr>
        <w:spacing w:after="0" w:line="146" w:lineRule="exact"/>
        <w:rPr>
          <w:rFonts w:ascii="Arial" w:cs="Arial" w:eastAsia="Arial" w:hAnsi="Arial"/>
          <w:sz w:val="14"/>
          <w:szCs w:val="14"/>
          <w:color w:val="auto"/>
        </w:rPr>
      </w:pPr>
    </w:p>
    <w:p>
      <w:pPr>
        <w:ind w:left="1280" w:hanging="402"/>
        <w:spacing w:after="0"/>
        <w:tabs>
          <w:tab w:leader="none" w:pos="1280" w:val="left"/>
        </w:tabs>
        <w:numPr>
          <w:ilvl w:val="0"/>
          <w:numId w:val="32"/>
        </w:numPr>
        <w:rPr>
          <w:rFonts w:ascii="Arial" w:cs="Arial" w:eastAsia="Arial" w:hAnsi="Arial"/>
          <w:sz w:val="14"/>
          <w:szCs w:val="14"/>
          <w:color w:val="auto"/>
        </w:rPr>
      </w:pPr>
      <w:r>
        <w:rPr>
          <w:rFonts w:ascii="Arial" w:cs="Arial" w:eastAsia="Arial" w:hAnsi="Arial"/>
          <w:sz w:val="14"/>
          <w:szCs w:val="14"/>
          <w:u w:val="single" w:color="auto"/>
          <w:color w:val="auto"/>
        </w:rPr>
        <w:t>REPRESENTATION AND AGREEMENTS OF EXECUTIVE</w:t>
      </w:r>
    </w:p>
    <w:p>
      <w:pPr>
        <w:spacing w:after="0" w:line="165" w:lineRule="exact"/>
        <w:rPr>
          <w:rFonts w:ascii="Arial" w:cs="Arial" w:eastAsia="Arial" w:hAnsi="Arial"/>
          <w:sz w:val="14"/>
          <w:szCs w:val="14"/>
          <w:color w:val="auto"/>
        </w:rPr>
      </w:pPr>
    </w:p>
    <w:p>
      <w:pPr>
        <w:ind w:firstLine="1031"/>
        <w:spacing w:after="0" w:line="276" w:lineRule="auto"/>
        <w:tabs>
          <w:tab w:leader="none" w:pos="1634" w:val="left"/>
        </w:tabs>
        <w:numPr>
          <w:ilvl w:val="1"/>
          <w:numId w:val="32"/>
        </w:numPr>
        <w:rPr>
          <w:rFonts w:ascii="Arial" w:cs="Arial" w:eastAsia="Arial" w:hAnsi="Arial"/>
          <w:sz w:val="14"/>
          <w:szCs w:val="14"/>
          <w:color w:val="auto"/>
        </w:rPr>
      </w:pPr>
      <w:r>
        <w:rPr>
          <w:rFonts w:ascii="Arial" w:cs="Arial" w:eastAsia="Arial" w:hAnsi="Arial"/>
          <w:sz w:val="14"/>
          <w:szCs w:val="14"/>
          <w:color w:val="auto"/>
        </w:rPr>
        <w:t>Executive represents and warrants that she is free to enter into this Agreement and to perform the duties required hereunder, and that there are no employment contracts or understandings, restrictive covenants or other restrictions, whether written or oral, preventing the performance of her duties hereunder.</w:t>
      </w:r>
    </w:p>
    <w:p>
      <w:pPr>
        <w:spacing w:after="0" w:line="118" w:lineRule="exact"/>
        <w:rPr>
          <w:rFonts w:ascii="Arial" w:cs="Arial" w:eastAsia="Arial" w:hAnsi="Arial"/>
          <w:sz w:val="14"/>
          <w:szCs w:val="14"/>
          <w:color w:val="auto"/>
        </w:rPr>
      </w:pPr>
    </w:p>
    <w:p>
      <w:pPr>
        <w:ind w:right="140" w:firstLine="1080"/>
        <w:spacing w:after="0" w:line="259" w:lineRule="auto"/>
        <w:tabs>
          <w:tab w:leader="none" w:pos="1691" w:val="left"/>
        </w:tabs>
        <w:numPr>
          <w:ilvl w:val="2"/>
          <w:numId w:val="32"/>
        </w:numPr>
        <w:rPr>
          <w:rFonts w:ascii="Arial" w:cs="Arial" w:eastAsia="Arial" w:hAnsi="Arial"/>
          <w:sz w:val="14"/>
          <w:szCs w:val="14"/>
          <w:color w:val="auto"/>
        </w:rPr>
      </w:pPr>
      <w:r>
        <w:rPr>
          <w:rFonts w:ascii="Arial" w:cs="Arial" w:eastAsia="Arial" w:hAnsi="Arial"/>
          <w:sz w:val="14"/>
          <w:szCs w:val="14"/>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30" w:lineRule="exact"/>
        <w:rPr>
          <w:rFonts w:ascii="Arial" w:cs="Arial" w:eastAsia="Arial" w:hAnsi="Arial"/>
          <w:sz w:val="14"/>
          <w:szCs w:val="14"/>
          <w:color w:val="auto"/>
        </w:rPr>
      </w:pPr>
    </w:p>
    <w:p>
      <w:pPr>
        <w:ind w:right="240" w:firstLine="1080"/>
        <w:spacing w:after="0" w:line="276" w:lineRule="auto"/>
        <w:tabs>
          <w:tab w:leader="none" w:pos="1683" w:val="left"/>
        </w:tabs>
        <w:numPr>
          <w:ilvl w:val="2"/>
          <w:numId w:val="32"/>
        </w:numPr>
        <w:rPr>
          <w:rFonts w:ascii="Arial" w:cs="Arial" w:eastAsia="Arial" w:hAnsi="Arial"/>
          <w:sz w:val="14"/>
          <w:szCs w:val="14"/>
          <w:color w:val="auto"/>
        </w:rPr>
      </w:pPr>
      <w:r>
        <w:rPr>
          <w:rFonts w:ascii="Arial" w:cs="Arial" w:eastAsia="Arial" w:hAnsi="Arial"/>
          <w:sz w:val="14"/>
          <w:szCs w:val="14"/>
          <w:color w:val="auto"/>
        </w:rPr>
        <w:t>Executive represents and warrants that she has never been convicted of a felony and she has not been convicted or incarcerated for a misdemeanor within the past five years, other than a first conviction for drunkenness, simple assault, speeding, minor traffic violations, affray, or disturbance of the peace.</w:t>
      </w:r>
    </w:p>
    <w:p>
      <w:pPr>
        <w:spacing w:after="0" w:line="118" w:lineRule="exact"/>
        <w:rPr>
          <w:rFonts w:ascii="Arial" w:cs="Arial" w:eastAsia="Arial" w:hAnsi="Arial"/>
          <w:sz w:val="14"/>
          <w:szCs w:val="14"/>
          <w:color w:val="auto"/>
        </w:rPr>
      </w:pPr>
    </w:p>
    <w:p>
      <w:pPr>
        <w:ind w:firstLine="1080"/>
        <w:spacing w:after="0" w:line="276" w:lineRule="auto"/>
        <w:tabs>
          <w:tab w:leader="none" w:pos="1691" w:val="left"/>
        </w:tabs>
        <w:numPr>
          <w:ilvl w:val="2"/>
          <w:numId w:val="32"/>
        </w:numPr>
        <w:rPr>
          <w:rFonts w:ascii="Arial" w:cs="Arial" w:eastAsia="Arial" w:hAnsi="Arial"/>
          <w:sz w:val="14"/>
          <w:szCs w:val="14"/>
          <w:color w:val="auto"/>
        </w:rPr>
      </w:pPr>
      <w:r>
        <w:rPr>
          <w:rFonts w:ascii="Arial" w:cs="Arial" w:eastAsia="Arial" w:hAnsi="Arial"/>
          <w:sz w:val="14"/>
          <w:szCs w:val="14"/>
          <w:color w:val="auto"/>
        </w:rPr>
        <w:t>Executive represents and warrants that she has never been a party to any judicial or administrative proceeding that resulted in a judgment, decree, or final order (i) enjoining her from future violations of, or prohibiting any violations of any federal or state securities law, or (ii) finding any violations of any federal or state securities law.</w:t>
      </w:r>
    </w:p>
    <w:p>
      <w:pPr>
        <w:spacing w:after="0" w:line="118" w:lineRule="exact"/>
        <w:rPr>
          <w:rFonts w:ascii="Arial" w:cs="Arial" w:eastAsia="Arial" w:hAnsi="Arial"/>
          <w:sz w:val="14"/>
          <w:szCs w:val="14"/>
          <w:color w:val="auto"/>
        </w:rPr>
      </w:pPr>
    </w:p>
    <w:p>
      <w:pPr>
        <w:ind w:left="1460" w:hanging="380"/>
        <w:spacing w:after="0"/>
        <w:tabs>
          <w:tab w:leader="none" w:pos="1460" w:val="left"/>
        </w:tabs>
        <w:numPr>
          <w:ilvl w:val="2"/>
          <w:numId w:val="32"/>
        </w:numPr>
        <w:rPr>
          <w:rFonts w:ascii="Arial" w:cs="Arial" w:eastAsia="Arial" w:hAnsi="Arial"/>
          <w:sz w:val="14"/>
          <w:szCs w:val="14"/>
          <w:color w:val="auto"/>
        </w:rPr>
      </w:pPr>
      <w:r>
        <w:rPr>
          <w:rFonts w:ascii="Arial" w:cs="Arial" w:eastAsia="Arial" w:hAnsi="Arial"/>
          <w:sz w:val="14"/>
          <w:szCs w:val="14"/>
          <w:color w:val="auto"/>
        </w:rPr>
        <w:t>Executive represents and warrants that she has never been accused of any impropriety in connection with any employment;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Any breach of any of the above representations and warranties is "justifiable cause" for termination under paragraph 7(d) of this Agreement.</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10.NON-COMPETITION</w:t>
      </w:r>
    </w:p>
    <w:p>
      <w:pPr>
        <w:spacing w:after="0" w:line="165" w:lineRule="exact"/>
        <w:rPr>
          <w:sz w:val="20"/>
          <w:szCs w:val="20"/>
          <w:color w:val="auto"/>
        </w:rPr>
      </w:pPr>
    </w:p>
    <w:p>
      <w:pPr>
        <w:ind w:right="180" w:firstLine="862"/>
        <w:spacing w:after="0" w:line="275" w:lineRule="auto"/>
        <w:tabs>
          <w:tab w:leader="none" w:pos="1103"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 consideration for: the promotion to Chief Human Resources Officer, the corresponding expansion of responsibilities, the $30,000.00 gross salary increase, the increased bonus percentage participation and car allowance, Executive further covenants and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1423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6" w:name="page37"/>
    <w:bookmarkEnd w:id="36"/>
    <w:p>
      <w:pPr>
        <w:spacing w:after="0" w:line="248" w:lineRule="auto"/>
        <w:rPr>
          <w:sz w:val="20"/>
          <w:szCs w:val="20"/>
          <w:color w:val="auto"/>
        </w:rPr>
      </w:pPr>
      <w:r>
        <w:rPr>
          <w:rFonts w:ascii="Arial" w:cs="Arial" w:eastAsia="Arial" w:hAnsi="Arial"/>
          <w:sz w:val="14"/>
          <w:szCs w:val="14"/>
          <w:color w:val="auto"/>
        </w:rPr>
        <w:t xml:space="preserve">geographic area </w:t>
      </w:r>
      <w:r>
        <w:rPr>
          <w:rFonts w:ascii="Arial" w:cs="Arial" w:eastAsia="Arial" w:hAnsi="Arial"/>
          <w:sz w:val="14"/>
          <w:szCs w:val="14"/>
          <w:color w:val="333333"/>
        </w:rPr>
        <w:t>in which the Executive provided services or had a material presence or influence on behalf of the Company, whether in the United States, Canada, Europe or elsewhere during the</w:t>
      </w:r>
      <w:r>
        <w:rPr>
          <w:rFonts w:ascii="Arial" w:cs="Arial" w:eastAsia="Arial" w:hAnsi="Arial"/>
          <w:sz w:val="14"/>
          <w:szCs w:val="14"/>
          <w:color w:val="auto"/>
        </w:rPr>
        <w:t xml:space="preserve"> </w:t>
      </w:r>
      <w:r>
        <w:rPr>
          <w:rFonts w:ascii="Arial" w:cs="Arial" w:eastAsia="Arial" w:hAnsi="Arial"/>
          <w:sz w:val="14"/>
          <w:szCs w:val="14"/>
          <w:color w:val="333333"/>
        </w:rPr>
        <w:t>two years prior to Executive’s separation from the Company</w:t>
      </w:r>
      <w:r>
        <w:rPr>
          <w:rFonts w:ascii="Arial" w:cs="Arial" w:eastAsia="Arial" w:hAnsi="Arial"/>
          <w:sz w:val="14"/>
          <w:szCs w:val="14"/>
          <w:color w:val="000000"/>
        </w:rPr>
        <w:t>; provided, however, that Executive may own any securities of any corporation which is engaged in such business and is publicly</w:t>
      </w:r>
      <w:r>
        <w:rPr>
          <w:rFonts w:ascii="Arial" w:cs="Arial" w:eastAsia="Arial" w:hAnsi="Arial"/>
          <w:sz w:val="14"/>
          <w:szCs w:val="14"/>
          <w:color w:val="333333"/>
        </w:rPr>
        <w:t xml:space="preserve"> </w:t>
      </w:r>
      <w:r>
        <w:rPr>
          <w:rFonts w:ascii="Arial" w:cs="Arial" w:eastAsia="Arial" w:hAnsi="Arial"/>
          <w:sz w:val="14"/>
          <w:szCs w:val="14"/>
          <w:color w:val="000000"/>
        </w:rPr>
        <w:t>owned and traded but in an amount not to exceed at any one time one percent (1%) of any class of stock or securities of such corporation. In addition, Executive shall not, during the Non-Competitive Period, directly or indirectly: (1)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(2)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39" w:lineRule="exact"/>
        <w:rPr>
          <w:sz w:val="20"/>
          <w:szCs w:val="20"/>
          <w:color w:val="auto"/>
        </w:rPr>
      </w:pPr>
    </w:p>
    <w:p>
      <w:pPr>
        <w:ind w:right="20" w:firstLine="862"/>
        <w:spacing w:after="0" w:line="254" w:lineRule="auto"/>
        <w:tabs>
          <w:tab w:leader="none" w:pos="1473" w:val="left"/>
        </w:tabs>
        <w:numPr>
          <w:ilvl w:val="0"/>
          <w:numId w:val="34"/>
        </w:numPr>
        <w:rPr>
          <w:rFonts w:ascii="Arial" w:cs="Arial" w:eastAsia="Arial" w:hAnsi="Arial"/>
          <w:sz w:val="14"/>
          <w:szCs w:val="14"/>
          <w:color w:val="auto"/>
        </w:rPr>
      </w:pPr>
      <w:r>
        <w:rPr>
          <w:rFonts w:ascii="Arial" w:cs="Arial" w:eastAsia="Arial" w:hAnsi="Arial"/>
          <w:sz w:val="14"/>
          <w:szCs w:val="14"/>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33" w:lineRule="exact"/>
        <w:rPr>
          <w:rFonts w:ascii="Arial" w:cs="Arial" w:eastAsia="Arial" w:hAnsi="Arial"/>
          <w:sz w:val="14"/>
          <w:szCs w:val="14"/>
          <w:color w:val="auto"/>
        </w:rPr>
      </w:pPr>
    </w:p>
    <w:p>
      <w:pPr>
        <w:jc w:val="both"/>
        <w:ind w:right="80" w:firstLine="862"/>
        <w:spacing w:after="0" w:line="279" w:lineRule="auto"/>
        <w:tabs>
          <w:tab w:leader="none" w:pos="1465" w:val="left"/>
        </w:tabs>
        <w:numPr>
          <w:ilvl w:val="0"/>
          <w:numId w:val="34"/>
        </w:numPr>
        <w:rPr>
          <w:rFonts w:ascii="Arial" w:cs="Arial" w:eastAsia="Arial" w:hAnsi="Arial"/>
          <w:sz w:val="13"/>
          <w:szCs w:val="13"/>
          <w:color w:val="auto"/>
        </w:rPr>
      </w:pPr>
      <w:r>
        <w:rPr>
          <w:rFonts w:ascii="Arial" w:cs="Arial" w:eastAsia="Arial" w:hAnsi="Arial"/>
          <w:sz w:val="13"/>
          <w:szCs w:val="13"/>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9" w:lineRule="exact"/>
        <w:rPr>
          <w:rFonts w:ascii="Arial" w:cs="Arial" w:eastAsia="Arial" w:hAnsi="Arial"/>
          <w:sz w:val="13"/>
          <w:szCs w:val="13"/>
          <w:color w:val="auto"/>
        </w:rPr>
      </w:pPr>
    </w:p>
    <w:p>
      <w:pPr>
        <w:jc w:val="both"/>
        <w:ind w:right="40" w:firstLine="862"/>
        <w:spacing w:after="0" w:line="259" w:lineRule="auto"/>
        <w:tabs>
          <w:tab w:leader="none" w:pos="1473"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31" w:lineRule="exact"/>
        <w:rPr>
          <w:sz w:val="20"/>
          <w:szCs w:val="20"/>
          <w:color w:val="auto"/>
        </w:rPr>
      </w:pPr>
    </w:p>
    <w:p>
      <w:pPr>
        <w:ind w:left="1480" w:hanging="618"/>
        <w:spacing w:after="0"/>
        <w:tabs>
          <w:tab w:leader="none" w:pos="1480" w:val="left"/>
        </w:tabs>
        <w:numPr>
          <w:ilvl w:val="0"/>
          <w:numId w:val="35"/>
        </w:numPr>
        <w:rPr>
          <w:rFonts w:ascii="Arial" w:cs="Arial" w:eastAsia="Arial" w:hAnsi="Arial"/>
          <w:sz w:val="14"/>
          <w:szCs w:val="14"/>
          <w:color w:val="auto"/>
        </w:rPr>
      </w:pPr>
      <w:r>
        <w:rPr>
          <w:rFonts w:ascii="Arial" w:cs="Arial" w:eastAsia="Arial" w:hAnsi="Arial"/>
          <w:sz w:val="14"/>
          <w:szCs w:val="14"/>
          <w:u w:val="single" w:color="auto"/>
          <w:color w:val="auto"/>
        </w:rPr>
        <w:t>INVENTIONS AND DISCOVERIES</w:t>
      </w:r>
    </w:p>
    <w:p>
      <w:pPr>
        <w:spacing w:after="0" w:line="165" w:lineRule="exact"/>
        <w:rPr>
          <w:sz w:val="20"/>
          <w:szCs w:val="20"/>
          <w:color w:val="auto"/>
        </w:rPr>
      </w:pPr>
    </w:p>
    <w:p>
      <w:pPr>
        <w:ind w:firstLine="862"/>
        <w:spacing w:after="0" w:line="254" w:lineRule="auto"/>
        <w:tabs>
          <w:tab w:leader="none" w:pos="1465" w:val="left"/>
        </w:tabs>
        <w:numPr>
          <w:ilvl w:val="0"/>
          <w:numId w:val="36"/>
        </w:numPr>
        <w:rPr>
          <w:rFonts w:ascii="Arial" w:cs="Arial" w:eastAsia="Arial" w:hAnsi="Arial"/>
          <w:sz w:val="14"/>
          <w:szCs w:val="14"/>
          <w:color w:val="auto"/>
        </w:rPr>
      </w:pPr>
      <w:r>
        <w:rPr>
          <w:rFonts w:ascii="Arial" w:cs="Arial" w:eastAsia="Arial" w:hAnsi="Arial"/>
          <w:sz w:val="14"/>
          <w:szCs w:val="14"/>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her employment with, or rendering of advisory or consulting services to, the Company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1423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ind w:right="640"/>
        <w:spacing w:after="0" w:line="275" w:lineRule="auto"/>
        <w:rPr>
          <w:sz w:val="20"/>
          <w:szCs w:val="20"/>
          <w:color w:val="auto"/>
        </w:rPr>
      </w:pPr>
      <w:r>
        <w:rPr>
          <w:rFonts w:ascii="Arial" w:cs="Arial" w:eastAsia="Arial" w:hAnsi="Arial"/>
          <w:sz w:val="14"/>
          <w:szCs w:val="14"/>
          <w:color w:val="auto"/>
        </w:rPr>
        <w:t>or any of its subsidiaries and affiliates, solely or jointly with others, in or relating to any activities of the Company or its subsidiaries and affiliates known to her as a consequence of her employment or the rendering of advisory and consulting services hereunder (collectively the "Subject Matter").</w:t>
      </w:r>
    </w:p>
    <w:p>
      <w:pPr>
        <w:spacing w:after="0" w:line="120" w:lineRule="exact"/>
        <w:rPr>
          <w:sz w:val="20"/>
          <w:szCs w:val="20"/>
          <w:color w:val="auto"/>
        </w:rPr>
      </w:pPr>
    </w:p>
    <w:p>
      <w:pPr>
        <w:ind w:right="60" w:firstLine="862"/>
        <w:spacing w:after="0" w:line="248" w:lineRule="auto"/>
        <w:tabs>
          <w:tab w:leader="none" w:pos="1473" w:val="left"/>
        </w:tabs>
        <w:numPr>
          <w:ilvl w:val="0"/>
          <w:numId w:val="37"/>
        </w:numPr>
        <w:rPr>
          <w:rFonts w:ascii="Arial" w:cs="Arial" w:eastAsia="Arial" w:hAnsi="Arial"/>
          <w:sz w:val="14"/>
          <w:szCs w:val="14"/>
          <w:color w:val="auto"/>
        </w:rPr>
      </w:pPr>
      <w:r>
        <w:rPr>
          <w:rFonts w:ascii="Arial" w:cs="Arial" w:eastAsia="Arial" w:hAnsi="Arial"/>
          <w:sz w:val="14"/>
          <w:szCs w:val="14"/>
          <w:color w:val="auto"/>
        </w:rPr>
        <w:t>Executive hereby assigns and transfers, and agrees to assign and transfer, to the Company, all her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40" w:lineRule="exact"/>
        <w:rPr>
          <w:sz w:val="20"/>
          <w:szCs w:val="20"/>
          <w:color w:val="auto"/>
        </w:rPr>
      </w:pPr>
    </w:p>
    <w:p>
      <w:pPr>
        <w:ind w:left="1480" w:hanging="618"/>
        <w:spacing w:after="0"/>
        <w:tabs>
          <w:tab w:leader="none" w:pos="1480" w:val="left"/>
        </w:tabs>
        <w:numPr>
          <w:ilvl w:val="0"/>
          <w:numId w:val="38"/>
        </w:numPr>
        <w:rPr>
          <w:rFonts w:ascii="Arial" w:cs="Arial" w:eastAsia="Arial" w:hAnsi="Arial"/>
          <w:sz w:val="14"/>
          <w:szCs w:val="14"/>
          <w:color w:val="auto"/>
        </w:rPr>
      </w:pPr>
      <w:r>
        <w:rPr>
          <w:rFonts w:ascii="Arial" w:cs="Arial" w:eastAsia="Arial" w:hAnsi="Arial"/>
          <w:sz w:val="14"/>
          <w:szCs w:val="14"/>
          <w:u w:val="single" w:color="auto"/>
          <w:color w:val="auto"/>
        </w:rPr>
        <w:t>NON-DISCLOSURE OF CONFIDENTIAL INFORMATION</w:t>
      </w:r>
    </w:p>
    <w:p>
      <w:pPr>
        <w:spacing w:after="0" w:line="165" w:lineRule="exact"/>
        <w:rPr>
          <w:sz w:val="20"/>
          <w:szCs w:val="20"/>
          <w:color w:val="auto"/>
        </w:rPr>
      </w:pPr>
    </w:p>
    <w:p>
      <w:pPr>
        <w:ind w:firstLine="862"/>
        <w:spacing w:after="0" w:line="245" w:lineRule="auto"/>
        <w:tabs>
          <w:tab w:leader="none" w:pos="1465" w:val="left"/>
        </w:tabs>
        <w:numPr>
          <w:ilvl w:val="0"/>
          <w:numId w:val="39"/>
        </w:numPr>
        <w:rPr>
          <w:rFonts w:ascii="Arial" w:cs="Arial" w:eastAsia="Arial" w:hAnsi="Arial"/>
          <w:sz w:val="14"/>
          <w:szCs w:val="14"/>
          <w:color w:val="auto"/>
        </w:rPr>
      </w:pPr>
      <w:r>
        <w:rPr>
          <w:rFonts w:ascii="Arial" w:cs="Arial" w:eastAsia="Arial" w:hAnsi="Arial"/>
          <w:sz w:val="14"/>
          <w:szCs w:val="14"/>
          <w:color w:val="auto"/>
        </w:rPr>
        <w:t>Executive acknowledges that the Company possesses certain confidential and propriety information that has been or may be revealed to,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employee compensation and benefits information,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1423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8" w:name="page39"/>
    <w:bookmarkEnd w:id="38"/>
    <w:p>
      <w:pPr>
        <w:ind w:right="200" w:firstLine="862"/>
        <w:spacing w:after="0" w:line="253" w:lineRule="auto"/>
        <w:tabs>
          <w:tab w:leader="none" w:pos="1473" w:val="left"/>
        </w:tabs>
        <w:numPr>
          <w:ilvl w:val="0"/>
          <w:numId w:val="40"/>
        </w:numPr>
        <w:rPr>
          <w:rFonts w:ascii="Arial" w:cs="Arial" w:eastAsia="Arial" w:hAnsi="Arial"/>
          <w:sz w:val="14"/>
          <w:szCs w:val="14"/>
          <w:color w:val="auto"/>
        </w:rPr>
      </w:pPr>
      <w:r>
        <w:rPr>
          <w:rFonts w:ascii="Arial" w:cs="Arial" w:eastAsia="Arial" w:hAnsi="Arial"/>
          <w:sz w:val="14"/>
          <w:szCs w:val="14"/>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36" w:lineRule="exact"/>
        <w:rPr>
          <w:sz w:val="20"/>
          <w:szCs w:val="20"/>
          <w:color w:val="auto"/>
        </w:rPr>
      </w:pPr>
    </w:p>
    <w:p>
      <w:pPr>
        <w:ind w:right="20" w:firstLine="435"/>
        <w:spacing w:after="0" w:line="254" w:lineRule="auto"/>
        <w:rPr>
          <w:sz w:val="20"/>
          <w:szCs w:val="20"/>
          <w:color w:val="auto"/>
        </w:rPr>
      </w:pPr>
      <w:r>
        <w:rPr>
          <w:rFonts w:ascii="Arial" w:cs="Arial" w:eastAsia="Arial" w:hAnsi="Arial"/>
          <w:sz w:val="14"/>
          <w:szCs w:val="14"/>
          <w:color w:val="auto"/>
        </w:rPr>
        <w:t>(c)In accordance with the Federal Defend Trade Secrets Act, Executive cannot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Notwithstanding this immunity from liability, Executive may be held liable if Executive unlawfully accesses trade secrets by unauthorized means.</w:t>
      </w:r>
    </w:p>
    <w:p>
      <w:pPr>
        <w:spacing w:after="0" w:line="134" w:lineRule="exact"/>
        <w:rPr>
          <w:sz w:val="20"/>
          <w:szCs w:val="20"/>
          <w:color w:val="auto"/>
        </w:rPr>
      </w:pPr>
    </w:p>
    <w:p>
      <w:pPr>
        <w:ind w:left="1480" w:hanging="618"/>
        <w:spacing w:after="0"/>
        <w:tabs>
          <w:tab w:leader="none" w:pos="1480" w:val="left"/>
        </w:tabs>
        <w:numPr>
          <w:ilvl w:val="0"/>
          <w:numId w:val="41"/>
        </w:numPr>
        <w:rPr>
          <w:rFonts w:ascii="Arial" w:cs="Arial" w:eastAsia="Arial" w:hAnsi="Arial"/>
          <w:sz w:val="14"/>
          <w:szCs w:val="14"/>
          <w:color w:val="auto"/>
        </w:rPr>
      </w:pPr>
      <w:r>
        <w:rPr>
          <w:rFonts w:ascii="Arial" w:cs="Arial" w:eastAsia="Arial" w:hAnsi="Arial"/>
          <w:sz w:val="14"/>
          <w:szCs w:val="14"/>
          <w:u w:val="single" w:color="auto"/>
          <w:color w:val="auto"/>
        </w:rPr>
        <w:t>SPECIFIC PERFORMANCE</w:t>
      </w:r>
    </w:p>
    <w:p>
      <w:pPr>
        <w:spacing w:after="0" w:line="165" w:lineRule="exact"/>
        <w:rPr>
          <w:sz w:val="20"/>
          <w:szCs w:val="20"/>
          <w:color w:val="auto"/>
        </w:rPr>
      </w:pPr>
    </w:p>
    <w:p>
      <w:pPr>
        <w:ind w:firstLine="869"/>
        <w:spacing w:after="0" w:line="270" w:lineRule="auto"/>
        <w:rPr>
          <w:sz w:val="20"/>
          <w:szCs w:val="20"/>
          <w:color w:val="auto"/>
        </w:rPr>
      </w:pPr>
      <w:r>
        <w:rPr>
          <w:rFonts w:ascii="Arial" w:cs="Arial" w:eastAsia="Arial" w:hAnsi="Arial"/>
          <w:sz w:val="13"/>
          <w:szCs w:val="13"/>
          <w:color w:val="auto"/>
        </w:rPr>
        <w:t>Executive agrees that if she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her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27" w:lineRule="exact"/>
        <w:rPr>
          <w:sz w:val="20"/>
          <w:szCs w:val="20"/>
          <w:color w:val="auto"/>
        </w:rPr>
      </w:pPr>
    </w:p>
    <w:p>
      <w:pPr>
        <w:ind w:left="1480" w:hanging="618"/>
        <w:spacing w:after="0"/>
        <w:tabs>
          <w:tab w:leader="none" w:pos="1480" w:val="left"/>
        </w:tabs>
        <w:numPr>
          <w:ilvl w:val="0"/>
          <w:numId w:val="42"/>
        </w:numPr>
        <w:rPr>
          <w:rFonts w:ascii="Arial" w:cs="Arial" w:eastAsia="Arial" w:hAnsi="Arial"/>
          <w:sz w:val="14"/>
          <w:szCs w:val="14"/>
          <w:color w:val="auto"/>
        </w:rPr>
      </w:pPr>
      <w:r>
        <w:rPr>
          <w:rFonts w:ascii="Arial" w:cs="Arial" w:eastAsia="Arial" w:hAnsi="Arial"/>
          <w:sz w:val="14"/>
          <w:szCs w:val="14"/>
          <w:u w:val="single" w:color="auto"/>
          <w:color w:val="auto"/>
        </w:rPr>
        <w:t>AMENDMENT OR ALTERATION</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No amendment or alteration of the terms of this Agreement shall be valid unless made in writing and signed by both of the parties hereto.</w:t>
      </w:r>
    </w:p>
    <w:p>
      <w:pPr>
        <w:spacing w:after="0" w:line="165" w:lineRule="exact"/>
        <w:rPr>
          <w:sz w:val="20"/>
          <w:szCs w:val="20"/>
          <w:color w:val="auto"/>
        </w:rPr>
      </w:pPr>
    </w:p>
    <w:p>
      <w:pPr>
        <w:ind w:left="1480" w:hanging="618"/>
        <w:spacing w:after="0"/>
        <w:tabs>
          <w:tab w:leader="none" w:pos="1480" w:val="left"/>
        </w:tabs>
        <w:numPr>
          <w:ilvl w:val="0"/>
          <w:numId w:val="43"/>
        </w:numPr>
        <w:rPr>
          <w:rFonts w:ascii="Arial" w:cs="Arial" w:eastAsia="Arial" w:hAnsi="Arial"/>
          <w:sz w:val="14"/>
          <w:szCs w:val="14"/>
          <w:color w:val="auto"/>
        </w:rPr>
      </w:pPr>
      <w:r>
        <w:rPr>
          <w:rFonts w:ascii="Arial" w:cs="Arial" w:eastAsia="Arial" w:hAnsi="Arial"/>
          <w:sz w:val="14"/>
          <w:szCs w:val="14"/>
          <w:u w:val="single" w:color="auto"/>
          <w:color w:val="auto"/>
        </w:rPr>
        <w:t>GOVERNING LAW</w:t>
      </w:r>
    </w:p>
    <w:p>
      <w:pPr>
        <w:spacing w:after="0" w:line="165" w:lineRule="exact"/>
        <w:rPr>
          <w:sz w:val="20"/>
          <w:szCs w:val="20"/>
          <w:color w:val="auto"/>
        </w:rPr>
      </w:pPr>
    </w:p>
    <w:p>
      <w:pPr>
        <w:ind w:right="40" w:firstLine="869"/>
        <w:spacing w:after="0" w:line="276" w:lineRule="auto"/>
        <w:rPr>
          <w:sz w:val="20"/>
          <w:szCs w:val="20"/>
          <w:color w:val="auto"/>
        </w:rPr>
      </w:pPr>
      <w:r>
        <w:rPr>
          <w:rFonts w:ascii="Arial" w:cs="Arial" w:eastAsia="Arial" w:hAnsi="Arial"/>
          <w:sz w:val="14"/>
          <w:szCs w:val="14"/>
          <w:color w:val="auto"/>
        </w:rPr>
        <w:t>This Agreement shall be governed by, and construed and enforced in accordance with the substantive laws of the Commonwealth of Massachusetts, without regard to its principles of conflicts of laws.</w:t>
      </w:r>
    </w:p>
    <w:p>
      <w:pPr>
        <w:spacing w:after="0" w:line="119" w:lineRule="exact"/>
        <w:rPr>
          <w:sz w:val="20"/>
          <w:szCs w:val="20"/>
          <w:color w:val="auto"/>
        </w:rPr>
      </w:pPr>
    </w:p>
    <w:p>
      <w:pPr>
        <w:ind w:left="1480" w:hanging="618"/>
        <w:spacing w:after="0"/>
        <w:tabs>
          <w:tab w:leader="none" w:pos="1480" w:val="left"/>
        </w:tabs>
        <w:numPr>
          <w:ilvl w:val="0"/>
          <w:numId w:val="44"/>
        </w:numPr>
        <w:rPr>
          <w:rFonts w:ascii="Arial" w:cs="Arial" w:eastAsia="Arial" w:hAnsi="Arial"/>
          <w:sz w:val="14"/>
          <w:szCs w:val="14"/>
          <w:color w:val="auto"/>
        </w:rPr>
      </w:pPr>
      <w:r>
        <w:rPr>
          <w:rFonts w:ascii="Arial" w:cs="Arial" w:eastAsia="Arial" w:hAnsi="Arial"/>
          <w:sz w:val="14"/>
          <w:szCs w:val="14"/>
          <w:u w:val="single" w:color="auto"/>
          <w:color w:val="auto"/>
        </w:rPr>
        <w:t>SEVERABILITY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1423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9" w:name="page40"/>
    <w:bookmarkEnd w:id="39"/>
    <w:p>
      <w:pPr>
        <w:ind w:right="200" w:firstLine="869"/>
        <w:spacing w:after="0" w:line="275" w:lineRule="auto"/>
        <w:rPr>
          <w:sz w:val="20"/>
          <w:szCs w:val="20"/>
          <w:color w:val="auto"/>
        </w:rPr>
      </w:pPr>
      <w:r>
        <w:rPr>
          <w:rFonts w:ascii="Arial" w:cs="Arial" w:eastAsia="Arial" w:hAnsi="Arial"/>
          <w:sz w:val="14"/>
          <w:szCs w:val="14"/>
          <w:color w:val="auto"/>
        </w:rPr>
        <w:t>The holding of any provision of this Agreement to be invalid or unenforceable by a court of competent jurisdiction shall not affect any other provision of this Agreement, which shall remain in full force and effect.</w:t>
      </w:r>
    </w:p>
    <w:p>
      <w:pPr>
        <w:spacing w:after="0" w:line="120" w:lineRule="exact"/>
        <w:rPr>
          <w:sz w:val="20"/>
          <w:szCs w:val="20"/>
          <w:color w:val="auto"/>
        </w:rPr>
      </w:pPr>
    </w:p>
    <w:p>
      <w:pPr>
        <w:ind w:left="1480" w:hanging="618"/>
        <w:spacing w:after="0"/>
        <w:tabs>
          <w:tab w:leader="none" w:pos="1480" w:val="left"/>
        </w:tabs>
        <w:numPr>
          <w:ilvl w:val="0"/>
          <w:numId w:val="45"/>
        </w:numPr>
        <w:rPr>
          <w:rFonts w:ascii="Arial" w:cs="Arial" w:eastAsia="Arial" w:hAnsi="Arial"/>
          <w:sz w:val="14"/>
          <w:szCs w:val="14"/>
          <w:color w:val="auto"/>
        </w:rPr>
      </w:pPr>
      <w:r>
        <w:rPr>
          <w:rFonts w:ascii="Arial" w:cs="Arial" w:eastAsia="Arial" w:hAnsi="Arial"/>
          <w:sz w:val="14"/>
          <w:szCs w:val="14"/>
          <w:u w:val="single" w:color="auto"/>
          <w:color w:val="auto"/>
        </w:rPr>
        <w:t>NOTICES</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Any notices required or permitted to be given hereunder shall be sufficient if in</w:t>
      </w:r>
    </w:p>
    <w:p>
      <w:pPr>
        <w:spacing w:after="0" w:line="14" w:lineRule="exact"/>
        <w:rPr>
          <w:sz w:val="20"/>
          <w:szCs w:val="20"/>
          <w:color w:val="auto"/>
        </w:rPr>
      </w:pPr>
    </w:p>
    <w:p>
      <w:pPr>
        <w:ind w:right="540"/>
        <w:spacing w:after="0" w:line="258" w:lineRule="auto"/>
        <w:rPr>
          <w:sz w:val="20"/>
          <w:szCs w:val="20"/>
          <w:color w:val="auto"/>
        </w:rPr>
      </w:pPr>
      <w:r>
        <w:rPr>
          <w:rFonts w:ascii="Arial" w:cs="Arial" w:eastAsia="Arial" w:hAnsi="Arial"/>
          <w:sz w:val="14"/>
          <w:szCs w:val="14"/>
          <w:color w:val="auto"/>
        </w:rPr>
        <w:t>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131" w:lineRule="exact"/>
        <w:rPr>
          <w:sz w:val="20"/>
          <w:szCs w:val="20"/>
          <w:color w:val="auto"/>
        </w:rPr>
      </w:pPr>
    </w:p>
    <w:p>
      <w:pPr>
        <w:ind w:left="1480" w:hanging="618"/>
        <w:spacing w:after="0"/>
        <w:tabs>
          <w:tab w:leader="none" w:pos="1480" w:val="left"/>
        </w:tabs>
        <w:numPr>
          <w:ilvl w:val="0"/>
          <w:numId w:val="46"/>
        </w:numPr>
        <w:rPr>
          <w:rFonts w:ascii="Arial" w:cs="Arial" w:eastAsia="Arial" w:hAnsi="Arial"/>
          <w:sz w:val="14"/>
          <w:szCs w:val="14"/>
          <w:color w:val="auto"/>
        </w:rPr>
      </w:pPr>
      <w:r>
        <w:rPr>
          <w:rFonts w:ascii="Arial" w:cs="Arial" w:eastAsia="Arial" w:hAnsi="Arial"/>
          <w:sz w:val="14"/>
          <w:szCs w:val="14"/>
          <w:u w:val="single" w:color="auto"/>
          <w:color w:val="auto"/>
        </w:rPr>
        <w:t>WAIVER OF BREACH</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It is agreed that a waiver by either party of a breach of any provision of this Agreement shall not operate, or be construed as a waiver of any subsequent breach by that same party.</w:t>
      </w:r>
    </w:p>
    <w:p>
      <w:pPr>
        <w:spacing w:after="0" w:line="177" w:lineRule="exact"/>
        <w:rPr>
          <w:sz w:val="20"/>
          <w:szCs w:val="20"/>
          <w:color w:val="auto"/>
        </w:rPr>
      </w:pPr>
    </w:p>
    <w:p>
      <w:pPr>
        <w:ind w:left="1480" w:hanging="618"/>
        <w:spacing w:after="0"/>
        <w:tabs>
          <w:tab w:leader="none" w:pos="1480" w:val="left"/>
        </w:tabs>
        <w:numPr>
          <w:ilvl w:val="0"/>
          <w:numId w:val="47"/>
        </w:numPr>
        <w:rPr>
          <w:rFonts w:ascii="Arial" w:cs="Arial" w:eastAsia="Arial" w:hAnsi="Arial"/>
          <w:sz w:val="14"/>
          <w:szCs w:val="14"/>
          <w:color w:val="auto"/>
        </w:rPr>
      </w:pPr>
      <w:r>
        <w:rPr>
          <w:rFonts w:ascii="Arial" w:cs="Arial" w:eastAsia="Arial" w:hAnsi="Arial"/>
          <w:sz w:val="14"/>
          <w:szCs w:val="14"/>
          <w:u w:val="single" w:color="auto"/>
          <w:color w:val="auto"/>
        </w:rPr>
        <w:t>ENTIRE AGREEMENT AND BINDING EFFECT</w:t>
      </w:r>
    </w:p>
    <w:p>
      <w:pPr>
        <w:spacing w:after="0" w:line="165" w:lineRule="exact"/>
        <w:rPr>
          <w:sz w:val="20"/>
          <w:szCs w:val="20"/>
          <w:color w:val="auto"/>
        </w:rPr>
      </w:pPr>
    </w:p>
    <w:p>
      <w:pPr>
        <w:ind w:firstLine="869"/>
        <w:spacing w:after="0" w:line="248" w:lineRule="auto"/>
        <w:rPr>
          <w:sz w:val="20"/>
          <w:szCs w:val="20"/>
          <w:color w:val="auto"/>
        </w:rPr>
      </w:pPr>
      <w:r>
        <w:rPr>
          <w:rFonts w:ascii="Arial" w:cs="Arial" w:eastAsia="Arial" w:hAnsi="Arial"/>
          <w:sz w:val="14"/>
          <w:szCs w:val="14"/>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her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40" w:lineRule="exact"/>
        <w:rPr>
          <w:sz w:val="20"/>
          <w:szCs w:val="20"/>
          <w:color w:val="auto"/>
        </w:rPr>
      </w:pPr>
    </w:p>
    <w:p>
      <w:pPr>
        <w:ind w:left="1480" w:hanging="618"/>
        <w:spacing w:after="0"/>
        <w:tabs>
          <w:tab w:leader="none" w:pos="1480"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SURVIVAL</w:t>
      </w:r>
    </w:p>
    <w:p>
      <w:pPr>
        <w:spacing w:after="0" w:line="165" w:lineRule="exact"/>
        <w:rPr>
          <w:sz w:val="20"/>
          <w:szCs w:val="20"/>
          <w:color w:val="auto"/>
        </w:rPr>
      </w:pPr>
    </w:p>
    <w:p>
      <w:pPr>
        <w:ind w:right="360" w:firstLine="869"/>
        <w:spacing w:after="0" w:line="276" w:lineRule="auto"/>
        <w:rPr>
          <w:sz w:val="20"/>
          <w:szCs w:val="20"/>
          <w:color w:val="auto"/>
        </w:rPr>
      </w:pPr>
      <w:r>
        <w:rPr>
          <w:rFonts w:ascii="Arial" w:cs="Arial" w:eastAsia="Arial" w:hAnsi="Arial"/>
          <w:sz w:val="14"/>
          <w:szCs w:val="14"/>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119" w:lineRule="exact"/>
        <w:rPr>
          <w:sz w:val="20"/>
          <w:szCs w:val="20"/>
          <w:color w:val="auto"/>
        </w:rPr>
      </w:pPr>
    </w:p>
    <w:p>
      <w:pPr>
        <w:ind w:left="1480" w:hanging="618"/>
        <w:spacing w:after="0"/>
        <w:tabs>
          <w:tab w:leader="none" w:pos="1480" w:val="left"/>
        </w:tabs>
        <w:numPr>
          <w:ilvl w:val="0"/>
          <w:numId w:val="49"/>
        </w:numPr>
        <w:rPr>
          <w:rFonts w:ascii="Arial" w:cs="Arial" w:eastAsia="Arial" w:hAnsi="Arial"/>
          <w:sz w:val="14"/>
          <w:szCs w:val="14"/>
          <w:color w:val="auto"/>
        </w:rPr>
      </w:pPr>
      <w:r>
        <w:rPr>
          <w:rFonts w:ascii="Arial" w:cs="Arial" w:eastAsia="Arial" w:hAnsi="Arial"/>
          <w:sz w:val="14"/>
          <w:szCs w:val="14"/>
          <w:u w:val="single" w:color="auto"/>
          <w:color w:val="auto"/>
        </w:rPr>
        <w:t>RESOLUTION OF DISPUTES</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Any and all disputes arising under or in connection with this Agreement shall be resolved in accordance with this paragraph 21 and paragraph 15.</w:t>
      </w:r>
    </w:p>
    <w:p>
      <w:pPr>
        <w:spacing w:after="0" w:line="165" w:lineRule="exact"/>
        <w:rPr>
          <w:sz w:val="20"/>
          <w:szCs w:val="20"/>
          <w:color w:val="auto"/>
        </w:rPr>
      </w:pPr>
    </w:p>
    <w:p>
      <w:pPr>
        <w:ind w:right="440" w:firstLine="869"/>
        <w:spacing w:after="0" w:line="276" w:lineRule="auto"/>
        <w:rPr>
          <w:sz w:val="20"/>
          <w:szCs w:val="20"/>
          <w:color w:val="auto"/>
        </w:rPr>
      </w:pPr>
      <w:r>
        <w:rPr>
          <w:rFonts w:ascii="Arial" w:cs="Arial" w:eastAsia="Arial" w:hAnsi="Arial"/>
          <w:sz w:val="14"/>
          <w:szCs w:val="14"/>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1423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0" w:name="page41"/>
    <w:bookmarkEnd w:id="40"/>
    <w:p>
      <w:pPr>
        <w:ind w:right="460"/>
        <w:spacing w:after="0" w:line="275" w:lineRule="auto"/>
        <w:rPr>
          <w:sz w:val="20"/>
          <w:szCs w:val="20"/>
          <w:color w:val="auto"/>
        </w:rPr>
      </w:pPr>
      <w:r>
        <w:rPr>
          <w:rFonts w:ascii="Arial" w:cs="Arial" w:eastAsia="Arial" w:hAnsi="Arial"/>
          <w:sz w:val="14"/>
          <w:szCs w:val="14"/>
          <w:color w:val="auto"/>
        </w:rPr>
        <w:t>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20" w:lineRule="exact"/>
        <w:rPr>
          <w:sz w:val="20"/>
          <w:szCs w:val="20"/>
          <w:color w:val="auto"/>
        </w:rPr>
      </w:pPr>
    </w:p>
    <w:p>
      <w:pPr>
        <w:ind w:left="1480" w:hanging="618"/>
        <w:spacing w:after="0"/>
        <w:tabs>
          <w:tab w:leader="none" w:pos="1480" w:val="left"/>
        </w:tabs>
        <w:numPr>
          <w:ilvl w:val="0"/>
          <w:numId w:val="50"/>
        </w:numPr>
        <w:rPr>
          <w:rFonts w:ascii="Arial" w:cs="Arial" w:eastAsia="Arial" w:hAnsi="Arial"/>
          <w:sz w:val="14"/>
          <w:szCs w:val="14"/>
          <w:color w:val="auto"/>
        </w:rPr>
      </w:pPr>
      <w:r>
        <w:rPr>
          <w:rFonts w:ascii="Arial" w:cs="Arial" w:eastAsia="Arial" w:hAnsi="Arial"/>
          <w:sz w:val="14"/>
          <w:szCs w:val="14"/>
          <w:u w:val="single" w:color="auto"/>
          <w:color w:val="auto"/>
        </w:rPr>
        <w:t>NON-DISPARAGEMENT</w:t>
      </w:r>
    </w:p>
    <w:p>
      <w:pPr>
        <w:spacing w:after="0" w:line="165" w:lineRule="exact"/>
        <w:rPr>
          <w:sz w:val="20"/>
          <w:szCs w:val="20"/>
          <w:color w:val="auto"/>
        </w:rPr>
      </w:pPr>
    </w:p>
    <w:p>
      <w:pPr>
        <w:ind w:right="320" w:firstLine="869"/>
        <w:spacing w:after="0" w:line="259" w:lineRule="auto"/>
        <w:rPr>
          <w:sz w:val="20"/>
          <w:szCs w:val="20"/>
          <w:color w:val="auto"/>
        </w:rPr>
      </w:pPr>
      <w:r>
        <w:rPr>
          <w:rFonts w:ascii="Arial" w:cs="Arial" w:eastAsia="Arial" w:hAnsi="Arial"/>
          <w:sz w:val="14"/>
          <w:szCs w:val="14"/>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131" w:lineRule="exact"/>
        <w:rPr>
          <w:sz w:val="20"/>
          <w:szCs w:val="20"/>
          <w:color w:val="auto"/>
        </w:rPr>
      </w:pPr>
    </w:p>
    <w:p>
      <w:pPr>
        <w:ind w:left="1480" w:hanging="618"/>
        <w:spacing w:after="0"/>
        <w:tabs>
          <w:tab w:leader="none" w:pos="1480" w:val="left"/>
        </w:tabs>
        <w:numPr>
          <w:ilvl w:val="0"/>
          <w:numId w:val="51"/>
        </w:numPr>
        <w:rPr>
          <w:rFonts w:ascii="Arial" w:cs="Arial" w:eastAsia="Arial" w:hAnsi="Arial"/>
          <w:sz w:val="14"/>
          <w:szCs w:val="14"/>
          <w:color w:val="auto"/>
        </w:rPr>
      </w:pPr>
      <w:r>
        <w:rPr>
          <w:rFonts w:ascii="Arial" w:cs="Arial" w:eastAsia="Arial" w:hAnsi="Arial"/>
          <w:sz w:val="14"/>
          <w:szCs w:val="14"/>
          <w:u w:val="single" w:color="auto"/>
          <w:color w:val="auto"/>
        </w:rPr>
        <w:t>FURTHER ASSURANCES</w:t>
      </w:r>
    </w:p>
    <w:p>
      <w:pPr>
        <w:spacing w:after="0" w:line="165" w:lineRule="exact"/>
        <w:rPr>
          <w:sz w:val="20"/>
          <w:szCs w:val="20"/>
          <w:color w:val="auto"/>
        </w:rPr>
      </w:pPr>
    </w:p>
    <w:p>
      <w:pPr>
        <w:ind w:firstLine="869"/>
        <w:spacing w:after="0" w:line="276" w:lineRule="auto"/>
        <w:rPr>
          <w:sz w:val="20"/>
          <w:szCs w:val="20"/>
          <w:color w:val="auto"/>
        </w:rPr>
      </w:pPr>
      <w:r>
        <w:rPr>
          <w:rFonts w:ascii="Arial" w:cs="Arial" w:eastAsia="Arial" w:hAnsi="Arial"/>
          <w:sz w:val="14"/>
          <w:szCs w:val="14"/>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82" w:lineRule="exact"/>
        <w:rPr>
          <w:sz w:val="20"/>
          <w:szCs w:val="20"/>
          <w:color w:val="auto"/>
        </w:rPr>
      </w:pPr>
    </w:p>
    <w:p>
      <w:pPr>
        <w:ind w:right="7580" w:firstLine="862"/>
        <w:spacing w:after="0" w:line="486" w:lineRule="auto"/>
        <w:tabs>
          <w:tab w:leader="none" w:pos="1485"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 xml:space="preserve">SUBSIDIARIES AND AFFILIATES </w:t>
      </w:r>
      <w:r>
        <w:rPr>
          <w:rFonts w:ascii="Arial" w:cs="Arial" w:eastAsia="Arial" w:hAnsi="Arial"/>
          <w:sz w:val="14"/>
          <w:szCs w:val="14"/>
          <w:color w:val="auto"/>
        </w:rPr>
        <w:t>For purposes of this Agreement:</w:t>
      </w:r>
    </w:p>
    <w:p>
      <w:pPr>
        <w:ind w:right="260" w:firstLine="1296"/>
        <w:spacing w:after="0" w:line="276" w:lineRule="auto"/>
        <w:tabs>
          <w:tab w:leader="none" w:pos="1537" w:val="left"/>
        </w:tabs>
        <w:numPr>
          <w:ilvl w:val="1"/>
          <w:numId w:val="52"/>
        </w:numPr>
        <w:rPr>
          <w:rFonts w:ascii="Arial" w:cs="Arial" w:eastAsia="Arial" w:hAnsi="Arial"/>
          <w:sz w:val="14"/>
          <w:szCs w:val="14"/>
          <w:color w:val="auto"/>
        </w:rPr>
      </w:pPr>
      <w:r>
        <w:rPr>
          <w:rFonts w:ascii="Arial" w:cs="Arial" w:eastAsia="Arial" w:hAnsi="Arial"/>
          <w:sz w:val="14"/>
          <w:szCs w:val="14"/>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19" w:lineRule="exact"/>
        <w:rPr>
          <w:sz w:val="20"/>
          <w:szCs w:val="20"/>
          <w:color w:val="auto"/>
        </w:rPr>
      </w:pPr>
    </w:p>
    <w:p>
      <w:pPr>
        <w:ind w:right="40" w:firstLine="862"/>
        <w:spacing w:after="0" w:line="259" w:lineRule="auto"/>
        <w:tabs>
          <w:tab w:leader="none" w:pos="1074" w:val="left"/>
        </w:tabs>
        <w:numPr>
          <w:ilvl w:val="0"/>
          <w:numId w:val="53"/>
        </w:numPr>
        <w:rPr>
          <w:rFonts w:ascii="Arial" w:cs="Arial" w:eastAsia="Arial" w:hAnsi="Arial"/>
          <w:sz w:val="14"/>
          <w:szCs w:val="14"/>
          <w:color w:val="auto"/>
        </w:rPr>
      </w:pPr>
      <w:r>
        <w:rPr>
          <w:rFonts w:ascii="Arial" w:cs="Arial" w:eastAsia="Arial" w:hAnsi="Arial"/>
          <w:sz w:val="14"/>
          <w:szCs w:val="14"/>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131" w:lineRule="exact"/>
        <w:rPr>
          <w:sz w:val="20"/>
          <w:szCs w:val="20"/>
          <w:color w:val="auto"/>
        </w:rPr>
      </w:pPr>
    </w:p>
    <w:p>
      <w:pPr>
        <w:ind w:left="1520" w:hanging="658"/>
        <w:spacing w:after="0"/>
        <w:tabs>
          <w:tab w:leader="none" w:pos="1520" w:val="left"/>
        </w:tabs>
        <w:numPr>
          <w:ilvl w:val="0"/>
          <w:numId w:val="54"/>
        </w:numPr>
        <w:rPr>
          <w:rFonts w:ascii="Arial" w:cs="Arial" w:eastAsia="Arial" w:hAnsi="Arial"/>
          <w:sz w:val="14"/>
          <w:szCs w:val="14"/>
          <w:color w:val="auto"/>
        </w:rPr>
      </w:pPr>
      <w:r>
        <w:rPr>
          <w:rFonts w:ascii="Arial" w:cs="Arial" w:eastAsia="Arial" w:hAnsi="Arial"/>
          <w:sz w:val="14"/>
          <w:szCs w:val="14"/>
          <w:u w:val="single" w:color="auto"/>
          <w:color w:val="auto"/>
        </w:rPr>
        <w:t>HEADINGS</w:t>
      </w:r>
    </w:p>
    <w:p>
      <w:pPr>
        <w:spacing w:after="0" w:line="165" w:lineRule="exact"/>
        <w:rPr>
          <w:sz w:val="20"/>
          <w:szCs w:val="20"/>
          <w:color w:val="auto"/>
        </w:rPr>
      </w:pPr>
    </w:p>
    <w:p>
      <w:pPr>
        <w:ind w:right="120" w:firstLine="869"/>
        <w:spacing w:after="0" w:line="276" w:lineRule="auto"/>
        <w:rPr>
          <w:sz w:val="20"/>
          <w:szCs w:val="20"/>
          <w:color w:val="auto"/>
        </w:rPr>
      </w:pPr>
      <w:r>
        <w:rPr>
          <w:rFonts w:ascii="Arial" w:cs="Arial" w:eastAsia="Arial" w:hAnsi="Arial"/>
          <w:sz w:val="14"/>
          <w:szCs w:val="14"/>
          <w:color w:val="auto"/>
        </w:rPr>
        <w:t>The paragraph headings appearing in this Agreement are for the purposes of easy reference and shall not be considered a part of this Agreement or in any way modify, amend or affect its provisions.</w:t>
      </w:r>
    </w:p>
    <w:p>
      <w:pPr>
        <w:spacing w:after="0" w:line="119" w:lineRule="exact"/>
        <w:rPr>
          <w:sz w:val="20"/>
          <w:szCs w:val="20"/>
          <w:color w:val="auto"/>
        </w:rPr>
      </w:pPr>
    </w:p>
    <w:p>
      <w:pPr>
        <w:ind w:left="1480" w:hanging="618"/>
        <w:spacing w:after="0"/>
        <w:tabs>
          <w:tab w:leader="none" w:pos="1480" w:val="left"/>
        </w:tabs>
        <w:numPr>
          <w:ilvl w:val="0"/>
          <w:numId w:val="55"/>
        </w:numPr>
        <w:rPr>
          <w:rFonts w:ascii="Arial" w:cs="Arial" w:eastAsia="Arial" w:hAnsi="Arial"/>
          <w:sz w:val="14"/>
          <w:szCs w:val="14"/>
          <w:color w:val="auto"/>
        </w:rPr>
      </w:pPr>
      <w:r>
        <w:rPr>
          <w:rFonts w:ascii="Arial" w:cs="Arial" w:eastAsia="Arial" w:hAnsi="Arial"/>
          <w:sz w:val="14"/>
          <w:szCs w:val="14"/>
          <w:u w:val="single" w:color="auto"/>
          <w:color w:val="auto"/>
        </w:rPr>
        <w:t>COUNTERPARTS</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This Agreement may be executed in one or more counterparts, each of which shall be deemed an original and all of which together shall constitute one and the same agreement.</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1423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220"/>
          </w:cols>
          <w:pgMar w:left="300" w:top="126" w:right="379"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auto"/>
        </w:rPr>
        <w:t>IN WITNESS WHEREOF, the parties hereto have executed this Agreement, under seal, as of the date and year first above written.</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00" w:type="dxa"/>
            <w:vAlign w:val="bottom"/>
            <w:gridSpan w:val="3"/>
          </w:tcPr>
          <w:p>
            <w:pPr>
              <w:spacing w:after="0"/>
              <w:rPr>
                <w:sz w:val="20"/>
                <w:szCs w:val="20"/>
                <w:color w:val="auto"/>
              </w:rPr>
            </w:pPr>
            <w:r>
              <w:rPr>
                <w:rFonts w:ascii="Arial" w:cs="Arial" w:eastAsia="Arial" w:hAnsi="Arial"/>
                <w:sz w:val="14"/>
                <w:szCs w:val="14"/>
                <w:color w:val="auto"/>
              </w:rPr>
              <w:t>DESTINATION XL GROUP, INC.</w:t>
            </w:r>
          </w:p>
        </w:tc>
        <w:tc>
          <w:tcPr>
            <w:tcW w:w="7420" w:type="dxa"/>
            <w:vAlign w:val="bottom"/>
          </w:tcPr>
          <w:p>
            <w:pPr>
              <w:spacing w:after="0"/>
              <w:rPr>
                <w:sz w:val="15"/>
                <w:szCs w:val="15"/>
                <w:color w:val="auto"/>
              </w:rPr>
            </w:pPr>
          </w:p>
        </w:tc>
      </w:tr>
      <w:tr>
        <w:trPr>
          <w:trHeight w:val="293"/>
        </w:trPr>
        <w:tc>
          <w:tcPr>
            <w:tcW w:w="3900" w:type="dxa"/>
            <w:vAlign w:val="bottom"/>
            <w:gridSpan w:val="3"/>
          </w:tcPr>
          <w:p>
            <w:pPr>
              <w:spacing w:after="0"/>
              <w:rPr>
                <w:sz w:val="20"/>
                <w:szCs w:val="20"/>
                <w:color w:val="auto"/>
              </w:rPr>
            </w:pPr>
            <w:r>
              <w:rPr>
                <w:rFonts w:ascii="Arial" w:cs="Arial" w:eastAsia="Arial" w:hAnsi="Arial"/>
                <w:sz w:val="14"/>
                <w:szCs w:val="14"/>
                <w:color w:val="auto"/>
              </w:rPr>
              <w:t>By: /s/ Harvey S. Kanter</w:t>
            </w:r>
          </w:p>
        </w:tc>
        <w:tc>
          <w:tcPr>
            <w:tcW w:w="7420" w:type="dxa"/>
            <w:vAlign w:val="bottom"/>
          </w:tcPr>
          <w:p>
            <w:pPr>
              <w:ind w:left="1740"/>
              <w:spacing w:after="0"/>
              <w:rPr>
                <w:sz w:val="20"/>
                <w:szCs w:val="20"/>
                <w:color w:val="auto"/>
              </w:rPr>
            </w:pPr>
            <w:r>
              <w:rPr>
                <w:rFonts w:ascii="Arial" w:cs="Arial" w:eastAsia="Arial" w:hAnsi="Arial"/>
                <w:sz w:val="14"/>
                <w:szCs w:val="14"/>
                <w:color w:val="auto"/>
              </w:rPr>
              <w:t>Date: February 24, 2021</w:t>
            </w:r>
          </w:p>
        </w:tc>
      </w:tr>
      <w:tr>
        <w:trPr>
          <w:trHeight w:val="20"/>
        </w:trPr>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156"/>
        </w:trPr>
        <w:tc>
          <w:tcPr>
            <w:tcW w:w="3900" w:type="dxa"/>
            <w:vAlign w:val="bottom"/>
            <w:gridSpan w:val="3"/>
          </w:tcPr>
          <w:p>
            <w:pPr>
              <w:spacing w:after="0" w:line="156" w:lineRule="exact"/>
              <w:rPr>
                <w:sz w:val="20"/>
                <w:szCs w:val="20"/>
                <w:color w:val="auto"/>
              </w:rPr>
            </w:pPr>
            <w:r>
              <w:rPr>
                <w:rFonts w:ascii="Arial" w:cs="Arial" w:eastAsia="Arial" w:hAnsi="Arial"/>
                <w:sz w:val="14"/>
                <w:szCs w:val="14"/>
                <w:color w:val="auto"/>
              </w:rPr>
              <w:t>Name: Harvey S. Kanter</w:t>
            </w:r>
          </w:p>
        </w:tc>
        <w:tc>
          <w:tcPr>
            <w:tcW w:w="7420" w:type="dxa"/>
            <w:vAlign w:val="bottom"/>
          </w:tcPr>
          <w:p>
            <w:pPr>
              <w:spacing w:after="0"/>
              <w:rPr>
                <w:sz w:val="13"/>
                <w:szCs w:val="13"/>
                <w:color w:val="auto"/>
              </w:rPr>
            </w:pPr>
          </w:p>
        </w:tc>
      </w:tr>
      <w:tr>
        <w:trPr>
          <w:trHeight w:val="183"/>
        </w:trPr>
        <w:tc>
          <w:tcPr>
            <w:tcW w:w="3900" w:type="dxa"/>
            <w:vAlign w:val="bottom"/>
            <w:gridSpan w:val="3"/>
          </w:tcPr>
          <w:p>
            <w:pPr>
              <w:spacing w:after="0"/>
              <w:rPr>
                <w:sz w:val="20"/>
                <w:szCs w:val="20"/>
                <w:color w:val="auto"/>
              </w:rPr>
            </w:pPr>
            <w:r>
              <w:rPr>
                <w:rFonts w:ascii="Arial" w:cs="Arial" w:eastAsia="Arial" w:hAnsi="Arial"/>
                <w:sz w:val="14"/>
                <w:szCs w:val="14"/>
                <w:color w:val="auto"/>
              </w:rPr>
              <w:t>Its: President, Chief Executive Officer</w:t>
            </w:r>
          </w:p>
        </w:tc>
        <w:tc>
          <w:tcPr>
            <w:tcW w:w="7420" w:type="dxa"/>
            <w:vAlign w:val="bottom"/>
          </w:tcPr>
          <w:p>
            <w:pPr>
              <w:spacing w:after="0"/>
              <w:rPr>
                <w:sz w:val="15"/>
                <w:szCs w:val="15"/>
                <w:color w:val="auto"/>
              </w:rPr>
            </w:pPr>
          </w:p>
        </w:tc>
      </w:tr>
      <w:tr>
        <w:trPr>
          <w:trHeight w:val="293"/>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/s/ Stacey Jones</w:t>
            </w:r>
          </w:p>
        </w:tc>
        <w:tc>
          <w:tcPr>
            <w:tcW w:w="2980" w:type="dxa"/>
            <w:vAlign w:val="bottom"/>
            <w:gridSpan w:val="2"/>
          </w:tcPr>
          <w:p>
            <w:pPr>
              <w:spacing w:after="0"/>
              <w:rPr>
                <w:sz w:val="24"/>
                <w:szCs w:val="24"/>
                <w:color w:val="auto"/>
              </w:rPr>
            </w:pPr>
          </w:p>
        </w:tc>
        <w:tc>
          <w:tcPr>
            <w:tcW w:w="7420" w:type="dxa"/>
            <w:vAlign w:val="bottom"/>
          </w:tcPr>
          <w:p>
            <w:pPr>
              <w:ind w:left="1740"/>
              <w:spacing w:after="0"/>
              <w:rPr>
                <w:sz w:val="20"/>
                <w:szCs w:val="20"/>
                <w:color w:val="auto"/>
              </w:rPr>
            </w:pPr>
            <w:r>
              <w:rPr>
                <w:rFonts w:ascii="Arial" w:cs="Arial" w:eastAsia="Arial" w:hAnsi="Arial"/>
                <w:sz w:val="14"/>
                <w:szCs w:val="14"/>
                <w:color w:val="auto"/>
              </w:rPr>
              <w:t>Date: February 24, 2021</w:t>
            </w:r>
          </w:p>
        </w:tc>
      </w:tr>
      <w:tr>
        <w:trPr>
          <w:trHeight w:val="176"/>
        </w:trPr>
        <w:tc>
          <w:tcPr>
            <w:tcW w:w="3900" w:type="dxa"/>
            <w:vAlign w:val="bottom"/>
            <w:gridSpan w:val="3"/>
          </w:tcPr>
          <w:p>
            <w:pPr>
              <w:spacing w:after="0"/>
              <w:rPr>
                <w:sz w:val="20"/>
                <w:szCs w:val="20"/>
                <w:color w:val="auto"/>
              </w:rPr>
            </w:pPr>
            <w:r>
              <w:rPr>
                <w:rFonts w:ascii="Arial" w:cs="Arial" w:eastAsia="Arial" w:hAnsi="Arial"/>
                <w:sz w:val="14"/>
                <w:szCs w:val="14"/>
                <w:color w:val="auto"/>
              </w:rPr>
              <w:t>Stacey Jones</w:t>
            </w:r>
          </w:p>
        </w:tc>
        <w:tc>
          <w:tcPr>
            <w:tcW w:w="7420" w:type="dxa"/>
            <w:vAlign w:val="bottom"/>
          </w:tcPr>
          <w:p>
            <w:pPr>
              <w:spacing w:after="0"/>
              <w:rPr>
                <w:sz w:val="15"/>
                <w:szCs w:val="15"/>
                <w:color w:val="auto"/>
              </w:rPr>
            </w:pPr>
          </w:p>
        </w:tc>
      </w:tr>
      <w:tr>
        <w:trPr>
          <w:trHeight w:val="773"/>
        </w:trPr>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420" w:type="dxa"/>
            <w:vAlign w:val="bottom"/>
          </w:tcPr>
          <w:p>
            <w:pPr>
              <w:jc w:val="right"/>
              <w:ind w:right="5552"/>
              <w:spacing w:after="0"/>
              <w:rPr>
                <w:sz w:val="20"/>
                <w:szCs w:val="20"/>
                <w:color w:val="auto"/>
              </w:rPr>
            </w:pPr>
            <w:r>
              <w:rPr>
                <w:rFonts w:ascii="Arial" w:cs="Arial" w:eastAsia="Arial" w:hAnsi="Arial"/>
                <w:sz w:val="12"/>
                <w:szCs w:val="12"/>
                <w:color w:val="auto"/>
              </w:rPr>
              <w:t>14</w:t>
            </w:r>
          </w:p>
        </w:tc>
      </w:tr>
      <w:tr>
        <w:trPr>
          <w:trHeight w:val="218"/>
        </w:trPr>
        <w:tc>
          <w:tcPr>
            <w:tcW w:w="9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2480" w:type="dxa"/>
            <w:vAlign w:val="bottom"/>
            <w:tcBorders>
              <w:bottom w:val="single" w:sz="8" w:color="9A9A9A"/>
            </w:tcBorders>
          </w:tcPr>
          <w:p>
            <w:pPr>
              <w:spacing w:after="0"/>
              <w:rPr>
                <w:sz w:val="18"/>
                <w:szCs w:val="18"/>
                <w:color w:val="auto"/>
              </w:rPr>
            </w:pPr>
          </w:p>
        </w:tc>
        <w:tc>
          <w:tcPr>
            <w:tcW w:w="74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288" w:right="27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4"/>
          <w:szCs w:val="14"/>
          <w:b w:val="1"/>
          <w:bCs w:val="1"/>
          <w:color w:val="auto"/>
        </w:rPr>
        <w:t>EXHIBIT A</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FORM OF RELEASE OF CLAIMS</w:t>
      </w:r>
    </w:p>
    <w:p>
      <w:pPr>
        <w:spacing w:after="0" w:line="153" w:lineRule="exact"/>
        <w:rPr>
          <w:sz w:val="20"/>
          <w:szCs w:val="20"/>
          <w:color w:val="auto"/>
        </w:rPr>
      </w:pPr>
    </w:p>
    <w:p>
      <w:pPr>
        <w:ind w:left="4980"/>
        <w:spacing w:after="0"/>
        <w:rPr>
          <w:sz w:val="20"/>
          <w:szCs w:val="20"/>
          <w:color w:val="auto"/>
        </w:rPr>
      </w:pPr>
      <w:r>
        <w:rPr>
          <w:rFonts w:ascii="Arial" w:cs="Arial" w:eastAsia="Arial" w:hAnsi="Arial"/>
          <w:sz w:val="14"/>
          <w:szCs w:val="14"/>
          <w:b w:val="1"/>
          <w:bCs w:val="1"/>
          <w:i w:val="1"/>
          <w:iCs w:val="1"/>
          <w:color w:val="auto"/>
        </w:rPr>
        <w:t>GENERAL RELEASE OF CLAIMS</w:t>
      </w:r>
    </w:p>
    <w:p>
      <w:pPr>
        <w:spacing w:after="0" w:line="292" w:lineRule="exact"/>
        <w:rPr>
          <w:sz w:val="20"/>
          <w:szCs w:val="20"/>
          <w:color w:val="auto"/>
        </w:rPr>
      </w:pPr>
    </w:p>
    <w:p>
      <w:pPr>
        <w:ind w:firstLine="862"/>
        <w:spacing w:after="0" w:line="245" w:lineRule="auto"/>
        <w:tabs>
          <w:tab w:leader="none" w:pos="1847" w:val="left"/>
        </w:tabs>
        <w:numPr>
          <w:ilvl w:val="1"/>
          <w:numId w:val="56"/>
        </w:numPr>
        <w:rPr>
          <w:rFonts w:ascii="Arial" w:cs="Arial" w:eastAsia="Arial" w:hAnsi="Arial"/>
          <w:sz w:val="14"/>
          <w:szCs w:val="14"/>
          <w:color w:val="auto"/>
        </w:rPr>
      </w:pPr>
      <w:r>
        <w:rPr>
          <w:rFonts w:ascii="Arial" w:cs="Arial" w:eastAsia="Arial" w:hAnsi="Arial"/>
          <w:sz w:val="14"/>
          <w:szCs w:val="14"/>
          <w:color w:val="auto"/>
        </w:rPr>
        <w:t>Stacey Jones, (“</w:t>
      </w:r>
      <w:r>
        <w:rPr>
          <w:rFonts w:ascii="Arial" w:cs="Arial" w:eastAsia="Arial" w:hAnsi="Arial"/>
          <w:sz w:val="14"/>
          <w:szCs w:val="14"/>
          <w:u w:val="single" w:color="auto"/>
          <w:color w:val="auto"/>
        </w:rPr>
        <w:t>Executive</w:t>
      </w:r>
      <w:r>
        <w:rPr>
          <w:rFonts w:ascii="Arial" w:cs="Arial" w:eastAsia="Arial" w:hAnsi="Arial"/>
          <w:sz w:val="14"/>
          <w:szCs w:val="14"/>
          <w:color w:val="auto"/>
        </w:rPr>
        <w:t>”), for herself and her family, heirs, executors, administrators, legal representatives and their respective successors and assigns, in exchange for good and valuable consideration to be paid after the date of Executive’s termination as set forth in the Employment Agreement, as amended, to which a form of this release is attached as Exhibit A (the “</w:t>
      </w:r>
      <w:r>
        <w:rPr>
          <w:rFonts w:ascii="Arial" w:cs="Arial" w:eastAsia="Arial" w:hAnsi="Arial"/>
          <w:sz w:val="14"/>
          <w:szCs w:val="14"/>
          <w:u w:val="single" w:color="auto"/>
          <w:color w:val="auto"/>
        </w:rPr>
        <w:t>Employment Agreement</w:t>
      </w:r>
      <w:r>
        <w:rPr>
          <w:rFonts w:ascii="Arial" w:cs="Arial" w:eastAsia="Arial" w:hAnsi="Arial"/>
          <w:sz w:val="14"/>
          <w:szCs w:val="14"/>
          <w:color w:val="auto"/>
        </w:rPr>
        <w:t>”), does hereby release and forever discharge, to the maximum extent permitted by law, CMRG Apparel, LLC (the “</w:t>
      </w:r>
      <w:r>
        <w:rPr>
          <w:rFonts w:ascii="Arial" w:cs="Arial" w:eastAsia="Arial" w:hAnsi="Arial"/>
          <w:sz w:val="14"/>
          <w:szCs w:val="14"/>
          <w:u w:val="single" w:color="auto"/>
          <w:color w:val="auto"/>
        </w:rPr>
        <w:t>Company</w:t>
      </w:r>
      <w:r>
        <w:rPr>
          <w:rFonts w:ascii="Arial" w:cs="Arial" w:eastAsia="Arial" w:hAnsi="Arial"/>
          <w:sz w:val="14"/>
          <w:szCs w:val="14"/>
          <w:color w:val="auto"/>
        </w:rPr>
        <w:t>”), its parent and its parent’s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4"/>
          <w:szCs w:val="14"/>
          <w:u w:val="single" w:color="auto"/>
          <w:color w:val="auto"/>
        </w:rPr>
        <w:t>Released Parties</w:t>
      </w:r>
      <w:r>
        <w:rPr>
          <w:rFonts w:ascii="Arial" w:cs="Arial" w:eastAsia="Arial" w:hAnsi="Arial"/>
          <w:sz w:val="14"/>
          <w:szCs w:val="14"/>
          <w:color w:val="auto"/>
        </w:rPr>
        <w:t xml:space="preserve">”) from any and all actions, causes of action, suits, controversies, claims and demands whatsoever, for or by reason of any matter, cause or thing whatsoever, whether known or unknown including, but not limited to, the Employee Retirement Income Security Act of 1974, 29 U.S.C. §1001 et seq., the Civil Rights Act of 1964, 42 U.S.C. §2000e et seq., COBRA; the Equal Pay Act of 1963, 29 U.S.C. §206(d), the Civil Rights Act of 1991; the Age Discrimination in Employment Act (ADEA); the Americans with Disabilities Act, 42 U.S.C. §12101 et seq., the Family and Medical Leave Act (FMLA); the Civil Rights Act of 1866, 42 U.S.C. §1981 et seq., as amended, the Fair Credit Reporting Act, the Worker Adjustment and Retraining Notification Act, the Genetic Information Nondiscrimination Act of 2008, the Massachusetts Law Against Discrimination, G.L. c. 151B; the Massachusetts Privacy Statute, G.L. c. 214, § 1B, the Massachusetts Wage Payment Statute, G.L. c. 149, §§ 148, 148A, 148B, 149, 150,150A-150C, 151, 152, 152A, </w:t>
      </w:r>
      <w:r>
        <w:rPr>
          <w:rFonts w:ascii="Arial" w:cs="Arial" w:eastAsia="Arial" w:hAnsi="Arial"/>
          <w:sz w:val="14"/>
          <w:szCs w:val="14"/>
          <w:u w:val="single" w:color="auto"/>
          <w:color w:val="auto"/>
        </w:rPr>
        <w:t>et seq</w:t>
      </w:r>
      <w:r>
        <w:rPr>
          <w:rFonts w:ascii="Arial" w:cs="Arial" w:eastAsia="Arial" w:hAnsi="Arial"/>
          <w:sz w:val="14"/>
          <w:szCs w:val="14"/>
          <w:color w:val="auto"/>
        </w:rPr>
        <w:t>.; the Massachusetts Wage and hour laws, G.L. c. 151§1A et seq; the Massachusetts Sexual Harassment Statute, G.L. c. 214 §1C, the Massachusetts Consumer Protection Act, G.L. c. 93A, the Massachusetts Civil Rights Act, G.L. c. 12, § 11, the Massachusetts Equal Rights Act, G.L. c. 93, the Massachusetts Civil Rights Act, G.L. c. 12, § 11; the Massachusetts Equal Rights Act, G.L. c. 93; the Massachusetts AIDS Testing statute, G.L. c. 111, §70F; the Massachusetts Employment Leave for Victims and Family Members of Abuse, G.L. c. 149, §52E, as amended; the Massachusetts Earned Sick Time Law, M.G.L. c. 149, § 148C; the Massachusetts Small Necessities Leave Act; and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w:t>
      </w:r>
    </w:p>
    <w:p>
      <w:pPr>
        <w:spacing w:after="0" w:line="124" w:lineRule="exact"/>
        <w:rPr>
          <w:sz w:val="20"/>
          <w:szCs w:val="20"/>
          <w:color w:val="auto"/>
        </w:rPr>
      </w:pPr>
    </w:p>
    <w:p>
      <w:pPr>
        <w:ind w:right="120"/>
        <w:spacing w:after="0" w:line="251" w:lineRule="auto"/>
        <w:rPr>
          <w:sz w:val="20"/>
          <w:szCs w:val="20"/>
          <w:color w:val="auto"/>
        </w:rPr>
      </w:pPr>
      <w:r>
        <w:rPr>
          <w:rFonts w:ascii="Arial" w:cs="Arial" w:eastAsia="Arial" w:hAnsi="Arial"/>
          <w:sz w:val="14"/>
          <w:szCs w:val="14"/>
          <w:color w:val="auto"/>
        </w:rPr>
        <w:t>Executive acknowledges that Executive is specifically advised to consult with an attorney of Executive’s choosing before signing this General Release of Claims, and through this General Release of Claims advises Executive to consult with her attorney with respect to possible claims, including but not limited to claims under the ADEA, and that Executive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she may have as of the date hereof. Executive further understands that by signing this General Release of Claims she is in fact waiving, releasing and forever giving up any claim under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1423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43" w:name="page44"/>
    <w:bookmarkEnd w:id="43"/>
    <w:p>
      <w:pPr>
        <w:ind w:right="100"/>
        <w:spacing w:after="0" w:line="269" w:lineRule="auto"/>
        <w:rPr>
          <w:sz w:val="20"/>
          <w:szCs w:val="20"/>
          <w:color w:val="auto"/>
        </w:rPr>
      </w:pPr>
      <w:r>
        <w:rPr>
          <w:rFonts w:ascii="Arial" w:cs="Arial" w:eastAsia="Arial" w:hAnsi="Arial"/>
          <w:sz w:val="13"/>
          <w:szCs w:val="13"/>
          <w:color w:val="auto"/>
        </w:rPr>
        <w:t>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the Employment Agreement, or any accrued but unpaid benefits under any employee benefit plan maintained by the Company (ii) any rights or claims that may arise as a result of events occurring after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Executive from filing a charge, cooperating with or participating in any investigation or proceeding before any federal or state Fair Employment Practices Agency, including, without limitation, the Equal Employment Opportunity Commission, except that Executive acknowledges that she will not be able to recover any monetary benefits in connection with any such claim, charge or proceeding.</w:t>
      </w:r>
    </w:p>
    <w:p>
      <w:pPr>
        <w:spacing w:after="0" w:line="108" w:lineRule="exact"/>
        <w:rPr>
          <w:sz w:val="20"/>
          <w:szCs w:val="20"/>
          <w:color w:val="auto"/>
        </w:rPr>
      </w:pPr>
    </w:p>
    <w:p>
      <w:pPr>
        <w:jc w:val="both"/>
        <w:ind w:right="20" w:firstLine="862"/>
        <w:spacing w:after="0" w:line="251" w:lineRule="auto"/>
        <w:tabs>
          <w:tab w:leader="none" w:pos="1847" w:val="left"/>
        </w:tabs>
        <w:numPr>
          <w:ilvl w:val="0"/>
          <w:numId w:val="57"/>
        </w:numPr>
        <w:rPr>
          <w:rFonts w:ascii="Arial" w:cs="Arial" w:eastAsia="Arial" w:hAnsi="Arial"/>
          <w:sz w:val="14"/>
          <w:szCs w:val="14"/>
          <w:color w:val="auto"/>
        </w:rPr>
      </w:pPr>
      <w:r>
        <w:rPr>
          <w:rFonts w:ascii="Arial" w:cs="Arial" w:eastAsia="Arial" w:hAnsi="Arial"/>
          <w:sz w:val="14"/>
          <w:szCs w:val="14"/>
          <w:color w:val="auto"/>
        </w:rPr>
        <w:t>Executive represents that she has not filed against the Released Parties any complaints, charges, or lawsuits arising out of her employment, or any other matter arising on or prior to the date of this General Release of Claims, and covenants and agrees that she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4"/>
          <w:szCs w:val="14"/>
          <w:u w:val="single" w:color="auto"/>
          <w:color w:val="auto"/>
        </w:rPr>
        <w:t>Proceeding</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Executive shall not have relinquished her right to commence a Proceeding to challenge whether Executive knowingly and voluntarily waived her rights under ADEA.</w:t>
      </w:r>
    </w:p>
    <w:p>
      <w:pPr>
        <w:spacing w:after="0" w:line="114" w:lineRule="exact"/>
        <w:rPr>
          <w:rFonts w:ascii="Arial" w:cs="Arial" w:eastAsia="Arial" w:hAnsi="Arial"/>
          <w:sz w:val="14"/>
          <w:szCs w:val="14"/>
          <w:color w:val="auto"/>
        </w:rPr>
      </w:pPr>
    </w:p>
    <w:p>
      <w:pPr>
        <w:ind w:left="1400" w:hanging="538"/>
        <w:spacing w:after="0"/>
        <w:tabs>
          <w:tab w:leader="none" w:pos="1400" w:val="left"/>
        </w:tabs>
        <w:numPr>
          <w:ilvl w:val="0"/>
          <w:numId w:val="57"/>
        </w:numPr>
        <w:rPr>
          <w:rFonts w:ascii="Arial" w:cs="Arial" w:eastAsia="Arial" w:hAnsi="Arial"/>
          <w:sz w:val="14"/>
          <w:szCs w:val="14"/>
          <w:color w:val="auto"/>
        </w:rPr>
      </w:pPr>
      <w:r>
        <w:rPr>
          <w:rFonts w:ascii="Arial" w:cs="Arial" w:eastAsia="Arial" w:hAnsi="Arial"/>
          <w:sz w:val="14"/>
          <w:szCs w:val="14"/>
          <w:b w:val="1"/>
          <w:bCs w:val="1"/>
          <w:u w:val="single" w:color="auto"/>
          <w:color w:val="auto"/>
        </w:rPr>
        <w:t>Non-Competition</w:t>
      </w:r>
      <w:r>
        <w:rPr>
          <w:rFonts w:ascii="Arial" w:cs="Arial" w:eastAsia="Arial" w:hAnsi="Arial"/>
          <w:sz w:val="14"/>
          <w:szCs w:val="14"/>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40" w:type="dxa"/>
            <w:vAlign w:val="bottom"/>
          </w:tcPr>
          <w:p>
            <w:pPr>
              <w:ind w:left="60"/>
              <w:spacing w:after="0"/>
              <w:rPr>
                <w:sz w:val="20"/>
                <w:szCs w:val="20"/>
                <w:color w:val="auto"/>
              </w:rPr>
            </w:pPr>
            <w:r>
              <w:rPr>
                <w:rFonts w:ascii="Arial" w:cs="Arial" w:eastAsia="Arial" w:hAnsi="Arial"/>
                <w:sz w:val="14"/>
                <w:szCs w:val="14"/>
                <w:color w:val="auto"/>
              </w:rPr>
              <w:t>(a)</w:t>
            </w:r>
          </w:p>
        </w:tc>
        <w:tc>
          <w:tcPr>
            <w:tcW w:w="10780" w:type="dxa"/>
            <w:vAlign w:val="bottom"/>
          </w:tcPr>
          <w:p>
            <w:pPr>
              <w:jc w:val="right"/>
              <w:spacing w:after="0"/>
              <w:rPr>
                <w:sz w:val="20"/>
                <w:szCs w:val="20"/>
                <w:color w:val="auto"/>
              </w:rPr>
            </w:pPr>
            <w:r>
              <w:rPr>
                <w:rFonts w:ascii="Arial" w:cs="Arial" w:eastAsia="Arial" w:hAnsi="Arial"/>
                <w:sz w:val="14"/>
                <w:szCs w:val="14"/>
                <w:color w:val="auto"/>
              </w:rPr>
              <w:t>In consideration for the consideration set forth in the Employment Agreement and the payment of severance benefits set forth in Section 7 of the Employment</w:t>
            </w:r>
          </w:p>
        </w:tc>
      </w:tr>
      <w:tr>
        <w:trPr>
          <w:trHeight w:val="163"/>
        </w:trPr>
        <w:tc>
          <w:tcPr>
            <w:tcW w:w="540" w:type="dxa"/>
            <w:vAlign w:val="bottom"/>
          </w:tcPr>
          <w:p>
            <w:pPr>
              <w:spacing w:after="0"/>
              <w:rPr>
                <w:sz w:val="14"/>
                <w:szCs w:val="14"/>
                <w:color w:val="auto"/>
              </w:rPr>
            </w:pPr>
          </w:p>
        </w:tc>
        <w:tc>
          <w:tcPr>
            <w:tcW w:w="10780" w:type="dxa"/>
            <w:vAlign w:val="bottom"/>
          </w:tcPr>
          <w:p>
            <w:pPr>
              <w:jc w:val="right"/>
              <w:spacing w:after="0"/>
              <w:rPr>
                <w:sz w:val="20"/>
                <w:szCs w:val="20"/>
                <w:color w:val="auto"/>
              </w:rPr>
            </w:pPr>
            <w:r>
              <w:rPr>
                <w:rFonts w:ascii="Arial" w:cs="Arial" w:eastAsia="Arial" w:hAnsi="Arial"/>
                <w:sz w:val="14"/>
                <w:szCs w:val="14"/>
                <w:color w:val="auto"/>
              </w:rPr>
              <w:t>Agreement, Executive further covenants and agrees that during the Term of Employment and during the one (1) year period immediately following the Termination Date (the</w:t>
            </w:r>
          </w:p>
        </w:tc>
      </w:tr>
      <w:tr>
        <w:trPr>
          <w:trHeight w:val="163"/>
        </w:trPr>
        <w:tc>
          <w:tcPr>
            <w:tcW w:w="540" w:type="dxa"/>
            <w:vAlign w:val="bottom"/>
          </w:tcPr>
          <w:p>
            <w:pPr>
              <w:spacing w:after="0"/>
              <w:rPr>
                <w:sz w:val="14"/>
                <w:szCs w:val="14"/>
                <w:color w:val="auto"/>
              </w:rPr>
            </w:pPr>
          </w:p>
        </w:tc>
        <w:tc>
          <w:tcPr>
            <w:tcW w:w="10780" w:type="dxa"/>
            <w:vAlign w:val="bottom"/>
          </w:tcPr>
          <w:p>
            <w:pPr>
              <w:jc w:val="right"/>
              <w:spacing w:after="0"/>
              <w:rPr>
                <w:sz w:val="20"/>
                <w:szCs w:val="20"/>
                <w:color w:val="auto"/>
              </w:rPr>
            </w:pPr>
            <w:r>
              <w:rPr>
                <w:rFonts w:ascii="Arial" w:cs="Arial" w:eastAsia="Arial" w:hAnsi="Arial"/>
                <w:sz w:val="14"/>
                <w:szCs w:val="14"/>
                <w:color w:val="auto"/>
                <w:w w:val="99"/>
              </w:rPr>
              <w:t>"Non-Competitive Period"), Executive shall not, directly or indirectly, as owner, partner, joint venturer, stockholder, employee, broker, agent, principal, trustee, corporate officer,</w:t>
            </w:r>
          </w:p>
        </w:tc>
      </w:tr>
      <w:tr>
        <w:trPr>
          <w:trHeight w:val="163"/>
        </w:trPr>
        <w:tc>
          <w:tcPr>
            <w:tcW w:w="540" w:type="dxa"/>
            <w:vAlign w:val="bottom"/>
          </w:tcPr>
          <w:p>
            <w:pPr>
              <w:spacing w:after="0"/>
              <w:rPr>
                <w:sz w:val="14"/>
                <w:szCs w:val="14"/>
                <w:color w:val="auto"/>
              </w:rPr>
            </w:pPr>
          </w:p>
        </w:tc>
        <w:tc>
          <w:tcPr>
            <w:tcW w:w="10780" w:type="dxa"/>
            <w:vAlign w:val="bottom"/>
          </w:tcPr>
          <w:p>
            <w:pPr>
              <w:jc w:val="right"/>
              <w:spacing w:after="0"/>
              <w:rPr>
                <w:sz w:val="20"/>
                <w:szCs w:val="20"/>
                <w:color w:val="auto"/>
              </w:rPr>
            </w:pPr>
            <w:r>
              <w:rPr>
                <w:rFonts w:ascii="Arial" w:cs="Arial" w:eastAsia="Arial" w:hAnsi="Arial"/>
                <w:sz w:val="14"/>
                <w:szCs w:val="14"/>
                <w:color w:val="auto"/>
                <w:w w:val="96"/>
              </w:rPr>
              <w:t>director, licensor, or in any capacity whatsoever, engage in, become financially interested in, be employed by, render any consultation or business advice with respect to, accept any</w:t>
            </w:r>
          </w:p>
        </w:tc>
      </w:tr>
      <w:tr>
        <w:trPr>
          <w:trHeight w:val="163"/>
        </w:trPr>
        <w:tc>
          <w:tcPr>
            <w:tcW w:w="540" w:type="dxa"/>
            <w:vAlign w:val="bottom"/>
          </w:tcPr>
          <w:p>
            <w:pPr>
              <w:spacing w:after="0"/>
              <w:rPr>
                <w:sz w:val="14"/>
                <w:szCs w:val="14"/>
                <w:color w:val="auto"/>
              </w:rPr>
            </w:pPr>
          </w:p>
        </w:tc>
        <w:tc>
          <w:tcPr>
            <w:tcW w:w="10780" w:type="dxa"/>
            <w:vAlign w:val="bottom"/>
          </w:tcPr>
          <w:p>
            <w:pPr>
              <w:jc w:val="right"/>
              <w:spacing w:after="0"/>
              <w:rPr>
                <w:sz w:val="20"/>
                <w:szCs w:val="20"/>
                <w:color w:val="auto"/>
              </w:rPr>
            </w:pPr>
            <w:r>
              <w:rPr>
                <w:rFonts w:ascii="Arial" w:cs="Arial" w:eastAsia="Arial" w:hAnsi="Arial"/>
                <w:sz w:val="14"/>
                <w:szCs w:val="14"/>
                <w:color w:val="auto"/>
                <w:w w:val="99"/>
              </w:rPr>
              <w:t>competitive business on behalf of, or have any connection with any business which is competitive with products or services of the Company or any subsidiaries and affiliates, in</w:t>
            </w:r>
          </w:p>
        </w:tc>
      </w:tr>
      <w:tr>
        <w:trPr>
          <w:trHeight w:val="163"/>
        </w:trPr>
        <w:tc>
          <w:tcPr>
            <w:tcW w:w="540" w:type="dxa"/>
            <w:vAlign w:val="bottom"/>
          </w:tcPr>
          <w:p>
            <w:pPr>
              <w:spacing w:after="0"/>
              <w:rPr>
                <w:sz w:val="14"/>
                <w:szCs w:val="14"/>
                <w:color w:val="auto"/>
              </w:rPr>
            </w:pPr>
          </w:p>
        </w:tc>
        <w:tc>
          <w:tcPr>
            <w:tcW w:w="10780" w:type="dxa"/>
            <w:vAlign w:val="bottom"/>
          </w:tcPr>
          <w:p>
            <w:pPr>
              <w:jc w:val="right"/>
              <w:spacing w:after="0"/>
              <w:rPr>
                <w:sz w:val="20"/>
                <w:szCs w:val="20"/>
                <w:color w:val="auto"/>
              </w:rPr>
            </w:pPr>
            <w:r>
              <w:rPr>
                <w:rFonts w:ascii="Arial" w:cs="Arial" w:eastAsia="Arial" w:hAnsi="Arial"/>
                <w:sz w:val="14"/>
                <w:szCs w:val="14"/>
                <w:color w:val="auto"/>
                <w:w w:val="97"/>
              </w:rPr>
              <w:t xml:space="preserve">any geographic area </w:t>
            </w:r>
            <w:r>
              <w:rPr>
                <w:rFonts w:ascii="Arial" w:cs="Arial" w:eastAsia="Arial" w:hAnsi="Arial"/>
                <w:sz w:val="14"/>
                <w:szCs w:val="14"/>
                <w:color w:val="333333"/>
                <w:w w:val="97"/>
              </w:rPr>
              <w:t>in which the Executive provided services or had a material presence or influence on behalf of the Company, whether in the United States, Canada, Europe or</w:t>
            </w:r>
          </w:p>
        </w:tc>
      </w:tr>
      <w:tr>
        <w:trPr>
          <w:trHeight w:val="163"/>
        </w:trPr>
        <w:tc>
          <w:tcPr>
            <w:tcW w:w="540" w:type="dxa"/>
            <w:vAlign w:val="bottom"/>
          </w:tcPr>
          <w:p>
            <w:pPr>
              <w:spacing w:after="0"/>
              <w:rPr>
                <w:sz w:val="14"/>
                <w:szCs w:val="14"/>
                <w:color w:val="auto"/>
              </w:rPr>
            </w:pPr>
          </w:p>
        </w:tc>
        <w:tc>
          <w:tcPr>
            <w:tcW w:w="10780" w:type="dxa"/>
            <w:vAlign w:val="bottom"/>
          </w:tcPr>
          <w:p>
            <w:pPr>
              <w:jc w:val="right"/>
              <w:spacing w:after="0"/>
              <w:rPr>
                <w:sz w:val="20"/>
                <w:szCs w:val="20"/>
                <w:color w:val="auto"/>
              </w:rPr>
            </w:pPr>
            <w:r>
              <w:rPr>
                <w:rFonts w:ascii="Arial" w:cs="Arial" w:eastAsia="Arial" w:hAnsi="Arial"/>
                <w:sz w:val="14"/>
                <w:szCs w:val="14"/>
                <w:color w:val="333333"/>
                <w:w w:val="97"/>
              </w:rPr>
              <w:t>elsewhere during the two years prior to Executive’s separation from the Company</w:t>
            </w:r>
            <w:r>
              <w:rPr>
                <w:rFonts w:ascii="Arial" w:cs="Arial" w:eastAsia="Arial" w:hAnsi="Arial"/>
                <w:sz w:val="14"/>
                <w:szCs w:val="14"/>
                <w:color w:val="000000"/>
                <w:w w:val="97"/>
              </w:rPr>
              <w:t>; provided, however, that Executive may own any securities of any corporation which is engaged</w:t>
            </w:r>
          </w:p>
        </w:tc>
      </w:tr>
      <w:tr>
        <w:trPr>
          <w:trHeight w:val="163"/>
        </w:trPr>
        <w:tc>
          <w:tcPr>
            <w:tcW w:w="540" w:type="dxa"/>
            <w:vAlign w:val="bottom"/>
          </w:tcPr>
          <w:p>
            <w:pPr>
              <w:spacing w:after="0"/>
              <w:rPr>
                <w:sz w:val="14"/>
                <w:szCs w:val="14"/>
                <w:color w:val="auto"/>
              </w:rPr>
            </w:pPr>
          </w:p>
        </w:tc>
        <w:tc>
          <w:tcPr>
            <w:tcW w:w="10780" w:type="dxa"/>
            <w:vAlign w:val="bottom"/>
          </w:tcPr>
          <w:p>
            <w:pPr>
              <w:jc w:val="right"/>
              <w:spacing w:after="0"/>
              <w:rPr>
                <w:sz w:val="20"/>
                <w:szCs w:val="20"/>
                <w:color w:val="auto"/>
              </w:rPr>
            </w:pPr>
            <w:r>
              <w:rPr>
                <w:rFonts w:ascii="Arial" w:cs="Arial" w:eastAsia="Arial" w:hAnsi="Arial"/>
                <w:sz w:val="14"/>
                <w:szCs w:val="14"/>
                <w:color w:val="auto"/>
              </w:rPr>
              <w:t>in such business and is publicly owned and traded but in an amount not to exceed at any one time one percent (1%) of any class of stock or securities of such corporation.  In</w:t>
            </w:r>
          </w:p>
        </w:tc>
      </w:tr>
      <w:tr>
        <w:trPr>
          <w:trHeight w:val="163"/>
        </w:trPr>
        <w:tc>
          <w:tcPr>
            <w:tcW w:w="540" w:type="dxa"/>
            <w:vAlign w:val="bottom"/>
          </w:tcPr>
          <w:p>
            <w:pPr>
              <w:spacing w:after="0"/>
              <w:rPr>
                <w:sz w:val="14"/>
                <w:szCs w:val="14"/>
                <w:color w:val="auto"/>
              </w:rPr>
            </w:pPr>
          </w:p>
        </w:tc>
        <w:tc>
          <w:tcPr>
            <w:tcW w:w="10780" w:type="dxa"/>
            <w:vAlign w:val="bottom"/>
          </w:tcPr>
          <w:p>
            <w:pPr>
              <w:jc w:val="right"/>
              <w:spacing w:after="0"/>
              <w:rPr>
                <w:sz w:val="20"/>
                <w:szCs w:val="20"/>
                <w:color w:val="auto"/>
              </w:rPr>
            </w:pPr>
            <w:r>
              <w:rPr>
                <w:rFonts w:ascii="Arial" w:cs="Arial" w:eastAsia="Arial" w:hAnsi="Arial"/>
                <w:sz w:val="14"/>
                <w:szCs w:val="14"/>
                <w:color w:val="auto"/>
              </w:rPr>
              <w:t>addition, Executive shall not, during the Non-Competitive Period, directly or indirectly: (1) request or cause any suppliers or customers with whom the Company or any of its</w:t>
            </w:r>
          </w:p>
        </w:tc>
      </w:tr>
      <w:tr>
        <w:trPr>
          <w:trHeight w:val="183"/>
        </w:trPr>
        <w:tc>
          <w:tcPr>
            <w:tcW w:w="540" w:type="dxa"/>
            <w:vAlign w:val="bottom"/>
          </w:tcPr>
          <w:p>
            <w:pPr>
              <w:spacing w:after="0"/>
              <w:rPr>
                <w:sz w:val="15"/>
                <w:szCs w:val="15"/>
                <w:color w:val="auto"/>
              </w:rPr>
            </w:pPr>
          </w:p>
        </w:tc>
        <w:tc>
          <w:tcPr>
            <w:tcW w:w="10780" w:type="dxa"/>
            <w:vAlign w:val="bottom"/>
          </w:tcPr>
          <w:p>
            <w:pPr>
              <w:jc w:val="right"/>
              <w:ind w:right="2509"/>
              <w:spacing w:after="0"/>
              <w:rPr>
                <w:sz w:val="20"/>
                <w:szCs w:val="20"/>
                <w:color w:val="auto"/>
              </w:rPr>
            </w:pPr>
            <w:r>
              <w:rPr>
                <w:rFonts w:ascii="Arial" w:cs="Arial" w:eastAsia="Arial" w:hAnsi="Arial"/>
                <w:sz w:val="14"/>
                <w:szCs w:val="14"/>
                <w:color w:val="auto"/>
                <w:w w:val="96"/>
              </w:rPr>
              <w:t>subsidiaries or affiliates has a business relationship to cancel or terminate any such business relationship with the Company or any of its</w:t>
            </w:r>
          </w:p>
        </w:tc>
      </w:tr>
      <w:tr>
        <w:trPr>
          <w:trHeight w:val="284"/>
        </w:trPr>
        <w:tc>
          <w:tcPr>
            <w:tcW w:w="540" w:type="dxa"/>
            <w:vAlign w:val="bottom"/>
          </w:tcPr>
          <w:p>
            <w:pPr>
              <w:spacing w:after="0"/>
              <w:rPr>
                <w:sz w:val="24"/>
                <w:szCs w:val="24"/>
                <w:color w:val="auto"/>
              </w:rPr>
            </w:pPr>
          </w:p>
        </w:tc>
        <w:tc>
          <w:tcPr>
            <w:tcW w:w="10780" w:type="dxa"/>
            <w:vAlign w:val="bottom"/>
          </w:tcPr>
          <w:p>
            <w:pPr>
              <w:jc w:val="right"/>
              <w:ind w:right="5549"/>
              <w:spacing w:after="0"/>
              <w:rPr>
                <w:sz w:val="20"/>
                <w:szCs w:val="20"/>
                <w:color w:val="auto"/>
              </w:rPr>
            </w:pPr>
            <w:r>
              <w:rPr>
                <w:rFonts w:ascii="Arial" w:cs="Arial" w:eastAsia="Arial" w:hAnsi="Arial"/>
                <w:sz w:val="12"/>
                <w:szCs w:val="12"/>
                <w:color w:val="auto"/>
              </w:rPr>
              <w:t>16</w:t>
            </w:r>
          </w:p>
        </w:tc>
      </w:tr>
      <w:tr>
        <w:trPr>
          <w:trHeight w:val="218"/>
        </w:trPr>
        <w:tc>
          <w:tcPr>
            <w:tcW w:w="540" w:type="dxa"/>
            <w:vAlign w:val="bottom"/>
            <w:tcBorders>
              <w:bottom w:val="single" w:sz="8" w:color="9A9A9A"/>
            </w:tcBorders>
          </w:tcPr>
          <w:p>
            <w:pPr>
              <w:spacing w:after="0"/>
              <w:rPr>
                <w:sz w:val="18"/>
                <w:szCs w:val="18"/>
                <w:color w:val="auto"/>
              </w:rPr>
            </w:pPr>
          </w:p>
        </w:tc>
        <w:tc>
          <w:tcPr>
            <w:tcW w:w="107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126" w:right="279" w:bottom="1440" w:gutter="0" w:footer="0" w:header="0"/>
        </w:sectPr>
      </w:pPr>
    </w:p>
    <w:bookmarkStart w:id="44" w:name="page45"/>
    <w:bookmarkEnd w:id="44"/>
    <w:p>
      <w:pPr>
        <w:ind w:left="860" w:right="20" w:firstLine="803"/>
        <w:spacing w:after="0" w:line="315" w:lineRule="auto"/>
        <w:rPr>
          <w:sz w:val="20"/>
          <w:szCs w:val="20"/>
          <w:color w:val="auto"/>
        </w:rPr>
      </w:pPr>
      <w:r>
        <w:rPr>
          <w:rFonts w:ascii="Arial" w:cs="Arial" w:eastAsia="Arial" w:hAnsi="Arial"/>
          <w:sz w:val="13"/>
          <w:szCs w:val="13"/>
          <w:color w:val="auto"/>
        </w:rPr>
        <w:t>subsidiaries or affiliates or otherwise compromise the Company’s good will; or (2)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96" w:lineRule="exact"/>
        <w:rPr>
          <w:sz w:val="20"/>
          <w:szCs w:val="20"/>
          <w:color w:val="auto"/>
        </w:rPr>
      </w:pPr>
    </w:p>
    <w:p>
      <w:pPr>
        <w:jc w:val="both"/>
        <w:ind w:firstLine="970"/>
        <w:spacing w:after="0" w:line="254" w:lineRule="auto"/>
        <w:tabs>
          <w:tab w:leader="none" w:pos="1581" w:val="left"/>
        </w:tabs>
        <w:numPr>
          <w:ilvl w:val="1"/>
          <w:numId w:val="58"/>
        </w:numPr>
        <w:rPr>
          <w:rFonts w:ascii="Arial" w:cs="Arial" w:eastAsia="Arial" w:hAnsi="Arial"/>
          <w:sz w:val="14"/>
          <w:szCs w:val="14"/>
          <w:color w:val="auto"/>
        </w:rPr>
      </w:pPr>
      <w:r>
        <w:rPr>
          <w:rFonts w:ascii="Arial" w:cs="Arial" w:eastAsia="Arial" w:hAnsi="Arial"/>
          <w:sz w:val="14"/>
          <w:szCs w:val="14"/>
          <w:color w:val="auto"/>
        </w:rPr>
        <w:t>If any portion of the restrictions set forth in this paragraph 3 should, for any reason whatsoever, be declared invalid by a court of competent jurisdiction, the validity or enforceability of the remainder of such restrictions shall not thereby be adversely affected. For the purposes of this paragraph 3,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33" w:lineRule="exact"/>
        <w:rPr>
          <w:rFonts w:ascii="Arial" w:cs="Arial" w:eastAsia="Arial" w:hAnsi="Arial"/>
          <w:sz w:val="14"/>
          <w:szCs w:val="14"/>
          <w:color w:val="auto"/>
        </w:rPr>
      </w:pPr>
    </w:p>
    <w:p>
      <w:pPr>
        <w:jc w:val="both"/>
        <w:ind w:firstLine="862"/>
        <w:spacing w:after="0" w:line="279" w:lineRule="auto"/>
        <w:tabs>
          <w:tab w:leader="none" w:pos="1465" w:val="left"/>
        </w:tabs>
        <w:numPr>
          <w:ilvl w:val="0"/>
          <w:numId w:val="59"/>
        </w:numPr>
        <w:rPr>
          <w:rFonts w:ascii="Arial" w:cs="Arial" w:eastAsia="Arial" w:hAnsi="Arial"/>
          <w:sz w:val="13"/>
          <w:szCs w:val="13"/>
          <w:color w:val="auto"/>
        </w:rPr>
      </w:pPr>
      <w:r>
        <w:rPr>
          <w:rFonts w:ascii="Arial" w:cs="Arial" w:eastAsia="Arial" w:hAnsi="Arial"/>
          <w:sz w:val="13"/>
          <w:szCs w:val="13"/>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3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20" w:lineRule="exact"/>
        <w:rPr>
          <w:sz w:val="20"/>
          <w:szCs w:val="20"/>
          <w:color w:val="auto"/>
        </w:rPr>
      </w:pPr>
    </w:p>
    <w:tbl>
      <w:tblPr>
        <w:tblLayout w:type="fixed"/>
        <w:tblInd w:w="60" w:type="dxa"/>
        <w:tblCellMar>
          <w:top w:w="0" w:type="dxa"/>
          <w:left w:w="0" w:type="dxa"/>
          <w:bottom w:w="0" w:type="dxa"/>
          <w:right w:w="0" w:type="dxa"/>
        </w:tblCellMar>
      </w:tblPr>
      <w:tr>
        <w:trPr>
          <w:trHeight w:val="163"/>
        </w:trPr>
        <w:tc>
          <w:tcPr>
            <w:tcW w:w="1340" w:type="dxa"/>
            <w:vAlign w:val="bottom"/>
          </w:tcPr>
          <w:p>
            <w:pPr>
              <w:spacing w:after="0"/>
              <w:rPr>
                <w:sz w:val="20"/>
                <w:szCs w:val="20"/>
                <w:color w:val="auto"/>
              </w:rPr>
            </w:pPr>
            <w:r>
              <w:rPr>
                <w:rFonts w:ascii="Arial" w:cs="Arial" w:eastAsia="Arial" w:hAnsi="Arial"/>
                <w:sz w:val="14"/>
                <w:szCs w:val="14"/>
                <w:color w:val="auto"/>
              </w:rPr>
              <w:t>(d)</w:t>
            </w:r>
          </w:p>
        </w:tc>
        <w:tc>
          <w:tcPr>
            <w:tcW w:w="9900" w:type="dxa"/>
            <w:vAlign w:val="bottom"/>
            <w:gridSpan w:val="2"/>
          </w:tcPr>
          <w:p>
            <w:pPr>
              <w:ind w:left="260"/>
              <w:spacing w:after="0"/>
              <w:rPr>
                <w:sz w:val="20"/>
                <w:szCs w:val="20"/>
                <w:color w:val="auto"/>
              </w:rPr>
            </w:pPr>
            <w:r>
              <w:rPr>
                <w:rFonts w:ascii="Arial" w:cs="Arial" w:eastAsia="Arial" w:hAnsi="Arial"/>
                <w:sz w:val="14"/>
                <w:szCs w:val="14"/>
                <w:color w:val="auto"/>
                <w:w w:val="98"/>
              </w:rPr>
              <w:t>The existence of any claim or cause of action (a  claim or cause of action is defined as a claim or cause of action which results from a breach of the terms and</w:t>
            </w:r>
          </w:p>
        </w:tc>
      </w:tr>
      <w:tr>
        <w:trPr>
          <w:trHeight w:val="163"/>
        </w:trPr>
        <w:tc>
          <w:tcPr>
            <w:tcW w:w="11240" w:type="dxa"/>
            <w:vAlign w:val="bottom"/>
            <w:gridSpan w:val="3"/>
          </w:tcPr>
          <w:p>
            <w:pPr>
              <w:ind w:left="800"/>
              <w:spacing w:after="0"/>
              <w:rPr>
                <w:sz w:val="20"/>
                <w:szCs w:val="20"/>
                <w:color w:val="auto"/>
              </w:rPr>
            </w:pPr>
            <w:r>
              <w:rPr>
                <w:rFonts w:ascii="Arial" w:cs="Arial" w:eastAsia="Arial" w:hAnsi="Arial"/>
                <w:sz w:val="14"/>
                <w:szCs w:val="14"/>
                <w:color w:val="auto"/>
                <w:w w:val="95"/>
              </w:rPr>
              <w:t>provisions of this Agreement by the Company, regardless of whether the breach is material) by Executive against the Company or any subsidiary or affiliate shall not constitute a</w:t>
            </w:r>
          </w:p>
        </w:tc>
      </w:tr>
      <w:tr>
        <w:trPr>
          <w:trHeight w:val="183"/>
        </w:trPr>
        <w:tc>
          <w:tcPr>
            <w:tcW w:w="11240" w:type="dxa"/>
            <w:vAlign w:val="bottom"/>
            <w:gridSpan w:val="3"/>
          </w:tcPr>
          <w:p>
            <w:pPr>
              <w:ind w:left="800"/>
              <w:spacing w:after="0"/>
              <w:rPr>
                <w:sz w:val="20"/>
                <w:szCs w:val="20"/>
                <w:color w:val="auto"/>
              </w:rPr>
            </w:pPr>
            <w:r>
              <w:rPr>
                <w:rFonts w:ascii="Arial" w:cs="Arial" w:eastAsia="Arial" w:hAnsi="Arial"/>
                <w:sz w:val="14"/>
                <w:szCs w:val="14"/>
                <w:color w:val="auto"/>
                <w:w w:val="97"/>
              </w:rPr>
              <w:t>defense to the enforcement by the Company or any subsidiary or affiliate of the foregoing restrictive covenants, but such claim or cause of action shall be litigated separately.</w:t>
            </w:r>
          </w:p>
        </w:tc>
      </w:tr>
      <w:tr>
        <w:trPr>
          <w:trHeight w:val="293"/>
        </w:trPr>
        <w:tc>
          <w:tcPr>
            <w:tcW w:w="1340" w:type="dxa"/>
            <w:vAlign w:val="bottom"/>
          </w:tcPr>
          <w:p>
            <w:pPr>
              <w:ind w:left="800"/>
              <w:spacing w:after="0"/>
              <w:rPr>
                <w:sz w:val="20"/>
                <w:szCs w:val="20"/>
                <w:color w:val="auto"/>
              </w:rPr>
            </w:pPr>
            <w:r>
              <w:rPr>
                <w:rFonts w:ascii="Arial" w:cs="Arial" w:eastAsia="Arial" w:hAnsi="Arial"/>
                <w:sz w:val="14"/>
                <w:szCs w:val="14"/>
                <w:color w:val="auto"/>
              </w:rPr>
              <w:t>4.</w:t>
            </w:r>
          </w:p>
        </w:tc>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Inventions and Discoveries.</w:t>
            </w:r>
          </w:p>
        </w:tc>
        <w:tc>
          <w:tcPr>
            <w:tcW w:w="8200" w:type="dxa"/>
            <w:vAlign w:val="bottom"/>
          </w:tcPr>
          <w:p>
            <w:pPr>
              <w:spacing w:after="0"/>
              <w:rPr>
                <w:sz w:val="24"/>
                <w:szCs w:val="24"/>
                <w:color w:val="auto"/>
              </w:rPr>
            </w:pPr>
          </w:p>
        </w:tc>
      </w:tr>
    </w:tbl>
    <w:p>
      <w:pPr>
        <w:spacing w:after="0" w:line="167" w:lineRule="exact"/>
        <w:rPr>
          <w:sz w:val="20"/>
          <w:szCs w:val="20"/>
          <w:color w:val="auto"/>
        </w:rPr>
      </w:pPr>
    </w:p>
    <w:p>
      <w:pPr>
        <w:jc w:val="both"/>
        <w:ind w:firstLine="862"/>
        <w:spacing w:after="0" w:line="249" w:lineRule="auto"/>
        <w:tabs>
          <w:tab w:leader="none" w:pos="1465" w:val="left"/>
        </w:tabs>
        <w:numPr>
          <w:ilvl w:val="0"/>
          <w:numId w:val="60"/>
        </w:numPr>
        <w:rPr>
          <w:rFonts w:ascii="Arial" w:cs="Arial" w:eastAsia="Arial" w:hAnsi="Arial"/>
          <w:sz w:val="14"/>
          <w:szCs w:val="14"/>
          <w:color w:val="auto"/>
        </w:rPr>
      </w:pPr>
      <w:r>
        <w:rPr>
          <w:rFonts w:ascii="Arial" w:cs="Arial" w:eastAsia="Arial" w:hAnsi="Arial"/>
          <w:sz w:val="14"/>
          <w:szCs w:val="14"/>
          <w:color w:val="auto"/>
        </w:rPr>
        <w:t>Upon execution of this General Release of Claims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her employment with, or rendering of advisory or consulting services to, the Company or any of its subsidiaries and affiliates, solely or jointly with others, in or relating to any activities of the Company or its subsidiaries and affiliates known to him as a consequence of her employment or the rendering of advisory and consulting services hereunder (collectively the "Subject Matter").</w:t>
      </w:r>
    </w:p>
    <w:p>
      <w:pPr>
        <w:spacing w:after="0" w:line="138" w:lineRule="exact"/>
        <w:rPr>
          <w:rFonts w:ascii="Arial" w:cs="Arial" w:eastAsia="Arial" w:hAnsi="Arial"/>
          <w:sz w:val="14"/>
          <w:szCs w:val="14"/>
          <w:color w:val="auto"/>
        </w:rPr>
      </w:pPr>
    </w:p>
    <w:p>
      <w:pPr>
        <w:jc w:val="both"/>
        <w:ind w:firstLine="862"/>
        <w:spacing w:after="0" w:line="259" w:lineRule="auto"/>
        <w:tabs>
          <w:tab w:leader="none" w:pos="1473" w:val="left"/>
        </w:tabs>
        <w:numPr>
          <w:ilvl w:val="0"/>
          <w:numId w:val="60"/>
        </w:numPr>
        <w:rPr>
          <w:rFonts w:ascii="Arial" w:cs="Arial" w:eastAsia="Arial" w:hAnsi="Arial"/>
          <w:sz w:val="14"/>
          <w:szCs w:val="14"/>
          <w:color w:val="auto"/>
        </w:rPr>
      </w:pPr>
      <w:r>
        <w:rPr>
          <w:rFonts w:ascii="Arial" w:cs="Arial" w:eastAsia="Arial" w:hAnsi="Arial"/>
          <w:sz w:val="14"/>
          <w:szCs w:val="14"/>
          <w:color w:val="auto"/>
        </w:rPr>
        <w:t>Executive hereby assigns and transfers, and agrees to assign and transfer, to the Company, all her rights, title and interest in and to the Subject Matter, and Executive further agrees to deliver to the Company any and all drawings, notes, specifications and data relating to the Subject Matter, and to execute, acknowledge and deliver all such further papers, including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1423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5" w:name="page46"/>
    <w:bookmarkEnd w:id="45"/>
    <w:p>
      <w:pPr>
        <w:jc w:val="both"/>
        <w:spacing w:after="0" w:line="253" w:lineRule="auto"/>
        <w:rPr>
          <w:sz w:val="20"/>
          <w:szCs w:val="20"/>
          <w:color w:val="auto"/>
        </w:rPr>
      </w:pPr>
      <w:r>
        <w:rPr>
          <w:rFonts w:ascii="Arial" w:cs="Arial" w:eastAsia="Arial" w:hAnsi="Arial"/>
          <w:sz w:val="14"/>
          <w:szCs w:val="14"/>
          <w:color w:val="auto"/>
        </w:rPr>
        <w:t>applications for copyrights or patents, as may be necessary to obtain copyrights and patents for any thereof in any and all countries and to vest title thereto to the Company. Executive shall assist the Company in obtaining such copyrights or patents during the term of this General Release Of Claims,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w:t>
      </w:r>
    </w:p>
    <w:p>
      <w:pPr>
        <w:spacing w:after="0" w:line="132" w:lineRule="exact"/>
        <w:rPr>
          <w:sz w:val="20"/>
          <w:szCs w:val="20"/>
          <w:color w:val="auto"/>
        </w:rPr>
      </w:pPr>
    </w:p>
    <w:p>
      <w:pPr>
        <w:ind w:left="1400" w:hanging="538"/>
        <w:spacing w:after="0"/>
        <w:tabs>
          <w:tab w:leader="none" w:pos="1400" w:val="left"/>
        </w:tabs>
        <w:numPr>
          <w:ilvl w:val="0"/>
          <w:numId w:val="61"/>
        </w:numPr>
        <w:rPr>
          <w:rFonts w:ascii="Arial" w:cs="Arial" w:eastAsia="Arial" w:hAnsi="Arial"/>
          <w:sz w:val="14"/>
          <w:szCs w:val="14"/>
          <w:color w:val="auto"/>
        </w:rPr>
      </w:pPr>
      <w:r>
        <w:rPr>
          <w:rFonts w:ascii="Arial" w:cs="Arial" w:eastAsia="Arial" w:hAnsi="Arial"/>
          <w:sz w:val="14"/>
          <w:szCs w:val="14"/>
          <w:b w:val="1"/>
          <w:bCs w:val="1"/>
          <w:u w:val="single" w:color="auto"/>
          <w:color w:val="auto"/>
        </w:rPr>
        <w:t>Non-Disclosure of Confidential Information.</w:t>
      </w:r>
    </w:p>
    <w:p>
      <w:pPr>
        <w:spacing w:after="0" w:line="169" w:lineRule="exact"/>
        <w:rPr>
          <w:sz w:val="20"/>
          <w:szCs w:val="20"/>
          <w:color w:val="auto"/>
        </w:rPr>
      </w:pPr>
    </w:p>
    <w:p>
      <w:pPr>
        <w:jc w:val="both"/>
        <w:ind w:firstLine="862"/>
        <w:spacing w:after="0" w:line="266" w:lineRule="auto"/>
        <w:tabs>
          <w:tab w:leader="none" w:pos="1465" w:val="left"/>
        </w:tabs>
        <w:numPr>
          <w:ilvl w:val="0"/>
          <w:numId w:val="62"/>
        </w:numPr>
        <w:rPr>
          <w:rFonts w:ascii="Arial" w:cs="Arial" w:eastAsia="Arial" w:hAnsi="Arial"/>
          <w:sz w:val="13"/>
          <w:szCs w:val="13"/>
          <w:color w:val="auto"/>
        </w:rPr>
      </w:pPr>
      <w:r>
        <w:rPr>
          <w:rFonts w:ascii="Arial" w:cs="Arial" w:eastAsia="Arial" w:hAnsi="Arial"/>
          <w:sz w:val="13"/>
          <w:szCs w:val="13"/>
          <w:color w:val="auto"/>
        </w:rPr>
        <w:t>Executive acknowledges that the Company possesses certain confidential and propriety information that has been revealed to him or learned by Executive during the course of Executive’s employment with the Company and that it would be unfair to use that information or knowledge to compete with or to otherwise disadvantage the Company. Executive shall not, at any time following the end of Executive’s employment with the Company, directly or indirectly, disclose or permit to be known (other than as is required in the regular course of her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her employment or the rendering of her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5(a) by Executive.</w:t>
      </w:r>
    </w:p>
    <w:p>
      <w:pPr>
        <w:spacing w:after="0" w:line="131" w:lineRule="exact"/>
        <w:rPr>
          <w:rFonts w:ascii="Arial" w:cs="Arial" w:eastAsia="Arial" w:hAnsi="Arial"/>
          <w:sz w:val="13"/>
          <w:szCs w:val="13"/>
          <w:color w:val="auto"/>
        </w:rPr>
      </w:pPr>
    </w:p>
    <w:p>
      <w:pPr>
        <w:jc w:val="both"/>
        <w:ind w:firstLine="862"/>
        <w:spacing w:after="0" w:line="254" w:lineRule="auto"/>
        <w:tabs>
          <w:tab w:leader="none" w:pos="1473" w:val="left"/>
        </w:tabs>
        <w:numPr>
          <w:ilvl w:val="0"/>
          <w:numId w:val="62"/>
        </w:numPr>
        <w:rPr>
          <w:rFonts w:ascii="Arial" w:cs="Arial" w:eastAsia="Arial" w:hAnsi="Arial"/>
          <w:sz w:val="14"/>
          <w:szCs w:val="14"/>
          <w:color w:val="auto"/>
        </w:rPr>
      </w:pPr>
      <w:r>
        <w:rPr>
          <w:rFonts w:ascii="Arial" w:cs="Arial" w:eastAsia="Arial" w:hAnsi="Arial"/>
          <w:sz w:val="14"/>
          <w:szCs w:val="14"/>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33" w:lineRule="exact"/>
        <w:rPr>
          <w:rFonts w:ascii="Arial" w:cs="Arial" w:eastAsia="Arial" w:hAnsi="Arial"/>
          <w:sz w:val="14"/>
          <w:szCs w:val="14"/>
          <w:color w:val="auto"/>
        </w:rPr>
      </w:pPr>
    </w:p>
    <w:p>
      <w:pPr>
        <w:ind w:firstLine="862"/>
        <w:spacing w:after="0" w:line="276" w:lineRule="auto"/>
        <w:tabs>
          <w:tab w:leader="none" w:pos="1465"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 accordance with the Federal Defend Trade Secrets Act, Executive cannot be held criminally or civilly liable under any federal or state trade secret law for disclosing a trade secret (i) in confidence to a federal, state, or local government official, either directly or indirectly, or to</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1423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auto"/>
        </w:rPr>
        <w:t>an attorney, solely for the purpose of reporting or investigating a suspected violation of law, or (ii) in a complaint or other document filed under seal in a lawsuit or other proceeding.</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Notwithstanding this immunity from liability, Executive may be held liable if Executive unlawfully accesses trade secrets by unauthorized means.</w:t>
      </w:r>
    </w:p>
    <w:p>
      <w:pPr>
        <w:spacing w:after="0" w:line="149" w:lineRule="exact"/>
        <w:rPr>
          <w:sz w:val="20"/>
          <w:szCs w:val="20"/>
          <w:color w:val="auto"/>
        </w:rPr>
      </w:pPr>
    </w:p>
    <w:p>
      <w:pPr>
        <w:jc w:val="both"/>
        <w:ind w:firstLine="862"/>
        <w:spacing w:after="0" w:line="250" w:lineRule="auto"/>
        <w:tabs>
          <w:tab w:leader="none" w:pos="1413" w:val="left"/>
        </w:tabs>
        <w:numPr>
          <w:ilvl w:val="0"/>
          <w:numId w:val="63"/>
        </w:numPr>
        <w:rPr>
          <w:rFonts w:ascii="Arial" w:cs="Arial" w:eastAsia="Arial" w:hAnsi="Arial"/>
          <w:sz w:val="14"/>
          <w:szCs w:val="14"/>
          <w:color w:val="auto"/>
        </w:rPr>
      </w:pPr>
      <w:r>
        <w:rPr>
          <w:rFonts w:ascii="Arial" w:cs="Arial" w:eastAsia="Arial" w:hAnsi="Arial"/>
          <w:sz w:val="14"/>
          <w:szCs w:val="14"/>
          <w:b w:val="1"/>
          <w:bCs w:val="1"/>
          <w:u w:val="single" w:color="auto"/>
          <w:color w:val="auto"/>
        </w:rPr>
        <w:t>Specific Performance</w:t>
      </w:r>
      <w:r>
        <w:rPr>
          <w:rFonts w:ascii="Arial" w:cs="Arial" w:eastAsia="Arial" w:hAnsi="Arial"/>
          <w:sz w:val="14"/>
          <w:szCs w:val="14"/>
          <w:color w:val="auto"/>
        </w:rPr>
        <w:t>. Executive agrees that if she breaches, or threatens to commit a breach of, any enforceable provision of paragraphs 3, 4 or 5 (the "Restrictive</w:t>
      </w:r>
      <w:r>
        <w:rPr>
          <w:rFonts w:ascii="Arial" w:cs="Arial" w:eastAsia="Arial" w:hAnsi="Arial"/>
          <w:sz w:val="14"/>
          <w:szCs w:val="14"/>
          <w:b w:val="1"/>
          <w:bCs w:val="1"/>
          <w:color w:val="auto"/>
        </w:rPr>
        <w:t xml:space="preserve"> </w:t>
      </w:r>
      <w:r>
        <w:rPr>
          <w:rFonts w:ascii="Arial" w:cs="Arial" w:eastAsia="Arial" w:hAnsi="Arial"/>
          <w:sz w:val="14"/>
          <w:szCs w:val="14"/>
          <w:color w:val="auto"/>
        </w:rPr>
        <w:t>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her right to contest whether such a breach or threatened breach of any Restrictive Covenant has occurred. Any such damages, attorneys’ fees and costs shall be in addition to and not in lieu of any injunctive relief that may be available to the Company.</w:t>
      </w:r>
    </w:p>
    <w:p>
      <w:pPr>
        <w:spacing w:after="0" w:line="138" w:lineRule="exact"/>
        <w:rPr>
          <w:rFonts w:ascii="Arial" w:cs="Arial" w:eastAsia="Arial" w:hAnsi="Arial"/>
          <w:sz w:val="14"/>
          <w:szCs w:val="14"/>
          <w:color w:val="auto"/>
        </w:rPr>
      </w:pPr>
    </w:p>
    <w:p>
      <w:pPr>
        <w:jc w:val="both"/>
        <w:ind w:firstLine="862"/>
        <w:spacing w:after="0" w:line="247" w:lineRule="auto"/>
        <w:tabs>
          <w:tab w:leader="none" w:pos="1413" w:val="left"/>
        </w:tabs>
        <w:numPr>
          <w:ilvl w:val="0"/>
          <w:numId w:val="63"/>
        </w:numPr>
        <w:rPr>
          <w:rFonts w:ascii="Arial" w:cs="Arial" w:eastAsia="Arial" w:hAnsi="Arial"/>
          <w:sz w:val="14"/>
          <w:szCs w:val="14"/>
          <w:color w:val="auto"/>
        </w:rPr>
      </w:pPr>
      <w:r>
        <w:rPr>
          <w:rFonts w:ascii="Arial" w:cs="Arial" w:eastAsia="Arial" w:hAnsi="Arial"/>
          <w:sz w:val="14"/>
          <w:szCs w:val="14"/>
          <w:color w:val="auto"/>
        </w:rPr>
        <w:t>Executive is advised that Executive has up to twenty-one (21) calendar days to consider this General Release before signing it. Executive may knowingly and voluntarily waive that up to twenty-one (21) day period by signing this General Release of Claims earlier. However, in the event Executive’s employment terminated as part of a group termination within the meaning of the Older Workers Benefits Protection Act, the up to twenty-one (21) day consideration period shall be enlarged to up to forty-five (45) calendar days, and Executive shall be provided with additional disclosures required by the Older Workers Benefit Protection Act prior to the start of the up to forty-five (45) calendar day consideration period. In either case, Executive also shall have seven (7) business days following the date on which Executive signs this General Release of Claims within which to revoke it by providing a written notice of her revocation to the Company. Any such revocation shall be directed to the HR Director, Associate Relations &amp; Compliance and must be delivered to the HR Director, Associate Relations &amp; Compliance within that seven (7) day revocation period, or mailed to Destination XL Group, Inc., Attn: HR Director, Associate Relations &amp; Compliance, 555 Turnpike Street, Canton, MA 02021 and postmarked within the seven (7) day revocation period.</w:t>
      </w:r>
    </w:p>
    <w:p>
      <w:pPr>
        <w:spacing w:after="0" w:line="123" w:lineRule="exact"/>
        <w:rPr>
          <w:rFonts w:ascii="Arial" w:cs="Arial" w:eastAsia="Arial" w:hAnsi="Arial"/>
          <w:sz w:val="14"/>
          <w:szCs w:val="14"/>
          <w:color w:val="auto"/>
        </w:rPr>
      </w:pPr>
    </w:p>
    <w:p>
      <w:pPr>
        <w:ind w:right="20" w:firstLine="862"/>
        <w:spacing w:after="0" w:line="276" w:lineRule="auto"/>
        <w:tabs>
          <w:tab w:leader="none" w:pos="1413" w:val="left"/>
        </w:tabs>
        <w:numPr>
          <w:ilvl w:val="0"/>
          <w:numId w:val="63"/>
        </w:numPr>
        <w:rPr>
          <w:rFonts w:ascii="Arial" w:cs="Arial" w:eastAsia="Arial" w:hAnsi="Arial"/>
          <w:sz w:val="14"/>
          <w:szCs w:val="14"/>
          <w:color w:val="auto"/>
        </w:rPr>
      </w:pPr>
      <w:r>
        <w:rPr>
          <w:rFonts w:ascii="Arial" w:cs="Arial" w:eastAsia="Arial" w:hAnsi="Arial"/>
          <w:sz w:val="14"/>
          <w:szCs w:val="14"/>
          <w:color w:val="auto"/>
        </w:rPr>
        <w:t>Executive acknowledges that this General Release of Claims will be governed by and construed and enforced in accordance with the internal laws of the Commonwealth of Massachusetts applicable to contracts made and to be performed entirely within the Commonwealth.</w:t>
      </w:r>
    </w:p>
    <w:p>
      <w:pPr>
        <w:spacing w:after="0" w:line="100" w:lineRule="exact"/>
        <w:rPr>
          <w:rFonts w:ascii="Arial" w:cs="Arial" w:eastAsia="Arial" w:hAnsi="Arial"/>
          <w:sz w:val="14"/>
          <w:szCs w:val="14"/>
          <w:color w:val="auto"/>
        </w:rPr>
      </w:pPr>
    </w:p>
    <w:p>
      <w:pPr>
        <w:ind w:right="20" w:firstLine="862"/>
        <w:spacing w:after="0" w:line="276" w:lineRule="auto"/>
        <w:tabs>
          <w:tab w:leader="none" w:pos="1413" w:val="left"/>
        </w:tabs>
        <w:numPr>
          <w:ilvl w:val="0"/>
          <w:numId w:val="63"/>
        </w:numPr>
        <w:rPr>
          <w:rFonts w:ascii="Arial" w:cs="Arial" w:eastAsia="Arial" w:hAnsi="Arial"/>
          <w:sz w:val="14"/>
          <w:szCs w:val="14"/>
          <w:color w:val="auto"/>
        </w:rPr>
      </w:pPr>
      <w:r>
        <w:rPr>
          <w:rFonts w:ascii="Arial" w:cs="Arial" w:eastAsia="Arial" w:hAnsi="Arial"/>
          <w:sz w:val="14"/>
          <w:szCs w:val="14"/>
          <w:color w:val="auto"/>
        </w:rPr>
        <w:t>Executive acknowledges that she has read this General Release of Claims, has been advised that she should consult with an attorney before executing this general release of claims, and that she understands all of its terms and executes it voluntarily and with full knowledge of its significance and the consequences thereof.</w:t>
      </w:r>
    </w:p>
    <w:p>
      <w:pPr>
        <w:spacing w:after="0" w:line="100" w:lineRule="exact"/>
        <w:rPr>
          <w:rFonts w:ascii="Arial" w:cs="Arial" w:eastAsia="Arial" w:hAnsi="Arial"/>
          <w:sz w:val="14"/>
          <w:szCs w:val="14"/>
          <w:color w:val="auto"/>
        </w:rPr>
      </w:pPr>
    </w:p>
    <w:p>
      <w:pPr>
        <w:ind w:firstLine="862"/>
        <w:spacing w:after="0" w:line="276" w:lineRule="auto"/>
        <w:tabs>
          <w:tab w:leader="none" w:pos="1485"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General Release of Claims shall take effect on the eighth business day following Executive’s execution of this General Release of Claims unless Executive’s written revocation is delivered to the Company within seven (7) business days after such execution.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1423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7" w:name="page48"/>
    <w:bookmarkEnd w:id="47"/>
    <w:p>
      <w:pPr>
        <w:ind w:left="1680"/>
        <w:spacing w:after="0"/>
        <w:rPr>
          <w:sz w:val="20"/>
          <w:szCs w:val="20"/>
          <w:color w:val="auto"/>
        </w:rPr>
      </w:pPr>
      <w:r>
        <w:rPr>
          <w:rFonts w:ascii="Arial" w:cs="Arial" w:eastAsia="Arial" w:hAnsi="Arial"/>
          <w:sz w:val="14"/>
          <w:szCs w:val="14"/>
          <w:color w:val="auto"/>
        </w:rPr>
        <w:t>Stacey Jones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20</w:t>
      </w:r>
    </w:p>
    <w:p>
      <w:pPr>
        <w:sectPr>
          <w:pgSz w:w="11900" w:h="16838" w:orient="portrait"/>
          <w:cols w:equalWidth="0" w:num="1">
            <w:col w:w="9019"/>
          </w:cols>
          <w:pgMar w:left="1440" w:top="433"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2"/>
          <w:szCs w:val="12"/>
          <w:b w:val="1"/>
          <w:bCs w:val="1"/>
          <w:color w:val="auto"/>
        </w:rPr>
        <w:t>Exhibit 31.1</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I, Harvey S. Kanter, certify that:</w:t>
      </w:r>
    </w:p>
    <w:p>
      <w:pPr>
        <w:spacing w:after="0" w:line="79" w:lineRule="exact"/>
        <w:rPr>
          <w:sz w:val="20"/>
          <w:szCs w:val="20"/>
          <w:color w:val="auto"/>
        </w:rPr>
      </w:pPr>
    </w:p>
    <w:p>
      <w:pPr>
        <w:ind w:left="508" w:hanging="508"/>
        <w:spacing w:after="0"/>
        <w:tabs>
          <w:tab w:leader="none" w:pos="508" w:val="left"/>
        </w:tabs>
        <w:numPr>
          <w:ilvl w:val="0"/>
          <w:numId w:val="64"/>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Destination XL Group, Inc.;</w:t>
      </w:r>
    </w:p>
    <w:p>
      <w:pPr>
        <w:spacing w:after="0" w:line="79"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6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6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Arial" w:cs="Arial" w:eastAsia="Arial" w:hAnsi="Arial"/>
          <w:sz w:val="12"/>
          <w:szCs w:val="12"/>
          <w:color w:val="auto"/>
        </w:rPr>
      </w:pPr>
    </w:p>
    <w:p>
      <w:pPr>
        <w:ind w:left="508" w:right="300" w:hanging="508"/>
        <w:spacing w:after="0" w:line="279" w:lineRule="auto"/>
        <w:tabs>
          <w:tab w:leader="none" w:pos="508"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2"/>
          <w:szCs w:val="12"/>
          <w:color w:val="auto"/>
        </w:rPr>
      </w:pPr>
    </w:p>
    <w:p>
      <w:pPr>
        <w:ind w:left="1008" w:right="20" w:hanging="500"/>
        <w:spacing w:after="0" w:line="279" w:lineRule="auto"/>
        <w:tabs>
          <w:tab w:leader="none" w:pos="1008" w:val="left"/>
        </w:tabs>
        <w:numPr>
          <w:ilvl w:val="1"/>
          <w:numId w:val="6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2"/>
          <w:szCs w:val="12"/>
          <w:color w:val="auto"/>
        </w:rPr>
      </w:pPr>
    </w:p>
    <w:p>
      <w:pPr>
        <w:ind w:left="1008" w:right="220" w:hanging="500"/>
        <w:spacing w:after="0" w:line="279" w:lineRule="auto"/>
        <w:tabs>
          <w:tab w:leader="none" w:pos="1008" w:val="left"/>
        </w:tabs>
        <w:numPr>
          <w:ilvl w:val="1"/>
          <w:numId w:val="6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2"/>
          <w:szCs w:val="12"/>
          <w:color w:val="auto"/>
        </w:rPr>
      </w:pPr>
    </w:p>
    <w:p>
      <w:pPr>
        <w:ind w:left="1008" w:right="140" w:hanging="500"/>
        <w:spacing w:after="0" w:line="279" w:lineRule="auto"/>
        <w:tabs>
          <w:tab w:leader="none" w:pos="1008" w:val="left"/>
        </w:tabs>
        <w:numPr>
          <w:ilvl w:val="1"/>
          <w:numId w:val="6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2"/>
          <w:szCs w:val="12"/>
          <w:color w:val="auto"/>
        </w:rPr>
      </w:pPr>
    </w:p>
    <w:p>
      <w:pPr>
        <w:ind w:left="1008" w:right="200" w:hanging="500"/>
        <w:spacing w:after="0" w:line="279" w:lineRule="auto"/>
        <w:tabs>
          <w:tab w:leader="none" w:pos="1008" w:val="left"/>
        </w:tabs>
        <w:numPr>
          <w:ilvl w:val="1"/>
          <w:numId w:val="6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2"/>
          <w:szCs w:val="12"/>
          <w:color w:val="auto"/>
        </w:rPr>
      </w:pPr>
    </w:p>
    <w:p>
      <w:pPr>
        <w:ind w:left="508" w:right="80" w:hanging="508"/>
        <w:spacing w:after="0" w:line="279" w:lineRule="auto"/>
        <w:tabs>
          <w:tab w:leader="none" w:pos="508"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2"/>
          <w:szCs w:val="12"/>
          <w:color w:val="auto"/>
        </w:rPr>
      </w:pPr>
    </w:p>
    <w:p>
      <w:pPr>
        <w:ind w:left="1008" w:right="160" w:hanging="500"/>
        <w:spacing w:after="0" w:line="279" w:lineRule="auto"/>
        <w:tabs>
          <w:tab w:leader="none" w:pos="1008" w:val="left"/>
        </w:tabs>
        <w:numPr>
          <w:ilvl w:val="1"/>
          <w:numId w:val="6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2"/>
          <w:szCs w:val="12"/>
          <w:color w:val="auto"/>
        </w:rPr>
      </w:pPr>
    </w:p>
    <w:p>
      <w:pPr>
        <w:ind w:left="1008" w:hanging="500"/>
        <w:spacing w:after="0"/>
        <w:tabs>
          <w:tab w:leader="none" w:pos="1008" w:val="left"/>
        </w:tabs>
        <w:numPr>
          <w:ilvl w:val="1"/>
          <w:numId w:val="6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tabs>
          <w:tab w:leader="none" w:pos="6767" w:val="left"/>
          <w:tab w:leader="none" w:pos="8647" w:val="left"/>
        </w:tabs>
        <w:rPr>
          <w:sz w:val="20"/>
          <w:szCs w:val="20"/>
          <w:color w:val="auto"/>
        </w:rPr>
      </w:pPr>
      <w:r>
        <w:rPr>
          <w:rFonts w:ascii="Arial" w:cs="Arial" w:eastAsia="Arial" w:hAnsi="Arial"/>
          <w:sz w:val="12"/>
          <w:szCs w:val="12"/>
          <w:color w:val="auto"/>
        </w:rPr>
        <w:t>Date:  May 27,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Harvey S. Kanter</w:t>
      </w:r>
    </w:p>
    <w:p>
      <w:pPr>
        <w:spacing w:after="0" w:line="5" w:lineRule="exact"/>
        <w:rPr>
          <w:sz w:val="20"/>
          <w:szCs w:val="20"/>
          <w:color w:val="auto"/>
        </w:rPr>
      </w:pPr>
    </w:p>
    <w:p>
      <w:pPr>
        <w:jc w:val="center"/>
        <w:ind w:left="7000"/>
        <w:spacing w:after="0"/>
        <w:rPr>
          <w:sz w:val="20"/>
          <w:szCs w:val="20"/>
          <w:color w:val="auto"/>
        </w:rPr>
      </w:pPr>
      <w:r>
        <w:rPr>
          <w:rFonts w:ascii="Arial" w:cs="Arial" w:eastAsia="Arial" w:hAnsi="Arial"/>
          <w:sz w:val="10"/>
          <w:szCs w:val="10"/>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4451350</wp:posOffset>
            </wp:positionH>
            <wp:positionV relativeFrom="paragraph">
              <wp:posOffset>-65405</wp:posOffset>
            </wp:positionV>
            <wp:extent cx="272605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jc w:val="center"/>
        <w:ind w:left="7000"/>
        <w:spacing w:after="0"/>
        <w:rPr>
          <w:sz w:val="20"/>
          <w:szCs w:val="20"/>
          <w:color w:val="auto"/>
        </w:rPr>
      </w:pPr>
      <w:r>
        <w:rPr>
          <w:rFonts w:ascii="Arial" w:cs="Arial" w:eastAsia="Arial" w:hAnsi="Arial"/>
          <w:sz w:val="10"/>
          <w:szCs w:val="10"/>
          <w:b w:val="1"/>
          <w:bCs w:val="1"/>
          <w:color w:val="auto"/>
        </w:rPr>
        <w:t>Chief Executive Officer</w:t>
      </w:r>
    </w:p>
    <w:p>
      <w:pPr>
        <w:sectPr>
          <w:pgSz w:w="11900" w:h="16838" w:orient="portrait"/>
          <w:cols w:equalWidth="0" w:num="1">
            <w:col w:w="11308"/>
          </w:cols>
          <w:pgMar w:left="292" w:top="127" w:right="299" w:bottom="1440" w:gutter="0" w:footer="0" w:header="0"/>
        </w:sectPr>
      </w:pPr>
    </w:p>
    <w:bookmarkStart w:id="49" w:name="page50"/>
    <w:bookmarkEnd w:id="49"/>
    <w:p>
      <w:pPr>
        <w:jc w:val="right"/>
        <w:spacing w:after="0"/>
        <w:rPr>
          <w:sz w:val="20"/>
          <w:szCs w:val="20"/>
          <w:color w:val="auto"/>
        </w:rPr>
      </w:pPr>
      <w:r>
        <w:rPr>
          <w:rFonts w:ascii="Arial" w:cs="Arial" w:eastAsia="Arial" w:hAnsi="Arial"/>
          <w:sz w:val="12"/>
          <w:szCs w:val="12"/>
          <w:b w:val="1"/>
          <w:bCs w:val="1"/>
          <w:color w:val="auto"/>
        </w:rPr>
        <w:t>Exhibit 31.2</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I, Peter H. Stratton, Jr., certify that:</w:t>
      </w:r>
    </w:p>
    <w:p>
      <w:pPr>
        <w:spacing w:after="0" w:line="79" w:lineRule="exact"/>
        <w:rPr>
          <w:sz w:val="20"/>
          <w:szCs w:val="20"/>
          <w:color w:val="auto"/>
        </w:rPr>
      </w:pPr>
    </w:p>
    <w:p>
      <w:pPr>
        <w:ind w:left="508" w:hanging="508"/>
        <w:spacing w:after="0"/>
        <w:tabs>
          <w:tab w:leader="none" w:pos="508" w:val="left"/>
        </w:tabs>
        <w:numPr>
          <w:ilvl w:val="0"/>
          <w:numId w:val="65"/>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Destination XL Group, Inc.;</w:t>
      </w:r>
    </w:p>
    <w:p>
      <w:pPr>
        <w:spacing w:after="0" w:line="79"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6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6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Arial" w:cs="Arial" w:eastAsia="Arial" w:hAnsi="Arial"/>
          <w:sz w:val="12"/>
          <w:szCs w:val="12"/>
          <w:color w:val="auto"/>
        </w:rPr>
      </w:pPr>
    </w:p>
    <w:p>
      <w:pPr>
        <w:ind w:left="508" w:right="300" w:hanging="508"/>
        <w:spacing w:after="0" w:line="279" w:lineRule="auto"/>
        <w:tabs>
          <w:tab w:leader="none" w:pos="508"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2"/>
          <w:szCs w:val="12"/>
          <w:color w:val="auto"/>
        </w:rPr>
      </w:pPr>
    </w:p>
    <w:p>
      <w:pPr>
        <w:ind w:left="1008" w:right="20" w:hanging="500"/>
        <w:spacing w:after="0" w:line="279" w:lineRule="auto"/>
        <w:tabs>
          <w:tab w:leader="none" w:pos="1008" w:val="left"/>
        </w:tabs>
        <w:numPr>
          <w:ilvl w:val="1"/>
          <w:numId w:val="6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2"/>
          <w:szCs w:val="12"/>
          <w:color w:val="auto"/>
        </w:rPr>
      </w:pPr>
    </w:p>
    <w:p>
      <w:pPr>
        <w:ind w:left="1008" w:right="220" w:hanging="500"/>
        <w:spacing w:after="0" w:line="279" w:lineRule="auto"/>
        <w:tabs>
          <w:tab w:leader="none" w:pos="1008" w:val="left"/>
        </w:tabs>
        <w:numPr>
          <w:ilvl w:val="1"/>
          <w:numId w:val="6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2"/>
          <w:szCs w:val="12"/>
          <w:color w:val="auto"/>
        </w:rPr>
      </w:pPr>
    </w:p>
    <w:p>
      <w:pPr>
        <w:ind w:left="1008" w:right="140" w:hanging="500"/>
        <w:spacing w:after="0" w:line="279" w:lineRule="auto"/>
        <w:tabs>
          <w:tab w:leader="none" w:pos="1008" w:val="left"/>
        </w:tabs>
        <w:numPr>
          <w:ilvl w:val="1"/>
          <w:numId w:val="6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2"/>
          <w:szCs w:val="12"/>
          <w:color w:val="auto"/>
        </w:rPr>
      </w:pPr>
    </w:p>
    <w:p>
      <w:pPr>
        <w:ind w:left="1008" w:right="200" w:hanging="500"/>
        <w:spacing w:after="0" w:line="279" w:lineRule="auto"/>
        <w:tabs>
          <w:tab w:leader="none" w:pos="1008" w:val="left"/>
        </w:tabs>
        <w:numPr>
          <w:ilvl w:val="1"/>
          <w:numId w:val="6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2"/>
          <w:szCs w:val="12"/>
          <w:color w:val="auto"/>
        </w:rPr>
      </w:pPr>
    </w:p>
    <w:p>
      <w:pPr>
        <w:ind w:left="508" w:right="80" w:hanging="508"/>
        <w:spacing w:after="0" w:line="279" w:lineRule="auto"/>
        <w:tabs>
          <w:tab w:leader="none" w:pos="508"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2"/>
          <w:szCs w:val="12"/>
          <w:color w:val="auto"/>
        </w:rPr>
      </w:pPr>
    </w:p>
    <w:p>
      <w:pPr>
        <w:ind w:left="1008" w:right="160" w:hanging="500"/>
        <w:spacing w:after="0" w:line="279" w:lineRule="auto"/>
        <w:tabs>
          <w:tab w:leader="none" w:pos="1008" w:val="left"/>
        </w:tabs>
        <w:numPr>
          <w:ilvl w:val="1"/>
          <w:numId w:val="6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2"/>
          <w:szCs w:val="12"/>
          <w:color w:val="auto"/>
        </w:rPr>
      </w:pPr>
    </w:p>
    <w:p>
      <w:pPr>
        <w:ind w:left="1008" w:hanging="500"/>
        <w:spacing w:after="0"/>
        <w:tabs>
          <w:tab w:leader="none" w:pos="1008" w:val="left"/>
        </w:tabs>
        <w:numPr>
          <w:ilvl w:val="1"/>
          <w:numId w:val="6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tabs>
          <w:tab w:leader="none" w:pos="6767" w:val="left"/>
          <w:tab w:leader="none" w:pos="8567" w:val="left"/>
        </w:tabs>
        <w:rPr>
          <w:sz w:val="20"/>
          <w:szCs w:val="20"/>
          <w:color w:val="auto"/>
        </w:rPr>
      </w:pPr>
      <w:r>
        <w:rPr>
          <w:rFonts w:ascii="Arial" w:cs="Arial" w:eastAsia="Arial" w:hAnsi="Arial"/>
          <w:sz w:val="12"/>
          <w:szCs w:val="12"/>
          <w:color w:val="auto"/>
        </w:rPr>
        <w:t>Date:  May 27,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Peter H. Stratton, Jr.</w:t>
      </w:r>
    </w:p>
    <w:p>
      <w:pPr>
        <w:spacing w:after="0" w:line="5" w:lineRule="exact"/>
        <w:rPr>
          <w:sz w:val="20"/>
          <w:szCs w:val="20"/>
          <w:color w:val="auto"/>
        </w:rPr>
      </w:pPr>
    </w:p>
    <w:p>
      <w:pPr>
        <w:jc w:val="center"/>
        <w:ind w:left="7000"/>
        <w:spacing w:after="0"/>
        <w:rPr>
          <w:sz w:val="20"/>
          <w:szCs w:val="20"/>
          <w:color w:val="auto"/>
        </w:rPr>
      </w:pPr>
      <w:r>
        <w:rPr>
          <w:rFonts w:ascii="Arial" w:cs="Arial" w:eastAsia="Arial" w:hAnsi="Arial"/>
          <w:sz w:val="10"/>
          <w:szCs w:val="10"/>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4451350</wp:posOffset>
            </wp:positionH>
            <wp:positionV relativeFrom="paragraph">
              <wp:posOffset>-65405</wp:posOffset>
            </wp:positionV>
            <wp:extent cx="272605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jc w:val="center"/>
        <w:ind w:left="7000"/>
        <w:spacing w:after="0"/>
        <w:rPr>
          <w:sz w:val="20"/>
          <w:szCs w:val="20"/>
          <w:color w:val="auto"/>
        </w:rPr>
      </w:pPr>
      <w:r>
        <w:rPr>
          <w:rFonts w:ascii="Arial" w:cs="Arial" w:eastAsia="Arial" w:hAnsi="Arial"/>
          <w:sz w:val="10"/>
          <w:szCs w:val="10"/>
          <w:b w:val="1"/>
          <w:bCs w:val="1"/>
          <w:color w:val="auto"/>
        </w:rPr>
        <w:t>Chief Financial Officer</w:t>
      </w:r>
    </w:p>
    <w:p>
      <w:pPr>
        <w:sectPr>
          <w:pgSz w:w="11900" w:h="16838" w:orient="portrait"/>
          <w:cols w:equalWidth="0" w:num="1">
            <w:col w:w="11308"/>
          </w:cols>
          <w:pgMar w:left="292" w:top="127" w:right="299" w:bottom="1440" w:gutter="0" w:footer="0" w:header="0"/>
        </w:sectPr>
      </w:pPr>
    </w:p>
    <w:bookmarkStart w:id="50" w:name="page51"/>
    <w:bookmarkEnd w:id="50"/>
    <w:p>
      <w:pPr>
        <w:jc w:val="right"/>
        <w:spacing w:after="0"/>
        <w:rPr>
          <w:sz w:val="20"/>
          <w:szCs w:val="20"/>
          <w:color w:val="auto"/>
        </w:rPr>
      </w:pPr>
      <w:r>
        <w:rPr>
          <w:rFonts w:ascii="Arial" w:cs="Arial" w:eastAsia="Arial" w:hAnsi="Arial"/>
          <w:sz w:val="12"/>
          <w:szCs w:val="12"/>
          <w:b w:val="1"/>
          <w:bCs w:val="1"/>
          <w:color w:val="auto"/>
        </w:rPr>
        <w:t>Exhibit 32.1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3" w:lineRule="exact"/>
        <w:rPr>
          <w:sz w:val="20"/>
          <w:szCs w:val="20"/>
          <w:color w:val="auto"/>
        </w:rPr>
      </w:pPr>
    </w:p>
    <w:p>
      <w:pPr>
        <w:ind w:right="320" w:firstLine="513"/>
        <w:spacing w:after="0" w:line="279" w:lineRule="auto"/>
        <w:rPr>
          <w:sz w:val="20"/>
          <w:szCs w:val="20"/>
          <w:color w:val="auto"/>
        </w:rPr>
      </w:pPr>
      <w:r>
        <w:rPr>
          <w:rFonts w:ascii="Arial" w:cs="Arial" w:eastAsia="Arial" w:hAnsi="Arial"/>
          <w:sz w:val="12"/>
          <w:szCs w:val="12"/>
          <w:color w:val="auto"/>
        </w:rPr>
        <w:t>In connection with the Quarterly Report on Form 10-Q of Destination XL Group, Inc. (the “Company”) for the period ended May 1, 2021, as filed with the Securities and Exchange Commission on the date hereof (the “Report”), I, Harvey S. Kanter, Chief Executive Officer of the Company, certify pursuant to 18 U.S.C. § 1350, as adopted pursuant to § 906 of the Sarbanes-Oxley Act of 2002, that:</w:t>
      </w:r>
    </w:p>
    <w:p>
      <w:pPr>
        <w:spacing w:after="0" w:line="41" w:lineRule="exact"/>
        <w:rPr>
          <w:sz w:val="20"/>
          <w:szCs w:val="20"/>
          <w:color w:val="auto"/>
        </w:rPr>
      </w:pPr>
    </w:p>
    <w:p>
      <w:pPr>
        <w:ind w:left="1240" w:hanging="176"/>
        <w:spacing w:after="0"/>
        <w:tabs>
          <w:tab w:leader="none" w:pos="12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(the “Exchange Act”); and</w:t>
      </w:r>
    </w:p>
    <w:p>
      <w:pPr>
        <w:spacing w:after="0" w:line="79" w:lineRule="exact"/>
        <w:rPr>
          <w:rFonts w:ascii="Arial" w:cs="Arial" w:eastAsia="Arial" w:hAnsi="Arial"/>
          <w:sz w:val="12"/>
          <w:szCs w:val="12"/>
          <w:color w:val="auto"/>
        </w:rPr>
      </w:pPr>
    </w:p>
    <w:p>
      <w:pPr>
        <w:ind w:left="1240" w:hanging="176"/>
        <w:spacing w:after="0"/>
        <w:tabs>
          <w:tab w:leader="none" w:pos="12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ind w:right="160" w:firstLine="513"/>
        <w:spacing w:after="0" w:line="265" w:lineRule="auto"/>
        <w:rPr>
          <w:sz w:val="20"/>
          <w:szCs w:val="20"/>
          <w:color w:val="auto"/>
        </w:rPr>
      </w:pPr>
      <w:r>
        <w:rPr>
          <w:rFonts w:ascii="Arial" w:cs="Arial" w:eastAsia="Arial" w:hAnsi="Arial"/>
          <w:sz w:val="12"/>
          <w:szCs w:val="12"/>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41" w:lineRule="exact"/>
        <w:rPr>
          <w:sz w:val="20"/>
          <w:szCs w:val="20"/>
          <w:color w:val="auto"/>
        </w:rPr>
      </w:pPr>
    </w:p>
    <w:p>
      <w:pPr>
        <w:spacing w:after="0"/>
        <w:tabs>
          <w:tab w:leader="none" w:pos="6760" w:val="left"/>
          <w:tab w:leader="none" w:pos="8640" w:val="left"/>
        </w:tabs>
        <w:rPr>
          <w:sz w:val="20"/>
          <w:szCs w:val="20"/>
          <w:color w:val="auto"/>
        </w:rPr>
      </w:pPr>
      <w:r>
        <w:rPr>
          <w:rFonts w:ascii="Arial" w:cs="Arial" w:eastAsia="Arial" w:hAnsi="Arial"/>
          <w:sz w:val="12"/>
          <w:szCs w:val="12"/>
          <w:color w:val="auto"/>
        </w:rPr>
        <w:t>Date:  May 27,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Harvey S. Kanter</w:t>
      </w:r>
    </w:p>
    <w:p>
      <w:pPr>
        <w:spacing w:after="0" w:line="5" w:lineRule="exact"/>
        <w:rPr>
          <w:sz w:val="20"/>
          <w:szCs w:val="20"/>
          <w:color w:val="auto"/>
        </w:rPr>
      </w:pPr>
    </w:p>
    <w:p>
      <w:pPr>
        <w:jc w:val="center"/>
        <w:ind w:left="7000"/>
        <w:spacing w:after="0"/>
        <w:rPr>
          <w:sz w:val="20"/>
          <w:szCs w:val="20"/>
          <w:color w:val="auto"/>
        </w:rPr>
      </w:pPr>
      <w:r>
        <w:rPr>
          <w:rFonts w:ascii="Arial" w:cs="Arial" w:eastAsia="Arial" w:hAnsi="Arial"/>
          <w:sz w:val="10"/>
          <w:szCs w:val="10"/>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-65405</wp:posOffset>
            </wp:positionV>
            <wp:extent cx="272605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jc w:val="center"/>
        <w:ind w:left="7000"/>
        <w:spacing w:after="0"/>
        <w:rPr>
          <w:sz w:val="20"/>
          <w:szCs w:val="20"/>
          <w:color w:val="auto"/>
        </w:rPr>
      </w:pPr>
      <w:r>
        <w:rPr>
          <w:rFonts w:ascii="Arial" w:cs="Arial" w:eastAsia="Arial" w:hAnsi="Arial"/>
          <w:sz w:val="10"/>
          <w:szCs w:val="10"/>
          <w:b w:val="1"/>
          <w:bCs w:val="1"/>
          <w:color w:val="auto"/>
        </w:rPr>
        <w:t>Chief Executive Officer</w:t>
      </w:r>
    </w:p>
    <w:p>
      <w:pPr>
        <w:spacing w:after="0" w:line="125" w:lineRule="exact"/>
        <w:rPr>
          <w:sz w:val="20"/>
          <w:szCs w:val="20"/>
          <w:color w:val="auto"/>
        </w:rPr>
      </w:pPr>
    </w:p>
    <w:p>
      <w:pPr>
        <w:ind w:right="280" w:firstLine="513"/>
        <w:spacing w:after="0" w:line="326" w:lineRule="auto"/>
        <w:rPr>
          <w:sz w:val="20"/>
          <w:szCs w:val="20"/>
          <w:color w:val="auto"/>
        </w:rPr>
      </w:pPr>
      <w:r>
        <w:rPr>
          <w:rFonts w:ascii="Arial" w:cs="Arial" w:eastAsia="Arial" w:hAnsi="Arial"/>
          <w:sz w:val="11"/>
          <w:szCs w:val="11"/>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300"/>
          </w:cols>
          <w:pgMar w:left="300" w:top="127" w:right="299" w:bottom="1440" w:gutter="0" w:footer="0" w:header="0"/>
        </w:sectPr>
      </w:pPr>
    </w:p>
    <w:bookmarkStart w:id="51" w:name="page52"/>
    <w:bookmarkEnd w:id="51"/>
    <w:p>
      <w:pPr>
        <w:jc w:val="right"/>
        <w:spacing w:after="0"/>
        <w:rPr>
          <w:sz w:val="20"/>
          <w:szCs w:val="20"/>
          <w:color w:val="auto"/>
        </w:rPr>
      </w:pPr>
      <w:r>
        <w:rPr>
          <w:rFonts w:ascii="Arial" w:cs="Arial" w:eastAsia="Arial" w:hAnsi="Arial"/>
          <w:sz w:val="12"/>
          <w:szCs w:val="12"/>
          <w:b w:val="1"/>
          <w:bCs w:val="1"/>
          <w:color w:val="auto"/>
        </w:rPr>
        <w:t>Exhibit 32.2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3" w:lineRule="exact"/>
        <w:rPr>
          <w:sz w:val="20"/>
          <w:szCs w:val="20"/>
          <w:color w:val="auto"/>
        </w:rPr>
      </w:pPr>
    </w:p>
    <w:p>
      <w:pPr>
        <w:ind w:right="320" w:firstLine="513"/>
        <w:spacing w:after="0" w:line="279" w:lineRule="auto"/>
        <w:rPr>
          <w:sz w:val="20"/>
          <w:szCs w:val="20"/>
          <w:color w:val="auto"/>
        </w:rPr>
      </w:pPr>
      <w:r>
        <w:rPr>
          <w:rFonts w:ascii="Arial" w:cs="Arial" w:eastAsia="Arial" w:hAnsi="Arial"/>
          <w:sz w:val="12"/>
          <w:szCs w:val="12"/>
          <w:color w:val="auto"/>
        </w:rPr>
        <w:t>In connection with the Quarterly Report on Form 10-Q of Destination XL Group, Inc. (the “Company”) for the period ended May 1, 2021,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41" w:lineRule="exact"/>
        <w:rPr>
          <w:sz w:val="20"/>
          <w:szCs w:val="20"/>
          <w:color w:val="auto"/>
        </w:rPr>
      </w:pPr>
    </w:p>
    <w:p>
      <w:pPr>
        <w:ind w:left="1240" w:hanging="176"/>
        <w:spacing w:after="0"/>
        <w:tabs>
          <w:tab w:leader="none" w:pos="1240"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(the “Exchange Act”); and</w:t>
      </w:r>
    </w:p>
    <w:p>
      <w:pPr>
        <w:spacing w:after="0" w:line="79" w:lineRule="exact"/>
        <w:rPr>
          <w:rFonts w:ascii="Arial" w:cs="Arial" w:eastAsia="Arial" w:hAnsi="Arial"/>
          <w:sz w:val="12"/>
          <w:szCs w:val="12"/>
          <w:color w:val="auto"/>
        </w:rPr>
      </w:pPr>
    </w:p>
    <w:p>
      <w:pPr>
        <w:ind w:left="1240" w:hanging="176"/>
        <w:spacing w:after="0"/>
        <w:tabs>
          <w:tab w:leader="none" w:pos="1240"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ind w:right="160" w:firstLine="513"/>
        <w:spacing w:after="0" w:line="265" w:lineRule="auto"/>
        <w:rPr>
          <w:sz w:val="20"/>
          <w:szCs w:val="20"/>
          <w:color w:val="auto"/>
        </w:rPr>
      </w:pPr>
      <w:r>
        <w:rPr>
          <w:rFonts w:ascii="Arial" w:cs="Arial" w:eastAsia="Arial" w:hAnsi="Arial"/>
          <w:sz w:val="12"/>
          <w:szCs w:val="12"/>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41" w:lineRule="exact"/>
        <w:rPr>
          <w:sz w:val="20"/>
          <w:szCs w:val="20"/>
          <w:color w:val="auto"/>
        </w:rPr>
      </w:pPr>
    </w:p>
    <w:p>
      <w:pPr>
        <w:spacing w:after="0"/>
        <w:tabs>
          <w:tab w:leader="none" w:pos="6760" w:val="left"/>
          <w:tab w:leader="none" w:pos="8560" w:val="left"/>
        </w:tabs>
        <w:rPr>
          <w:sz w:val="20"/>
          <w:szCs w:val="20"/>
          <w:color w:val="auto"/>
        </w:rPr>
      </w:pPr>
      <w:r>
        <w:rPr>
          <w:rFonts w:ascii="Arial" w:cs="Arial" w:eastAsia="Arial" w:hAnsi="Arial"/>
          <w:sz w:val="12"/>
          <w:szCs w:val="12"/>
          <w:color w:val="auto"/>
        </w:rPr>
        <w:t>Date:  May 27,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Peter H. Stratton, Jr.</w:t>
      </w:r>
    </w:p>
    <w:p>
      <w:pPr>
        <w:spacing w:after="0" w:line="5" w:lineRule="exact"/>
        <w:rPr>
          <w:sz w:val="20"/>
          <w:szCs w:val="20"/>
          <w:color w:val="auto"/>
        </w:rPr>
      </w:pPr>
    </w:p>
    <w:p>
      <w:pPr>
        <w:jc w:val="center"/>
        <w:ind w:left="7000"/>
        <w:spacing w:after="0"/>
        <w:rPr>
          <w:sz w:val="20"/>
          <w:szCs w:val="20"/>
          <w:color w:val="auto"/>
        </w:rPr>
      </w:pPr>
      <w:r>
        <w:rPr>
          <w:rFonts w:ascii="Arial" w:cs="Arial" w:eastAsia="Arial" w:hAnsi="Arial"/>
          <w:sz w:val="10"/>
          <w:szCs w:val="10"/>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-65405</wp:posOffset>
            </wp:positionV>
            <wp:extent cx="272605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jc w:val="center"/>
        <w:ind w:left="7000"/>
        <w:spacing w:after="0"/>
        <w:rPr>
          <w:sz w:val="20"/>
          <w:szCs w:val="20"/>
          <w:color w:val="auto"/>
        </w:rPr>
      </w:pPr>
      <w:r>
        <w:rPr>
          <w:rFonts w:ascii="Arial" w:cs="Arial" w:eastAsia="Arial" w:hAnsi="Arial"/>
          <w:sz w:val="10"/>
          <w:szCs w:val="10"/>
          <w:b w:val="1"/>
          <w:bCs w:val="1"/>
          <w:color w:val="auto"/>
        </w:rPr>
        <w:t>Chief Financial Officer</w:t>
      </w:r>
    </w:p>
    <w:p>
      <w:pPr>
        <w:spacing w:after="0" w:line="125" w:lineRule="exact"/>
        <w:rPr>
          <w:sz w:val="20"/>
          <w:szCs w:val="20"/>
          <w:color w:val="auto"/>
        </w:rPr>
      </w:pPr>
    </w:p>
    <w:p>
      <w:pPr>
        <w:ind w:right="280" w:firstLine="513"/>
        <w:spacing w:after="0" w:line="326" w:lineRule="auto"/>
        <w:rPr>
          <w:sz w:val="20"/>
          <w:szCs w:val="20"/>
          <w:color w:val="auto"/>
        </w:rPr>
      </w:pPr>
      <w:r>
        <w:rPr>
          <w:rFonts w:ascii="Arial" w:cs="Arial" w:eastAsia="Arial" w:hAnsi="Arial"/>
          <w:sz w:val="11"/>
          <w:szCs w:val="11"/>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300"/>
      </w:cols>
      <w:pgMar w:left="300" w:top="12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1)"/>
      <w:numFmt w:val="decimal"/>
      <w:start w:val="3"/>
    </w:lvl>
  </w:abstractNum>
  <w:abstractNum w:abstractNumId="8">
    <w:nsid w:val="5C482A97"/>
    <w:multiLevelType w:val="hybridMultilevel"/>
    <w:lvl w:ilvl="0">
      <w:lvlJc w:val="left"/>
      <w:lvlText w:val="(%1)"/>
      <w:numFmt w:val="decimal"/>
      <w:start w:val="1"/>
    </w:lvl>
  </w:abstractNum>
  <w:abstractNum w:abstractNumId="9">
    <w:nsid w:val="2463B9EA"/>
    <w:multiLevelType w:val="hybridMultilevel"/>
    <w:lvl w:ilvl="0">
      <w:lvlJc w:val="left"/>
      <w:lvlText w:val="%1"/>
      <w:numFmt w:val="decimal"/>
      <w:start w:val="104"/>
    </w:lvl>
    <w:lvl w:ilvl="1">
      <w:lvlJc w:val="left"/>
      <w:lvlText w:val="*"/>
      <w:numFmt w:val="bullet"/>
      <w:start w:val="1"/>
    </w:lvl>
  </w:abstractNum>
  <w:abstractNum w:abstractNumId="10">
    <w:nsid w:val="5E884ADC"/>
    <w:multiLevelType w:val="hybridMultilevel"/>
    <w:lvl w:ilvl="0">
      <w:lvlJc w:val="left"/>
      <w:lvlText w:val="%1."/>
      <w:numFmt w:val="decimal"/>
      <w:start w:val="1"/>
    </w:lvl>
  </w:abstractNum>
  <w:abstractNum w:abstractNumId="11">
    <w:nsid w:val="51EAD36B"/>
    <w:multiLevelType w:val="hybridMultilevel"/>
    <w:lvl w:ilvl="0">
      <w:lvlJc w:val="left"/>
      <w:lvlText w:val="%1."/>
      <w:numFmt w:val="decimal"/>
      <w:start w:val="2"/>
    </w:lvl>
  </w:abstractNum>
  <w:abstractNum w:abstractNumId="12">
    <w:nsid w:val="2D517796"/>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3">
    <w:nsid w:val="580BD78F"/>
    <w:multiLevelType w:val="hybridMultilevel"/>
    <w:lvl w:ilvl="0">
      <w:lvlJc w:val="left"/>
      <w:lvlText w:val="%1"/>
      <w:numFmt w:val="decimal"/>
      <w:start w:val="1"/>
    </w:lvl>
    <w:lvl w:ilvl="1">
      <w:lvlJc w:val="left"/>
      <w:lvlText w:val="(%2)"/>
      <w:numFmt w:val="lowerLetter"/>
      <w:start w:val="3"/>
    </w:lvl>
  </w:abstractNum>
  <w:abstractNum w:abstractNumId="14">
    <w:nsid w:val="153EA438"/>
    <w:multiLevelType w:val="hybridMultilevel"/>
    <w:lvl w:ilvl="0">
      <w:lvlJc w:val="left"/>
      <w:lvlText w:val="%1."/>
      <w:numFmt w:val="decimal"/>
      <w:start w:val="4"/>
    </w:lvl>
    <w:lvl w:ilvl="1">
      <w:lvlJc w:val="left"/>
      <w:lvlText w:val="%2"/>
      <w:numFmt w:val="lowerLetter"/>
      <w:start w:val="1"/>
    </w:lvl>
  </w:abstractNum>
  <w:abstractNum w:abstractNumId="15">
    <w:nsid w:val="3855585C"/>
    <w:multiLevelType w:val="hybridMultilevel"/>
    <w:lvl w:ilvl="0">
      <w:lvlJc w:val="left"/>
      <w:lvlText w:val="%1."/>
      <w:numFmt w:val="decimal"/>
      <w:start w:val="5"/>
    </w:lvl>
    <w:lvl w:ilvl="1">
      <w:lvlJc w:val="left"/>
      <w:lvlText w:val="(%2)"/>
      <w:numFmt w:val="lowerLetter"/>
      <w:start w:val="1"/>
    </w:lvl>
  </w:abstractNum>
  <w:abstractNum w:abstractNumId="16">
    <w:nsid w:val="70A64E2A"/>
    <w:multiLevelType w:val="hybridMultilevel"/>
    <w:lvl w:ilvl="0">
      <w:lvlJc w:val="left"/>
      <w:lvlText w:val="%1"/>
      <w:numFmt w:val="decimal"/>
      <w:start w:val="1"/>
    </w:lvl>
    <w:lvl w:ilvl="1">
      <w:lvlJc w:val="left"/>
      <w:lvlText w:val="(%2)"/>
      <w:numFmt w:val="lowerLetter"/>
      <w:start w:val="2"/>
    </w:lvl>
  </w:abstractNum>
  <w:abstractNum w:abstractNumId="17">
    <w:nsid w:val="6A2342EC"/>
    <w:multiLevelType w:val="hybridMultilevel"/>
    <w:lvl w:ilvl="0">
      <w:lvlJc w:val="left"/>
      <w:lvlText w:val="%1."/>
      <w:numFmt w:val="decimal"/>
      <w:start w:val="6"/>
    </w:lvl>
    <w:lvl w:ilvl="1">
      <w:lvlJc w:val="left"/>
      <w:lvlText w:val="%2"/>
      <w:numFmt w:val="lowerLetter"/>
      <w:start w:val="1"/>
    </w:lvl>
  </w:abstractNum>
  <w:abstractNum w:abstractNumId="18">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Roman"/>
      <w:start w:val="1"/>
    </w:lvl>
  </w:abstractNum>
  <w:abstractNum w:abstractNumId="19">
    <w:nsid w:val="1D4ED43B"/>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Roman"/>
      <w:start w:val="1"/>
    </w:lvl>
  </w:abstractNum>
  <w:abstractNum w:abstractNumId="20">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Roman"/>
      <w:start w:val="3"/>
    </w:lvl>
  </w:abstractNum>
  <w:abstractNum w:abstractNumId="21">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3"/>
    </w:lvl>
    <w:lvl w:ilvl="4">
      <w:lvlJc w:val="left"/>
      <w:lvlText w:val="%5"/>
      <w:numFmt w:val="lowerRoman"/>
      <w:start w:val="1"/>
    </w:lvl>
    <w:lvl w:ilvl="5">
      <w:lvlJc w:val="left"/>
      <w:lvlText w:val="%6"/>
      <w:numFmt w:val="lowerRoman"/>
      <w:start w:val="1"/>
    </w:lvl>
  </w:abstractNum>
  <w:abstractNum w:abstractNumId="22">
    <w:nsid w:val="57E4CCAF"/>
    <w:multiLevelType w:val="hybridMultilevel"/>
    <w:lvl w:ilvl="0">
      <w:lvlJc w:val="left"/>
      <w:lvlText w:val="%1"/>
      <w:numFmt w:val="lowerLetter"/>
      <w:start w:val="1"/>
    </w:lvl>
    <w:lvl w:ilvl="1">
      <w:lvlJc w:val="left"/>
      <w:lvlText w:val="(%2)"/>
      <w:numFmt w:val="lowerLetter"/>
      <w:start w:val="4"/>
    </w:lvl>
  </w:abstractNum>
  <w:abstractNum w:abstractNumId="23">
    <w:nsid w:val="7A6D8D3C"/>
    <w:multiLevelType w:val="hybridMultilevel"/>
    <w:lvl w:ilvl="0">
      <w:lvlJc w:val="left"/>
      <w:lvlText w:val="(%1)"/>
      <w:numFmt w:val="lowerLetter"/>
      <w:start w:val="5"/>
    </w:lvl>
    <w:lvl w:ilvl="1">
      <w:lvlJc w:val="left"/>
      <w:lvlText w:val="(%2)"/>
      <w:numFmt w:val="lowerLetter"/>
      <w:start w:val="6"/>
    </w:lvl>
  </w:abstractNum>
  <w:abstractNum w:abstractNumId="24">
    <w:nsid w:val="4B588F54"/>
    <w:multiLevelType w:val="hybridMultilevel"/>
    <w:lvl w:ilvl="0">
      <w:lvlJc w:val="left"/>
      <w:lvlText w:val="(%1)"/>
      <w:numFmt w:val="lowerLetter"/>
      <w:start w:val="8"/>
    </w:lvl>
  </w:abstractNum>
  <w:abstractNum w:abstractNumId="25">
    <w:nsid w:val="542289EC"/>
    <w:multiLevelType w:val="hybridMultilevel"/>
    <w:lvl w:ilvl="0">
      <w:lvlJc w:val="left"/>
      <w:lvlText w:val="(%1)"/>
      <w:numFmt w:val="lowerLetter"/>
      <w:start w:val="10"/>
    </w:lvl>
  </w:abstractNum>
  <w:abstractNum w:abstractNumId="26">
    <w:nsid w:val="6DE91B18"/>
    <w:multiLevelType w:val="hybridMultilevel"/>
    <w:lvl w:ilvl="0">
      <w:lvlJc w:val="left"/>
      <w:lvlText w:val="."/>
      <w:numFmt w:val="bullet"/>
      <w:start w:val="1"/>
    </w:lvl>
    <w:lvl w:ilvl="1">
      <w:lvlJc w:val="left"/>
      <w:lvlText w:val="%2."/>
      <w:numFmt w:val="upperLetter"/>
      <w:start w:val="1"/>
    </w:lvl>
  </w:abstractNum>
  <w:abstractNum w:abstractNumId="27">
    <w:nsid w:val="38437FDB"/>
    <w:multiLevelType w:val="hybridMultilevel"/>
    <w:lvl w:ilvl="0">
      <w:lvlJc w:val="left"/>
      <w:lvlText w:val="(%1)"/>
      <w:numFmt w:val="lowerLetter"/>
      <w:start w:val="11"/>
    </w:lvl>
  </w:abstractNum>
  <w:abstractNum w:abstractNumId="28">
    <w:nsid w:val="7644A45C"/>
    <w:multiLevelType w:val="hybridMultilevel"/>
    <w:lvl w:ilvl="0">
      <w:lvlJc w:val="left"/>
      <w:lvlText w:val="(%1)"/>
      <w:numFmt w:val="lowerRoman"/>
      <w:start w:val="1"/>
    </w:lvl>
  </w:abstractNum>
  <w:abstractNum w:abstractNumId="29">
    <w:nsid w:val="32FFF902"/>
    <w:multiLevelType w:val="hybridMultilevel"/>
    <w:lvl w:ilvl="0">
      <w:lvlJc w:val="left"/>
      <w:lvlText w:val="(%1)"/>
      <w:numFmt w:val="lowerRoman"/>
      <w:start w:val="1"/>
    </w:lvl>
  </w:abstractNum>
  <w:abstractNum w:abstractNumId="30">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2"/>
    </w:lvl>
  </w:abstractNum>
  <w:abstractNum w:abstractNumId="31">
    <w:nsid w:val="579478FE"/>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32">
    <w:nsid w:val="749ABB43"/>
    <w:multiLevelType w:val="hybridMultilevel"/>
    <w:lvl w:ilvl="0">
      <w:lvlJc w:val="left"/>
      <w:lvlText w:val="(%1)"/>
      <w:numFmt w:val="lowerLetter"/>
      <w:start w:val="1"/>
    </w:lvl>
  </w:abstractNum>
  <w:abstractNum w:abstractNumId="33">
    <w:nsid w:val="3DC240FB"/>
    <w:multiLevelType w:val="hybridMultilevel"/>
    <w:lvl w:ilvl="0">
      <w:lvlJc w:val="left"/>
      <w:lvlText w:val="(%1)"/>
      <w:numFmt w:val="lowerLetter"/>
      <w:start w:val="2"/>
    </w:lvl>
  </w:abstractNum>
  <w:abstractNum w:abstractNumId="34">
    <w:nsid w:val="1BA026FA"/>
    <w:multiLevelType w:val="hybridMultilevel"/>
    <w:lvl w:ilvl="0">
      <w:lvlJc w:val="left"/>
      <w:lvlText w:val="%1."/>
      <w:numFmt w:val="decimal"/>
      <w:start w:val="11"/>
    </w:lvl>
  </w:abstractNum>
  <w:abstractNum w:abstractNumId="35">
    <w:nsid w:val="79A1DEAA"/>
    <w:multiLevelType w:val="hybridMultilevel"/>
    <w:lvl w:ilvl="0">
      <w:lvlJc w:val="left"/>
      <w:lvlText w:val="(%1)"/>
      <w:numFmt w:val="lowerLetter"/>
      <w:start w:val="1"/>
    </w:lvl>
  </w:abstractNum>
  <w:abstractNum w:abstractNumId="36">
    <w:nsid w:val="75C6C33A"/>
    <w:multiLevelType w:val="hybridMultilevel"/>
    <w:lvl w:ilvl="0">
      <w:lvlJc w:val="left"/>
      <w:lvlText w:val="(%1)"/>
      <w:numFmt w:val="lowerLetter"/>
      <w:start w:val="2"/>
    </w:lvl>
  </w:abstractNum>
  <w:abstractNum w:abstractNumId="37">
    <w:nsid w:val="12E685FB"/>
    <w:multiLevelType w:val="hybridMultilevel"/>
    <w:lvl w:ilvl="0">
      <w:lvlJc w:val="left"/>
      <w:lvlText w:val="%1."/>
      <w:numFmt w:val="decimal"/>
      <w:start w:val="12"/>
    </w:lvl>
  </w:abstractNum>
  <w:abstractNum w:abstractNumId="38">
    <w:nsid w:val="70C6A529"/>
    <w:multiLevelType w:val="hybridMultilevel"/>
    <w:lvl w:ilvl="0">
      <w:lvlJc w:val="left"/>
      <w:lvlText w:val="(%1)"/>
      <w:numFmt w:val="lowerLetter"/>
      <w:start w:val="1"/>
    </w:lvl>
  </w:abstractNum>
  <w:abstractNum w:abstractNumId="39">
    <w:nsid w:val="520EEDD1"/>
    <w:multiLevelType w:val="hybridMultilevel"/>
    <w:lvl w:ilvl="0">
      <w:lvlJc w:val="left"/>
      <w:lvlText w:val="(%1)"/>
      <w:numFmt w:val="lowerLetter"/>
      <w:start w:val="2"/>
    </w:lvl>
  </w:abstractNum>
  <w:abstractNum w:abstractNumId="40">
    <w:nsid w:val="374A3FE6"/>
    <w:multiLevelType w:val="hybridMultilevel"/>
    <w:lvl w:ilvl="0">
      <w:lvlJc w:val="left"/>
      <w:lvlText w:val="%1."/>
      <w:numFmt w:val="decimal"/>
      <w:start w:val="13"/>
    </w:lvl>
  </w:abstractNum>
  <w:abstractNum w:abstractNumId="41">
    <w:nsid w:val="4F4EF005"/>
    <w:multiLevelType w:val="hybridMultilevel"/>
    <w:lvl w:ilvl="0">
      <w:lvlJc w:val="left"/>
      <w:lvlText w:val="%1."/>
      <w:numFmt w:val="decimal"/>
      <w:start w:val="14"/>
    </w:lvl>
  </w:abstractNum>
  <w:abstractNum w:abstractNumId="42">
    <w:nsid w:val="23F9C13C"/>
    <w:multiLevelType w:val="hybridMultilevel"/>
    <w:lvl w:ilvl="0">
      <w:lvlJc w:val="left"/>
      <w:lvlText w:val="%1."/>
      <w:numFmt w:val="decimal"/>
      <w:start w:val="15"/>
    </w:lvl>
  </w:abstractNum>
  <w:abstractNum w:abstractNumId="43">
    <w:nsid w:val="649BB77C"/>
    <w:multiLevelType w:val="hybridMultilevel"/>
    <w:lvl w:ilvl="0">
      <w:lvlJc w:val="left"/>
      <w:lvlText w:val="%1."/>
      <w:numFmt w:val="decimal"/>
      <w:start w:val="16"/>
    </w:lvl>
  </w:abstractNum>
  <w:abstractNum w:abstractNumId="44">
    <w:nsid w:val="275AC794"/>
    <w:multiLevelType w:val="hybridMultilevel"/>
    <w:lvl w:ilvl="0">
      <w:lvlJc w:val="left"/>
      <w:lvlText w:val="%1."/>
      <w:numFmt w:val="decimal"/>
      <w:start w:val="17"/>
    </w:lvl>
  </w:abstractNum>
  <w:abstractNum w:abstractNumId="45">
    <w:nsid w:val="39386575"/>
    <w:multiLevelType w:val="hybridMultilevel"/>
    <w:lvl w:ilvl="0">
      <w:lvlJc w:val="left"/>
      <w:lvlText w:val="%1."/>
      <w:numFmt w:val="decimal"/>
      <w:start w:val="18"/>
    </w:lvl>
  </w:abstractNum>
  <w:abstractNum w:abstractNumId="46">
    <w:nsid w:val="1CF10FD8"/>
    <w:multiLevelType w:val="hybridMultilevel"/>
    <w:lvl w:ilvl="0">
      <w:lvlJc w:val="left"/>
      <w:lvlText w:val="%1."/>
      <w:numFmt w:val="decimal"/>
      <w:start w:val="19"/>
    </w:lvl>
  </w:abstractNum>
  <w:abstractNum w:abstractNumId="47">
    <w:nsid w:val="180115BE"/>
    <w:multiLevelType w:val="hybridMultilevel"/>
    <w:lvl w:ilvl="0">
      <w:lvlJc w:val="left"/>
      <w:lvlText w:val="%1."/>
      <w:numFmt w:val="decimal"/>
      <w:start w:val="20"/>
    </w:lvl>
  </w:abstractNum>
  <w:abstractNum w:abstractNumId="48">
    <w:nsid w:val="235BA861"/>
    <w:multiLevelType w:val="hybridMultilevel"/>
    <w:lvl w:ilvl="0">
      <w:lvlJc w:val="left"/>
      <w:lvlText w:val="%1."/>
      <w:numFmt w:val="decimal"/>
      <w:start w:val="21"/>
    </w:lvl>
  </w:abstractNum>
  <w:abstractNum w:abstractNumId="49">
    <w:nsid w:val="47398C89"/>
    <w:multiLevelType w:val="hybridMultilevel"/>
    <w:lvl w:ilvl="0">
      <w:lvlJc w:val="left"/>
      <w:lvlText w:val="%1."/>
      <w:numFmt w:val="decimal"/>
      <w:start w:val="22"/>
    </w:lvl>
  </w:abstractNum>
  <w:abstractNum w:abstractNumId="50">
    <w:nsid w:val="354FE9F9"/>
    <w:multiLevelType w:val="hybridMultilevel"/>
    <w:lvl w:ilvl="0">
      <w:lvlJc w:val="left"/>
      <w:lvlText w:val="%1."/>
      <w:numFmt w:val="decimal"/>
      <w:start w:val="23"/>
    </w:lvl>
  </w:abstractNum>
  <w:abstractNum w:abstractNumId="51">
    <w:nsid w:val="15B5AF5C"/>
    <w:multiLevelType w:val="hybridMultilevel"/>
    <w:lvl w:ilvl="0">
      <w:lvlJc w:val="left"/>
      <w:lvlText w:val="%1."/>
      <w:numFmt w:val="decimal"/>
      <w:start w:val="24"/>
    </w:lvl>
    <w:lvl w:ilvl="1">
      <w:lvlJc w:val="left"/>
      <w:lvlText w:val="(%2)"/>
      <w:numFmt w:val="lowerLetter"/>
      <w:start w:val="1"/>
    </w:lvl>
  </w:abstractNum>
  <w:abstractNum w:abstractNumId="52">
    <w:nsid w:val="741226BB"/>
    <w:multiLevelType w:val="hybridMultilevel"/>
    <w:lvl w:ilvl="0">
      <w:lvlJc w:val="left"/>
      <w:lvlText w:val="(%1)"/>
      <w:numFmt w:val="lowerLetter"/>
      <w:start w:val="2"/>
    </w:lvl>
  </w:abstractNum>
  <w:abstractNum w:abstractNumId="53">
    <w:nsid w:val="D34B6A8"/>
    <w:multiLevelType w:val="hybridMultilevel"/>
    <w:lvl w:ilvl="0">
      <w:lvlJc w:val="left"/>
      <w:lvlText w:val="%1."/>
      <w:numFmt w:val="decimal"/>
      <w:start w:val="25"/>
    </w:lvl>
  </w:abstractNum>
  <w:abstractNum w:abstractNumId="54">
    <w:nsid w:val="10233C99"/>
    <w:multiLevelType w:val="hybridMultilevel"/>
    <w:lvl w:ilvl="0">
      <w:lvlJc w:val="left"/>
      <w:lvlText w:val="%1."/>
      <w:numFmt w:val="decimal"/>
      <w:start w:val="26"/>
    </w:lvl>
  </w:abstractNum>
  <w:abstractNum w:abstractNumId="55">
    <w:nsid w:val="3F6AB60F"/>
    <w:multiLevelType w:val="hybridMultilevel"/>
    <w:lvl w:ilvl="0">
      <w:lvlJc w:val="left"/>
      <w:lvlText w:val="%1"/>
      <w:numFmt w:val="lowerLetter"/>
      <w:start w:val="1"/>
    </w:lvl>
    <w:lvl w:ilvl="1">
      <w:lvlJc w:val="left"/>
      <w:lvlText w:val="%2."/>
      <w:numFmt w:val="decimal"/>
      <w:start w:val="1"/>
    </w:lvl>
  </w:abstractNum>
  <w:abstractNum w:abstractNumId="56">
    <w:nsid w:val="61574095"/>
    <w:multiLevelType w:val="hybridMultilevel"/>
    <w:lvl w:ilvl="0">
      <w:lvlJc w:val="left"/>
      <w:lvlText w:val="%1."/>
      <w:numFmt w:val="decimal"/>
      <w:start w:val="2"/>
    </w:lvl>
  </w:abstractNum>
  <w:abstractNum w:abstractNumId="57">
    <w:nsid w:val="7E0C57B1"/>
    <w:multiLevelType w:val="hybridMultilevel"/>
    <w:lvl w:ilvl="0">
      <w:lvlJc w:val="left"/>
      <w:lvlText w:val="%1"/>
      <w:numFmt w:val="lowerLetter"/>
      <w:start w:val="1"/>
    </w:lvl>
    <w:lvl w:ilvl="1">
      <w:lvlJc w:val="left"/>
      <w:lvlText w:val="(%2)"/>
      <w:numFmt w:val="lowerLetter"/>
      <w:start w:val="2"/>
    </w:lvl>
  </w:abstractNum>
  <w:abstractNum w:abstractNumId="58">
    <w:nsid w:val="77AE35EB"/>
    <w:multiLevelType w:val="hybridMultilevel"/>
    <w:lvl w:ilvl="0">
      <w:lvlJc w:val="left"/>
      <w:lvlText w:val="(%1)"/>
      <w:numFmt w:val="lowerLetter"/>
      <w:start w:val="3"/>
    </w:lvl>
    <w:lvl w:ilvl="1">
      <w:lvlJc w:val="left"/>
      <w:lvlText w:val="%2"/>
      <w:numFmt w:val="lowerLetter"/>
      <w:start w:val="1"/>
    </w:lvl>
  </w:abstractNum>
  <w:abstractNum w:abstractNumId="59">
    <w:nsid w:val="579BE4F1"/>
    <w:multiLevelType w:val="hybridMultilevel"/>
    <w:lvl w:ilvl="0">
      <w:lvlJc w:val="left"/>
      <w:lvlText w:val="(%1)"/>
      <w:numFmt w:val="lowerLetter"/>
      <w:start w:val="1"/>
    </w:lvl>
  </w:abstractNum>
  <w:abstractNum w:abstractNumId="60">
    <w:nsid w:val="310C50B3"/>
    <w:multiLevelType w:val="hybridMultilevel"/>
    <w:lvl w:ilvl="0">
      <w:lvlJc w:val="left"/>
      <w:lvlText w:val="%1."/>
      <w:numFmt w:val="decimal"/>
      <w:start w:val="5"/>
    </w:lvl>
  </w:abstractNum>
  <w:abstractNum w:abstractNumId="61">
    <w:nsid w:val="5FF87E05"/>
    <w:multiLevelType w:val="hybridMultilevel"/>
    <w:lvl w:ilvl="0">
      <w:lvlJc w:val="left"/>
      <w:lvlText w:val="(%1)"/>
      <w:numFmt w:val="lowerLetter"/>
      <w:start w:val="1"/>
    </w:lvl>
  </w:abstractNum>
  <w:abstractNum w:abstractNumId="62">
    <w:nsid w:val="2F305DEF"/>
    <w:multiLevelType w:val="hybridMultilevel"/>
    <w:lvl w:ilvl="0">
      <w:lvlJc w:val="left"/>
      <w:lvlText w:val="%1."/>
      <w:numFmt w:val="decimal"/>
      <w:start w:val="6"/>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43" Type="http://schemas.openxmlformats.org/officeDocument/2006/relationships/hyperlink" Target="http://www.sec.gov/Archives/edgar/data/813298/000156459021014007/dxlg-ex101_26.htm" TargetMode="External"/><Relationship Id="rId44" Type="http://schemas.openxmlformats.org/officeDocument/2006/relationships/hyperlink" Target="http://www.sec.gov/Archives/edgar/data/813298/000119312521030948/d132525dex101.htm" TargetMode="External"/><Relationship Id="rId45" Type="http://schemas.openxmlformats.org/officeDocument/2006/relationships/hyperlink" Target="http://www.sec.gov/Archives/edgar/data/813298/000119312521030948/d13252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2021-05-27T14:00:58Z</dcterms:created>
  <dcterms:modified xsi:type="dcterms:W3CDTF">2021-05-27T14:00:58Z</dcterms:modified>
</cp:coreProperties>
</file>