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form4.xml.htm"/>
      <w:bookmarkStart w:id="1" w:name="ksform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Jones Stacey</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DESTINATION XL GROUP, INC.</w:t>
                  </w:r>
                </w:p>
              </w:tc>
            </w:tr>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555 TURNPIKE STREET</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CANTON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MA</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02021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DESTINATION XL GROUP, INC.</w:t>
              </w:r>
            </w:hyperlink>
            <w:r>
              <w:rPr/>
              <w:t xml:space="preserve"> [ </w:t>
            </w:r>
            <w:r>
              <w:rPr>
                <w:rFonts w:ascii="Times;serif" w:hAnsi="Times;serif"/>
                <w:color w:val="0000FF"/>
                <w:sz w:val="24"/>
                <w:highlight w:val="white"/>
              </w:rPr>
              <w:t>DXLG</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Chief Human Resources Officer</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05/01/2023</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2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7"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12254" w:type="dxa"/>
        <w:jc w:val="left"/>
        <w:tblInd w:w="0" w:type="dxa"/>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6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05/01/2023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A</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12,118</w:t>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05/01/2033</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Stock</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4"/>
                <w:highlight w:val="white"/>
              </w:rPr>
              <w:t>12,118</w:t>
            </w:r>
            <w:r>
              <w:rPr>
                <w:rFonts w:ascii="Times;serif" w:hAnsi="Times;serif"/>
                <w:color w:val="008000"/>
                <w:position w:val="7"/>
                <w:sz w:val="16"/>
                <w:sz w:val="20"/>
                <w:highlight w:val="white"/>
              </w:rPr>
              <w:t>(2)</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12,118</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Restricted Stock Units ("RSUs") represent the time-based portion of the 2023-2025 Long-Term Incentive Plan award to the Reporting Person. The RSU's vest and become exercisable in four equal installments on May 1, 2024, April 1, 2025, April 1, 2026 and April 1, 2027.</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Each RSU, as defined in the Company's 2016 Incentive Compensation Plan, represents a contingent right to receive one share of DXLG common stock.</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Stacey Jones</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05/03/2023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46467" TargetMode="External"/><Relationship Id="rId4" Type="http://schemas.openxmlformats.org/officeDocument/2006/relationships/hyperlink" Target="http://www.sec.gov/cgi-bin/browse-edgar?action=getcompany&amp;CIK=000081329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596</Words>
  <CharactersWithSpaces>3761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