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 September 1, 2009</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0-15898</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5" w:lineRule="exact"/>
        <w:rPr>
          <w:sz w:val="24"/>
          <w:szCs w:val="24"/>
          <w:color w:val="auto"/>
        </w:rPr>
      </w:pPr>
    </w:p>
    <w:p>
      <w:pPr>
        <w:ind w:left="1880"/>
        <w:spacing w:after="0"/>
        <w:rPr>
          <w:sz w:val="20"/>
          <w:szCs w:val="20"/>
          <w:color w:val="auto"/>
        </w:rPr>
      </w:pPr>
      <w:r>
        <w:rPr>
          <w:rFonts w:ascii="Arial" w:cs="Arial" w:eastAsia="Arial" w:hAnsi="Arial"/>
          <w:sz w:val="43"/>
          <w:szCs w:val="43"/>
          <w:b w:val="1"/>
          <w:bCs w:val="1"/>
          <w:color w:val="auto"/>
        </w:rPr>
        <w:t>CASUAL MALE RETAIL GROUP, INC.</w:t>
      </w:r>
    </w:p>
    <w:p>
      <w:pPr>
        <w:spacing w:after="0" w:line="50" w:lineRule="exact"/>
        <w:rPr>
          <w:sz w:val="24"/>
          <w:szCs w:val="24"/>
          <w:color w:val="auto"/>
        </w:rPr>
      </w:pPr>
    </w:p>
    <w:tbl>
      <w:tblPr>
        <w:tblLayout w:type="fixed"/>
        <w:tblInd w:w="218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6120" w:type="dxa"/>
            <w:vAlign w:val="bottom"/>
            <w:gridSpan w:val="3"/>
          </w:tcPr>
          <w:p>
            <w:pPr>
              <w:jc w:val="center"/>
              <w:ind w:right="199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70"/>
        </w:trPr>
        <w:tc>
          <w:tcPr>
            <w:tcW w:w="1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900" w:type="dxa"/>
            <w:vAlign w:val="bottom"/>
          </w:tcPr>
          <w:p>
            <w:pPr>
              <w:spacing w:after="0"/>
              <w:rPr>
                <w:sz w:val="23"/>
                <w:szCs w:val="23"/>
                <w:color w:val="auto"/>
              </w:rPr>
            </w:pPr>
          </w:p>
        </w:tc>
      </w:tr>
      <w:tr>
        <w:trPr>
          <w:trHeight w:val="426"/>
        </w:trPr>
        <w:tc>
          <w:tcPr>
            <w:tcW w:w="1500" w:type="dxa"/>
            <w:vAlign w:val="bottom"/>
          </w:tcPr>
          <w:p>
            <w:pPr>
              <w:jc w:val="center"/>
              <w:ind w:right="42"/>
              <w:spacing w:after="0"/>
              <w:rPr>
                <w:sz w:val="20"/>
                <w:szCs w:val="20"/>
                <w:color w:val="auto"/>
              </w:rPr>
            </w:pPr>
            <w:r>
              <w:rPr>
                <w:rFonts w:ascii="Arial" w:cs="Arial" w:eastAsia="Arial" w:hAnsi="Arial"/>
                <w:sz w:val="18"/>
                <w:szCs w:val="18"/>
                <w:b w:val="1"/>
                <w:bCs w:val="1"/>
                <w:color w:val="auto"/>
                <w:w w:val="88"/>
              </w:rPr>
              <w:t>Delaware</w:t>
            </w:r>
          </w:p>
        </w:tc>
        <w:tc>
          <w:tcPr>
            <w:tcW w:w="6120" w:type="dxa"/>
            <w:vAlign w:val="bottom"/>
            <w:gridSpan w:val="3"/>
          </w:tcPr>
          <w:p>
            <w:pPr>
              <w:jc w:val="right"/>
              <w:ind w:right="632"/>
              <w:spacing w:after="0"/>
              <w:rPr>
                <w:sz w:val="20"/>
                <w:szCs w:val="20"/>
                <w:color w:val="auto"/>
              </w:rPr>
            </w:pPr>
            <w:r>
              <w:rPr>
                <w:rFonts w:ascii="Arial" w:cs="Arial" w:eastAsia="Arial" w:hAnsi="Arial"/>
                <w:sz w:val="18"/>
                <w:szCs w:val="18"/>
                <w:b w:val="1"/>
                <w:bCs w:val="1"/>
                <w:color w:val="auto"/>
              </w:rPr>
              <w:t>04-2623104</w:t>
            </w:r>
          </w:p>
        </w:tc>
      </w:tr>
      <w:tr>
        <w:trPr>
          <w:trHeight w:val="174"/>
        </w:trPr>
        <w:tc>
          <w:tcPr>
            <w:tcW w:w="150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(State of Incorporation)</w:t>
            </w:r>
          </w:p>
        </w:tc>
        <w:tc>
          <w:tcPr>
            <w:tcW w:w="8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900" w:type="dxa"/>
            <w:vAlign w:val="bottom"/>
          </w:tcPr>
          <w:p>
            <w:pPr>
              <w:jc w:val="center"/>
              <w:ind w:left="592"/>
              <w:spacing w:after="0"/>
              <w:rPr>
                <w:sz w:val="20"/>
                <w:szCs w:val="20"/>
                <w:color w:val="auto"/>
              </w:rPr>
            </w:pPr>
            <w:r>
              <w:rPr>
                <w:rFonts w:ascii="Arial" w:cs="Arial" w:eastAsia="Arial" w:hAnsi="Arial"/>
                <w:sz w:val="14"/>
                <w:szCs w:val="14"/>
                <w:b w:val="1"/>
                <w:bCs w:val="1"/>
                <w:color w:val="auto"/>
                <w:w w:val="90"/>
              </w:rPr>
              <w:t>(IRS Employer Identification Number)</w:t>
            </w:r>
          </w:p>
        </w:tc>
      </w:tr>
      <w:tr>
        <w:trPr>
          <w:trHeight w:val="352"/>
        </w:trPr>
        <w:tc>
          <w:tcPr>
            <w:tcW w:w="1500" w:type="dxa"/>
            <w:vAlign w:val="bottom"/>
          </w:tcPr>
          <w:p>
            <w:pPr>
              <w:spacing w:after="0"/>
              <w:rPr>
                <w:sz w:val="24"/>
                <w:szCs w:val="24"/>
                <w:color w:val="auto"/>
              </w:rPr>
            </w:pPr>
          </w:p>
        </w:tc>
        <w:tc>
          <w:tcPr>
            <w:tcW w:w="6120" w:type="dxa"/>
            <w:vAlign w:val="bottom"/>
            <w:gridSpan w:val="3"/>
          </w:tcPr>
          <w:p>
            <w:pPr>
              <w:jc w:val="center"/>
              <w:ind w:right="1992"/>
              <w:spacing w:after="0"/>
              <w:rPr>
                <w:sz w:val="20"/>
                <w:szCs w:val="20"/>
                <w:color w:val="auto"/>
              </w:rPr>
            </w:pPr>
            <w:r>
              <w:rPr>
                <w:rFonts w:ascii="Arial" w:cs="Arial" w:eastAsia="Arial" w:hAnsi="Arial"/>
                <w:sz w:val="18"/>
                <w:szCs w:val="18"/>
                <w:b w:val="1"/>
                <w:bCs w:val="1"/>
                <w:color w:val="auto"/>
                <w:w w:val="87"/>
              </w:rPr>
              <w:t>555 Turnpike Street, Canton, Massachusetts 02021</w:t>
            </w:r>
          </w:p>
        </w:tc>
      </w:tr>
      <w:tr>
        <w:trPr>
          <w:trHeight w:val="174"/>
        </w:trPr>
        <w:tc>
          <w:tcPr>
            <w:tcW w:w="1500" w:type="dxa"/>
            <w:vAlign w:val="bottom"/>
          </w:tcPr>
          <w:p>
            <w:pPr>
              <w:spacing w:after="0"/>
              <w:rPr>
                <w:sz w:val="15"/>
                <w:szCs w:val="15"/>
                <w:color w:val="auto"/>
              </w:rPr>
            </w:pPr>
          </w:p>
        </w:tc>
        <w:tc>
          <w:tcPr>
            <w:tcW w:w="6120" w:type="dxa"/>
            <w:vAlign w:val="bottom"/>
            <w:gridSpan w:val="3"/>
          </w:tcPr>
          <w:p>
            <w:pPr>
              <w:jc w:val="center"/>
              <w:ind w:right="1972"/>
              <w:spacing w:after="0"/>
              <w:rPr>
                <w:sz w:val="20"/>
                <w:szCs w:val="20"/>
                <w:color w:val="auto"/>
              </w:rPr>
            </w:pPr>
            <w:r>
              <w:rPr>
                <w:rFonts w:ascii="Arial" w:cs="Arial" w:eastAsia="Arial" w:hAnsi="Arial"/>
                <w:sz w:val="14"/>
                <w:szCs w:val="14"/>
                <w:b w:val="1"/>
                <w:bCs w:val="1"/>
                <w:color w:val="auto"/>
                <w:w w:val="86"/>
              </w:rPr>
              <w:t>(Address of registrant’s principal executive office)</w:t>
            </w:r>
          </w:p>
        </w:tc>
      </w:tr>
      <w:tr>
        <w:trPr>
          <w:trHeight w:val="352"/>
        </w:trPr>
        <w:tc>
          <w:tcPr>
            <w:tcW w:w="1500" w:type="dxa"/>
            <w:vAlign w:val="bottom"/>
          </w:tcPr>
          <w:p>
            <w:pPr>
              <w:spacing w:after="0"/>
              <w:rPr>
                <w:sz w:val="24"/>
                <w:szCs w:val="24"/>
                <w:color w:val="auto"/>
              </w:rPr>
            </w:pPr>
          </w:p>
        </w:tc>
        <w:tc>
          <w:tcPr>
            <w:tcW w:w="3220" w:type="dxa"/>
            <w:vAlign w:val="bottom"/>
            <w:gridSpan w:val="2"/>
          </w:tcPr>
          <w:p>
            <w:pPr>
              <w:jc w:val="center"/>
              <w:ind w:left="760"/>
              <w:spacing w:after="0"/>
              <w:rPr>
                <w:sz w:val="20"/>
                <w:szCs w:val="20"/>
                <w:color w:val="auto"/>
              </w:rPr>
            </w:pPr>
            <w:r>
              <w:rPr>
                <w:rFonts w:ascii="Arial" w:cs="Arial" w:eastAsia="Arial" w:hAnsi="Arial"/>
                <w:sz w:val="18"/>
                <w:szCs w:val="18"/>
                <w:b w:val="1"/>
                <w:bCs w:val="1"/>
                <w:color w:val="auto"/>
                <w:w w:val="89"/>
              </w:rPr>
              <w:t>(781) 828-9300</w:t>
            </w:r>
          </w:p>
        </w:tc>
        <w:tc>
          <w:tcPr>
            <w:tcW w:w="2900" w:type="dxa"/>
            <w:vAlign w:val="bottom"/>
          </w:tcPr>
          <w:p>
            <w:pPr>
              <w:spacing w:after="0"/>
              <w:rPr>
                <w:sz w:val="24"/>
                <w:szCs w:val="24"/>
                <w:color w:val="auto"/>
              </w:rPr>
            </w:pPr>
          </w:p>
        </w:tc>
      </w:tr>
      <w:tr>
        <w:trPr>
          <w:trHeight w:val="174"/>
        </w:trPr>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80" w:type="dxa"/>
            <w:vAlign w:val="bottom"/>
            <w:gridSpan w:val="2"/>
          </w:tcPr>
          <w:p>
            <w:pPr>
              <w:jc w:val="center"/>
              <w:ind w:right="2832"/>
              <w:spacing w:after="0"/>
              <w:rPr>
                <w:sz w:val="20"/>
                <w:szCs w:val="20"/>
                <w:color w:val="auto"/>
              </w:rPr>
            </w:pPr>
            <w:r>
              <w:rPr>
                <w:rFonts w:ascii="Arial" w:cs="Arial" w:eastAsia="Arial" w:hAnsi="Arial"/>
                <w:sz w:val="14"/>
                <w:szCs w:val="14"/>
                <w:b w:val="1"/>
                <w:bCs w:val="1"/>
                <w:color w:val="auto"/>
                <w:w w:val="86"/>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September 1, 2009, Casual Male Retail Group, Inc. (the “Company”) entered into subscription agreements (the “Subscription Agreements”) with certain institutional investors relating to the purchase and sale of 4,950,000 registered shares of common stock of the Company, for a purchase price of $2.75 per share (the “Offering”). The closing of the sale of the common stock is expected to take place on or about September 3, 2009, subject to the satisfaction of customary closing conditions. Gross proceeds from the Offering are estimated to be approximately $13.6 million. The Company intends to use the net proceeds from this sale of approximately $12.6 million for general corporate purposes, including the repayment of indebtedness.</w:t>
      </w:r>
    </w:p>
    <w:p>
      <w:pPr>
        <w:spacing w:after="0" w:line="116"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The shares of common stock being offered by the Company in this Offering were registered under an existing shelf registration statement on Form S-3 (Registration No. 333-160379), which was declared effective by the Securities and Exchange Commission on August 3, 2009.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 copy of the form of Subscription Agreement is filed as Exhibit 10.1 to this report and is incorporated herein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 copy of the opinion of Greenberg Traurig, LLP relating to the legality of the issuance and sale of the shares in the Offering is attached hereto as Exhibit 5.1.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press release of September 2, 2009, announcing the Offering is attached hereto as Exhibit 99.1.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tbl>
      <w:tblPr>
        <w:tblLayout w:type="fixed"/>
        <w:tblInd w:w="700" w:type="dxa"/>
        <w:tblCellMar>
          <w:top w:w="0" w:type="dxa"/>
          <w:left w:w="0" w:type="dxa"/>
          <w:bottom w:w="0" w:type="dxa"/>
          <w:right w:w="0" w:type="dxa"/>
        </w:tblCellMar>
      </w:tblPr>
      <w:tr>
        <w:trPr>
          <w:trHeight w:val="175"/>
        </w:trPr>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9340" w:type="dxa"/>
            <w:vAlign w:val="bottom"/>
            <w:gridSpan w:val="2"/>
          </w:tcPr>
          <w:p>
            <w:pPr>
              <w:ind w:left="20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20" w:type="dxa"/>
            <w:vAlign w:val="bottom"/>
          </w:tcPr>
          <w:p>
            <w:pPr>
              <w:spacing w:after="0"/>
              <w:rPr>
                <w:sz w:val="18"/>
                <w:szCs w:val="18"/>
                <w:color w:val="auto"/>
              </w:rPr>
            </w:pPr>
          </w:p>
        </w:tc>
        <w:tc>
          <w:tcPr>
            <w:tcW w:w="68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9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Opinion of Greenberg Traurig, LLP.</w:t>
            </w:r>
          </w:p>
        </w:tc>
      </w:tr>
      <w:tr>
        <w:trPr>
          <w:trHeight w:val="316"/>
        </w:trPr>
        <w:tc>
          <w:tcPr>
            <w:tcW w:w="700" w:type="dxa"/>
            <w:vAlign w:val="bottom"/>
            <w:gridSpan w:val="2"/>
          </w:tcPr>
          <w:p>
            <w:pPr>
              <w:jc w:val="right"/>
              <w:ind w:right="312"/>
              <w:spacing w:after="0"/>
              <w:rPr>
                <w:sz w:val="20"/>
                <w:szCs w:val="20"/>
                <w:color w:val="auto"/>
              </w:rPr>
            </w:pPr>
            <w:r>
              <w:rPr>
                <w:rFonts w:ascii="Arial" w:cs="Arial" w:eastAsia="Arial" w:hAnsi="Arial"/>
                <w:sz w:val="18"/>
                <w:szCs w:val="18"/>
                <w:color w:val="auto"/>
                <w:w w:val="79"/>
              </w:rPr>
              <w:t>10.1</w:t>
            </w:r>
          </w:p>
        </w:tc>
        <w:tc>
          <w:tcPr>
            <w:tcW w:w="9340" w:type="dxa"/>
            <w:vAlign w:val="bottom"/>
            <w:gridSpan w:val="2"/>
          </w:tcPr>
          <w:p>
            <w:pPr>
              <w:ind w:left="200"/>
              <w:spacing w:after="0"/>
              <w:rPr>
                <w:sz w:val="20"/>
                <w:szCs w:val="20"/>
                <w:color w:val="auto"/>
              </w:rPr>
            </w:pPr>
            <w:r>
              <w:rPr>
                <w:rFonts w:ascii="Arial" w:cs="Arial" w:eastAsia="Arial" w:hAnsi="Arial"/>
                <w:sz w:val="18"/>
                <w:szCs w:val="18"/>
                <w:color w:val="auto"/>
              </w:rPr>
              <w:t>Form of Subscription Agreement dated September 1, 2009.</w:t>
            </w:r>
          </w:p>
        </w:tc>
      </w:tr>
      <w:tr>
        <w:trPr>
          <w:trHeight w:val="324"/>
        </w:trPr>
        <w:tc>
          <w:tcPr>
            <w:tcW w:w="700" w:type="dxa"/>
            <w:vAlign w:val="bottom"/>
            <w:gridSpan w:val="2"/>
          </w:tcPr>
          <w:p>
            <w:pPr>
              <w:jc w:val="right"/>
              <w:ind w:right="312"/>
              <w:spacing w:after="0"/>
              <w:rPr>
                <w:sz w:val="20"/>
                <w:szCs w:val="20"/>
                <w:color w:val="auto"/>
              </w:rPr>
            </w:pPr>
            <w:r>
              <w:rPr>
                <w:rFonts w:ascii="Arial" w:cs="Arial" w:eastAsia="Arial" w:hAnsi="Arial"/>
                <w:sz w:val="18"/>
                <w:szCs w:val="18"/>
                <w:color w:val="auto"/>
                <w:w w:val="79"/>
              </w:rPr>
              <w:t>99.1</w:t>
            </w:r>
          </w:p>
        </w:tc>
        <w:tc>
          <w:tcPr>
            <w:tcW w:w="9340" w:type="dxa"/>
            <w:vAlign w:val="bottom"/>
            <w:gridSpan w:val="2"/>
          </w:tcPr>
          <w:p>
            <w:pPr>
              <w:ind w:left="200"/>
              <w:spacing w:after="0"/>
              <w:rPr>
                <w:sz w:val="20"/>
                <w:szCs w:val="20"/>
                <w:color w:val="auto"/>
              </w:rPr>
            </w:pPr>
            <w:r>
              <w:rPr>
                <w:rFonts w:ascii="Arial" w:cs="Arial" w:eastAsia="Arial" w:hAnsi="Arial"/>
                <w:sz w:val="18"/>
                <w:szCs w:val="18"/>
                <w:color w:val="auto"/>
              </w:rPr>
              <w:t>Press release issued by the Company on September 2, 2009.</w:t>
            </w:r>
          </w:p>
        </w:tc>
      </w:tr>
      <w:tr>
        <w:trPr>
          <w:trHeight w:val="324"/>
        </w:trPr>
        <w:tc>
          <w:tcPr>
            <w:tcW w:w="700" w:type="dxa"/>
            <w:vAlign w:val="bottom"/>
            <w:gridSpan w:val="2"/>
          </w:tcPr>
          <w:p>
            <w:pPr>
              <w:jc w:val="right"/>
              <w:ind w:right="312"/>
              <w:spacing w:after="0"/>
              <w:rPr>
                <w:sz w:val="20"/>
                <w:szCs w:val="20"/>
                <w:color w:val="auto"/>
              </w:rPr>
            </w:pPr>
            <w:r>
              <w:rPr>
                <w:rFonts w:ascii="Arial" w:cs="Arial" w:eastAsia="Arial" w:hAnsi="Arial"/>
                <w:sz w:val="18"/>
                <w:szCs w:val="18"/>
                <w:color w:val="auto"/>
                <w:w w:val="79"/>
              </w:rPr>
              <w:t>23.1</w:t>
            </w:r>
          </w:p>
        </w:tc>
        <w:tc>
          <w:tcPr>
            <w:tcW w:w="9340" w:type="dxa"/>
            <w:vAlign w:val="bottom"/>
            <w:gridSpan w:val="2"/>
          </w:tcPr>
          <w:p>
            <w:pPr>
              <w:ind w:left="200"/>
              <w:spacing w:after="0"/>
              <w:rPr>
                <w:sz w:val="20"/>
                <w:szCs w:val="20"/>
                <w:color w:val="auto"/>
              </w:rPr>
            </w:pPr>
            <w:r>
              <w:rPr>
                <w:rFonts w:ascii="Arial" w:cs="Arial" w:eastAsia="Arial" w:hAnsi="Arial"/>
                <w:sz w:val="18"/>
                <w:szCs w:val="18"/>
                <w:color w:val="auto"/>
              </w:rPr>
              <w:t>Consent of Greenberg Traurig, LLP (contained in legal opinion filed herewith as Exhibit 5.1).</w:t>
            </w:r>
          </w:p>
        </w:tc>
      </w:tr>
    </w:tbl>
    <w:p>
      <w:pPr>
        <w:sectPr>
          <w:pgSz w:w="11900" w:h="16838" w:orient="portrait"/>
          <w:cols w:equalWidth="0" w:num="1">
            <w:col w:w="11200"/>
          </w:cols>
          <w:pgMar w:left="240" w:top="274"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 Molloy</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Robert S. Molloy</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and General Counsel</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 2009</w:t>
      </w:r>
    </w:p>
    <w:p>
      <w:pPr>
        <w:sectPr>
          <w:pgSz w:w="11900" w:h="16838" w:orient="portrait"/>
          <w:cols w:equalWidth="0" w:num="1">
            <w:col w:w="11420"/>
          </w:cols>
          <w:pgMar w:left="240" w:top="2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2126615" cy="342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266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September 2,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Canton, Massachusetts 02021</w:t>
      </w:r>
    </w:p>
    <w:p>
      <w:pPr>
        <w:spacing w:after="0" w:line="1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Casual Male Retail Group, Inc./Registration Statement on Form S-3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2" w:lineRule="exact"/>
        <w:rPr>
          <w:sz w:val="20"/>
          <w:szCs w:val="20"/>
          <w:color w:val="auto"/>
        </w:rPr>
      </w:pPr>
    </w:p>
    <w:p>
      <w:pPr>
        <w:ind w:right="1080"/>
        <w:spacing w:after="0" w:line="254" w:lineRule="auto"/>
        <w:rPr>
          <w:sz w:val="20"/>
          <w:szCs w:val="20"/>
          <w:color w:val="auto"/>
        </w:rPr>
      </w:pPr>
      <w:r>
        <w:rPr>
          <w:rFonts w:ascii="Arial" w:cs="Arial" w:eastAsia="Arial" w:hAnsi="Arial"/>
          <w:sz w:val="18"/>
          <w:szCs w:val="18"/>
          <w:color w:val="auto"/>
        </w:rPr>
        <w:t>As legal counsel to Casual Male Retail Group, Inc., a Delaware corporation (the “Company”), we have assisted in the preparation of the Company’s Registration Statement on Form S-3 (File No. 333-160379) (the “Registration Statement”), filed with the Securities and Exchange Commission (the “Commission”) on July 1, 2009 pursuant to the Securities Act of 1933, as amended (the “Securities Act”), declared effective by the Commission on August 3, 2009, and the prospectus supplement dated September 1, 2009, filed with the Commission under Rule 424(b) of the Securities Act (the “Prospectus Supplement”), relating to the proposed public offering (the “Offering”) of up to 4,950,000 shares of the Company’s Common Stock (the “Shares”).</w:t>
      </w:r>
    </w:p>
    <w:p>
      <w:pPr>
        <w:spacing w:after="0" w:line="185" w:lineRule="exact"/>
        <w:rPr>
          <w:sz w:val="20"/>
          <w:szCs w:val="20"/>
          <w:color w:val="auto"/>
        </w:rPr>
      </w:pPr>
    </w:p>
    <w:p>
      <w:pPr>
        <w:ind w:right="1040"/>
        <w:spacing w:after="0" w:line="268" w:lineRule="auto"/>
        <w:rPr>
          <w:sz w:val="20"/>
          <w:szCs w:val="20"/>
          <w:color w:val="auto"/>
        </w:rPr>
      </w:pPr>
      <w:r>
        <w:rPr>
          <w:rFonts w:ascii="Arial" w:cs="Arial" w:eastAsia="Arial" w:hAnsi="Arial"/>
          <w:sz w:val="18"/>
          <w:szCs w:val="18"/>
          <w:color w:val="auto"/>
        </w:rPr>
        <w:t>With respect to the opinions set forth below, we have examined originals, certified copies, or copies otherwise identified to our satisfaction as being true copies, only of the following:</w:t>
      </w:r>
    </w:p>
    <w:p>
      <w:pPr>
        <w:spacing w:after="0" w:line="51" w:lineRule="exact"/>
        <w:rPr>
          <w:sz w:val="20"/>
          <w:szCs w:val="20"/>
          <w:color w:val="auto"/>
        </w:rPr>
      </w:pPr>
    </w:p>
    <w:p>
      <w:pPr>
        <w:ind w:left="820" w:hanging="380"/>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Certificate of Incorporation of the Company, as amended to date;</w:t>
      </w:r>
    </w:p>
    <w:p>
      <w:pPr>
        <w:spacing w:after="0" w:line="90" w:lineRule="exact"/>
        <w:rPr>
          <w:rFonts w:ascii="Arial" w:cs="Arial" w:eastAsia="Arial" w:hAnsi="Arial"/>
          <w:sz w:val="18"/>
          <w:szCs w:val="18"/>
          <w:color w:val="auto"/>
        </w:rPr>
      </w:pPr>
    </w:p>
    <w:p>
      <w:pPr>
        <w:ind w:left="820" w:hanging="380"/>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Bylaws of the Company, as amended to date;</w:t>
      </w:r>
    </w:p>
    <w:p>
      <w:pPr>
        <w:spacing w:after="0" w:line="90" w:lineRule="exact"/>
        <w:rPr>
          <w:rFonts w:ascii="Arial" w:cs="Arial" w:eastAsia="Arial" w:hAnsi="Arial"/>
          <w:sz w:val="18"/>
          <w:szCs w:val="18"/>
          <w:color w:val="auto"/>
        </w:rPr>
      </w:pPr>
    </w:p>
    <w:p>
      <w:pPr>
        <w:ind w:left="820" w:hanging="380"/>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90" w:lineRule="exact"/>
        <w:rPr>
          <w:rFonts w:ascii="Arial" w:cs="Arial" w:eastAsia="Arial" w:hAnsi="Arial"/>
          <w:sz w:val="18"/>
          <w:szCs w:val="18"/>
          <w:color w:val="auto"/>
        </w:rPr>
      </w:pPr>
    </w:p>
    <w:p>
      <w:pPr>
        <w:ind w:left="820" w:hanging="380"/>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Prospectus Supplement;</w:t>
      </w:r>
    </w:p>
    <w:p>
      <w:pPr>
        <w:spacing w:after="0" w:line="90" w:lineRule="exact"/>
        <w:rPr>
          <w:rFonts w:ascii="Arial" w:cs="Arial" w:eastAsia="Arial" w:hAnsi="Arial"/>
          <w:sz w:val="18"/>
          <w:szCs w:val="18"/>
          <w:color w:val="auto"/>
        </w:rPr>
      </w:pPr>
    </w:p>
    <w:p>
      <w:pPr>
        <w:ind w:left="800" w:hanging="360"/>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subscription agreements between the investors in the Offering and the Company (the “Subscription Agreements”);</w:t>
      </w:r>
    </w:p>
    <w:p>
      <w:pPr>
        <w:spacing w:after="0" w:line="90" w:lineRule="exact"/>
        <w:rPr>
          <w:rFonts w:ascii="Arial" w:cs="Arial" w:eastAsia="Arial" w:hAnsi="Arial"/>
          <w:sz w:val="18"/>
          <w:szCs w:val="18"/>
          <w:color w:val="auto"/>
        </w:rPr>
      </w:pPr>
    </w:p>
    <w:p>
      <w:pPr>
        <w:ind w:left="880" w:right="1580" w:hanging="440"/>
        <w:spacing w:after="0" w:line="268" w:lineRule="auto"/>
        <w:tabs>
          <w:tab w:leader="none" w:pos="8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resolutions of the Board of Directors of the Company relating to the approval of the filing of the Registration Statement and transactions in connection therewith, including the Offering; and</w:t>
      </w:r>
    </w:p>
    <w:p>
      <w:pPr>
        <w:spacing w:after="0" w:line="50" w:lineRule="exact"/>
        <w:rPr>
          <w:rFonts w:ascii="Arial" w:cs="Arial" w:eastAsia="Arial" w:hAnsi="Arial"/>
          <w:sz w:val="18"/>
          <w:szCs w:val="18"/>
          <w:color w:val="auto"/>
        </w:rPr>
      </w:pPr>
    </w:p>
    <w:p>
      <w:pPr>
        <w:ind w:left="840" w:hanging="400"/>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Such other documents, records and other instruments as we have deemed appropriate for purposes of the opinion set forth herein.</w:t>
      </w:r>
    </w:p>
    <w:p>
      <w:pPr>
        <w:sectPr>
          <w:pgSz w:w="11900" w:h="16838" w:orient="portrait"/>
          <w:cols w:equalWidth="0" w:num="1">
            <w:col w:w="11420"/>
          </w:cols>
          <w:pgMar w:left="240" w:top="125" w:right="239" w:bottom="1440" w:gutter="0" w:footer="0" w:header="0"/>
        </w:sectPr>
      </w:pPr>
    </w:p>
    <w:bookmarkStart w:id="4" w:name="page5"/>
    <w:bookmarkEnd w:id="4"/>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rendering the opinions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originals or such latter documents. We have also assumed for purposes of our opinion that the Subscription Agreements have been duly authorized, executed and delivered by the parties thereto other than the Company and constitute a legal, valid and binding obligation of each such party, and that such parties have the requisite organizational and legal power to perform their obligations under the Subscription Agreements.</w:t>
      </w:r>
    </w:p>
    <w:p>
      <w:pPr>
        <w:spacing w:after="0" w:line="16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Based solely upon and subject to the foregoing, and subject to the assumptions, limitations, and qualifications stated herein, we are of the opinion that the Shares have been duly authorized and, when issued and sold in the manner and under the terms described in the Registration Statement, Prospectus Supplement and the Subscription Agreements, will be validly issued, fully paid and nonassessable.</w:t>
      </w:r>
    </w:p>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express no opinion as to the applicability or effect of any laws, orders, or judgments of any state or other jurisdiction other than federal securities laws and the substantive laws of the state of Delaware. Further, our opinion is based solely upon existing laws, rules, and regulations, and we undertake no obligation to advise you of any changes that may be brought to our attention after the date hereof.</w:t>
      </w:r>
    </w:p>
    <w:p>
      <w:pPr>
        <w:spacing w:after="0" w:line="14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understand that this opinion is to be used in connection with the Registration Statement. We hereby consent to the filing of this opinion letter as Exhibit 5.1 to the Company’s Current Report on Form 8-K filed as of the date hereof and to the reference to this firm under the caption “Legal Matters” in the Prospectus Supplement constituting a part of the Registration Statement. In giving this consent, we do not admit that we are experts within the meaning of Section 11 of the Act or within the category of persons whose consent is required by Section 7 of the Act.</w:t>
      </w:r>
    </w:p>
    <w:p>
      <w:pPr>
        <w:spacing w:after="0" w:line="1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Greenberg Traurig,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Greenberg Traurig, LLP</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380"/>
          </w:cols>
          <w:pgMar w:left="240" w:top="280" w:right="1279" w:bottom="1440" w:gutter="0" w:footer="0" w:header="0"/>
        </w:sectPr>
      </w:pPr>
    </w:p>
    <w:bookmarkStart w:id="5" w:name="page6"/>
    <w:bookmarkEnd w:id="5"/>
    <w:p>
      <w:pPr>
        <w:ind w:left="1052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Set forth below is a list of each of the investors that executed a Subscription Agreement, in the form attached hereto, with Casual Male Retail Group, Inc. (the “Company”), the number of shares of the Company’s common stock to be purchased by such investor and the aggregate purchase price to be paid by such investor for such shares: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gridSpan w:val="3"/>
          </w:tcPr>
          <w:p>
            <w:pPr>
              <w:spacing w:after="0"/>
              <w:rPr>
                <w:sz w:val="20"/>
                <w:szCs w:val="20"/>
                <w:color w:val="auto"/>
              </w:rPr>
            </w:pPr>
            <w:r>
              <w:rPr>
                <w:rFonts w:ascii="Arial" w:cs="Arial" w:eastAsia="Arial" w:hAnsi="Arial"/>
                <w:sz w:val="14"/>
                <w:szCs w:val="14"/>
                <w:b w:val="1"/>
                <w:bCs w:val="1"/>
                <w:color w:val="auto"/>
              </w:rPr>
              <w:t>Investor</w:t>
            </w:r>
          </w:p>
        </w:tc>
        <w:tc>
          <w:tcPr>
            <w:tcW w:w="20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w w:val="86"/>
              </w:rPr>
              <w:t>Aggregate Purchase 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Capital Trust: Fidelity Small Cap Independence Fund</w:t>
            </w:r>
          </w:p>
        </w:tc>
        <w:tc>
          <w:tcPr>
            <w:tcW w:w="2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1,500,000</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660" w:type="dxa"/>
            <w:vAlign w:val="bottom"/>
            <w:gridSpan w:val="3"/>
          </w:tcPr>
          <w:p>
            <w:pPr>
              <w:spacing w:after="0"/>
              <w:rPr>
                <w:sz w:val="20"/>
                <w:szCs w:val="20"/>
                <w:color w:val="auto"/>
              </w:rPr>
            </w:pPr>
            <w:r>
              <w:rPr>
                <w:rFonts w:ascii="Arial" w:cs="Arial" w:eastAsia="Arial" w:hAnsi="Arial"/>
                <w:sz w:val="18"/>
                <w:szCs w:val="18"/>
                <w:color w:val="auto"/>
              </w:rPr>
              <w:t>Variable Insurance Products Fund III: Value Strategies Portfolio</w:t>
            </w:r>
          </w:p>
        </w:tc>
        <w:tc>
          <w:tcPr>
            <w:tcW w:w="2980" w:type="dxa"/>
            <w:vAlign w:val="bottom"/>
            <w:gridSpan w:val="3"/>
          </w:tcPr>
          <w:p>
            <w:pPr>
              <w:jc w:val="right"/>
              <w:ind w:right="280"/>
              <w:spacing w:after="0"/>
              <w:rPr>
                <w:sz w:val="20"/>
                <w:szCs w:val="20"/>
                <w:color w:val="auto"/>
              </w:rPr>
            </w:pPr>
            <w:r>
              <w:rPr>
                <w:rFonts w:ascii="Arial" w:cs="Arial" w:eastAsia="Arial" w:hAnsi="Arial"/>
                <w:sz w:val="18"/>
                <w:szCs w:val="18"/>
                <w:color w:val="auto"/>
              </w:rPr>
              <w:t>81,755</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224,826.25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0" w:type="dxa"/>
            <w:vAlign w:val="bottom"/>
          </w:tcPr>
          <w:p>
            <w:pPr>
              <w:spacing w:after="0"/>
              <w:rPr>
                <w:sz w:val="9"/>
                <w:szCs w:val="9"/>
                <w:color w:val="auto"/>
              </w:rPr>
            </w:pPr>
          </w:p>
        </w:tc>
        <w:tc>
          <w:tcPr>
            <w:tcW w:w="61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Advisor Series I: Fidelity Advisor Value Strategies Fund</w:t>
            </w:r>
          </w:p>
        </w:tc>
        <w:tc>
          <w:tcPr>
            <w:tcW w:w="2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275,245</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756,923.75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660" w:type="dxa"/>
            <w:vAlign w:val="bottom"/>
            <w:gridSpan w:val="3"/>
          </w:tcPr>
          <w:p>
            <w:pPr>
              <w:spacing w:after="0"/>
              <w:rPr>
                <w:sz w:val="20"/>
                <w:szCs w:val="20"/>
                <w:color w:val="auto"/>
              </w:rPr>
            </w:pPr>
            <w:r>
              <w:rPr>
                <w:rFonts w:ascii="Arial" w:cs="Arial" w:eastAsia="Arial" w:hAnsi="Arial"/>
                <w:sz w:val="18"/>
                <w:szCs w:val="18"/>
                <w:color w:val="auto"/>
              </w:rPr>
              <w:t>Fidelity Securities Fund: Fidelity Small Cap Growth Fund</w:t>
            </w:r>
          </w:p>
        </w:tc>
        <w:tc>
          <w:tcPr>
            <w:tcW w:w="2980" w:type="dxa"/>
            <w:vAlign w:val="bottom"/>
            <w:gridSpan w:val="3"/>
          </w:tcPr>
          <w:p>
            <w:pPr>
              <w:jc w:val="right"/>
              <w:ind w:right="280"/>
              <w:spacing w:after="0"/>
              <w:rPr>
                <w:sz w:val="20"/>
                <w:szCs w:val="20"/>
                <w:color w:val="auto"/>
              </w:rPr>
            </w:pPr>
            <w:r>
              <w:rPr>
                <w:rFonts w:ascii="Arial" w:cs="Arial" w:eastAsia="Arial" w:hAnsi="Arial"/>
                <w:sz w:val="18"/>
                <w:szCs w:val="18"/>
                <w:color w:val="auto"/>
              </w:rPr>
              <w:t>750,000</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2,062,500.00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0" w:type="dxa"/>
            <w:vAlign w:val="bottom"/>
          </w:tcPr>
          <w:p>
            <w:pPr>
              <w:spacing w:after="0"/>
              <w:rPr>
                <w:sz w:val="9"/>
                <w:szCs w:val="9"/>
                <w:color w:val="auto"/>
              </w:rPr>
            </w:pPr>
          </w:p>
        </w:tc>
        <w:tc>
          <w:tcPr>
            <w:tcW w:w="61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Trend Fund: Fidelity Trend Fund</w:t>
            </w:r>
          </w:p>
        </w:tc>
        <w:tc>
          <w:tcPr>
            <w:tcW w:w="2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550,000</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660" w:type="dxa"/>
            <w:vAlign w:val="bottom"/>
            <w:gridSpan w:val="3"/>
          </w:tcPr>
          <w:p>
            <w:pPr>
              <w:spacing w:after="0"/>
              <w:rPr>
                <w:sz w:val="20"/>
                <w:szCs w:val="20"/>
                <w:color w:val="auto"/>
              </w:rPr>
            </w:pPr>
            <w:r>
              <w:rPr>
                <w:rFonts w:ascii="Arial" w:cs="Arial" w:eastAsia="Arial" w:hAnsi="Arial"/>
                <w:sz w:val="18"/>
                <w:szCs w:val="18"/>
                <w:color w:val="auto"/>
              </w:rPr>
              <w:t>Fidelity Advisor Series I: Fidelity Advisor Strategic Growth Fund</w:t>
            </w:r>
          </w:p>
        </w:tc>
        <w:tc>
          <w:tcPr>
            <w:tcW w:w="2980" w:type="dxa"/>
            <w:vAlign w:val="bottom"/>
            <w:gridSpan w:val="3"/>
          </w:tcPr>
          <w:p>
            <w:pPr>
              <w:jc w:val="right"/>
              <w:ind w:right="280"/>
              <w:spacing w:after="0"/>
              <w:rPr>
                <w:sz w:val="20"/>
                <w:szCs w:val="20"/>
                <w:color w:val="auto"/>
              </w:rPr>
            </w:pPr>
            <w:r>
              <w:rPr>
                <w:rFonts w:ascii="Arial" w:cs="Arial" w:eastAsia="Arial" w:hAnsi="Arial"/>
                <w:sz w:val="18"/>
                <w:szCs w:val="18"/>
                <w:color w:val="auto"/>
              </w:rPr>
              <w:t>10,000</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27,500.00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0" w:type="dxa"/>
            <w:vAlign w:val="bottom"/>
          </w:tcPr>
          <w:p>
            <w:pPr>
              <w:spacing w:after="0"/>
              <w:rPr>
                <w:sz w:val="9"/>
                <w:szCs w:val="9"/>
                <w:color w:val="auto"/>
              </w:rPr>
            </w:pPr>
          </w:p>
        </w:tc>
        <w:tc>
          <w:tcPr>
            <w:tcW w:w="61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Insurance Products Fund IV: Growth Stock Portfolio</w:t>
            </w:r>
          </w:p>
        </w:tc>
        <w:tc>
          <w:tcPr>
            <w:tcW w:w="2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10,000</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660" w:type="dxa"/>
            <w:vAlign w:val="bottom"/>
            <w:gridSpan w:val="3"/>
          </w:tcPr>
          <w:p>
            <w:pPr>
              <w:spacing w:after="0"/>
              <w:rPr>
                <w:sz w:val="20"/>
                <w:szCs w:val="20"/>
                <w:color w:val="auto"/>
              </w:rPr>
            </w:pPr>
            <w:r>
              <w:rPr>
                <w:rFonts w:ascii="Arial" w:cs="Arial" w:eastAsia="Arial" w:hAnsi="Arial"/>
                <w:sz w:val="18"/>
                <w:szCs w:val="18"/>
                <w:color w:val="auto"/>
              </w:rPr>
              <w:t>Variable Insurance Products Fund III: Balanced Portfolio</w:t>
            </w:r>
          </w:p>
        </w:tc>
        <w:tc>
          <w:tcPr>
            <w:tcW w:w="2980" w:type="dxa"/>
            <w:vAlign w:val="bottom"/>
            <w:gridSpan w:val="3"/>
          </w:tcPr>
          <w:p>
            <w:pPr>
              <w:jc w:val="right"/>
              <w:ind w:right="280"/>
              <w:spacing w:after="0"/>
              <w:rPr>
                <w:sz w:val="20"/>
                <w:szCs w:val="20"/>
                <w:color w:val="auto"/>
              </w:rPr>
            </w:pPr>
            <w:r>
              <w:rPr>
                <w:rFonts w:ascii="Arial" w:cs="Arial" w:eastAsia="Arial" w:hAnsi="Arial"/>
                <w:sz w:val="18"/>
                <w:szCs w:val="18"/>
                <w:color w:val="auto"/>
              </w:rPr>
              <w:t>154,000</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423,500.00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0" w:type="dxa"/>
            <w:vAlign w:val="bottom"/>
          </w:tcPr>
          <w:p>
            <w:pPr>
              <w:spacing w:after="0"/>
              <w:rPr>
                <w:sz w:val="9"/>
                <w:szCs w:val="9"/>
                <w:color w:val="auto"/>
              </w:rPr>
            </w:pPr>
          </w:p>
        </w:tc>
        <w:tc>
          <w:tcPr>
            <w:tcW w:w="61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Securities Fund: Fidelity Dividend Growth Fund</w:t>
            </w:r>
          </w:p>
        </w:tc>
        <w:tc>
          <w:tcPr>
            <w:tcW w:w="2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1,424,000</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660" w:type="dxa"/>
            <w:vAlign w:val="bottom"/>
            <w:gridSpan w:val="3"/>
          </w:tcPr>
          <w:p>
            <w:pPr>
              <w:spacing w:after="0"/>
              <w:rPr>
                <w:sz w:val="20"/>
                <w:szCs w:val="20"/>
                <w:color w:val="auto"/>
              </w:rPr>
            </w:pPr>
            <w:r>
              <w:rPr>
                <w:rFonts w:ascii="Arial" w:cs="Arial" w:eastAsia="Arial" w:hAnsi="Arial"/>
                <w:sz w:val="18"/>
                <w:szCs w:val="18"/>
                <w:color w:val="auto"/>
              </w:rPr>
              <w:t>Fidelity Advisor Series: Fidelity Advisor Dividend Growth Fund</w:t>
            </w:r>
          </w:p>
        </w:tc>
        <w:tc>
          <w:tcPr>
            <w:tcW w:w="2980" w:type="dxa"/>
            <w:vAlign w:val="bottom"/>
            <w:gridSpan w:val="3"/>
          </w:tcPr>
          <w:p>
            <w:pPr>
              <w:jc w:val="right"/>
              <w:ind w:right="280"/>
              <w:spacing w:after="0"/>
              <w:rPr>
                <w:sz w:val="20"/>
                <w:szCs w:val="20"/>
                <w:color w:val="auto"/>
              </w:rPr>
            </w:pPr>
            <w:r>
              <w:rPr>
                <w:rFonts w:ascii="Arial" w:cs="Arial" w:eastAsia="Arial" w:hAnsi="Arial"/>
                <w:sz w:val="18"/>
                <w:szCs w:val="18"/>
                <w:color w:val="auto"/>
              </w:rPr>
              <w:t>195,000</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536,250.00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 OF SUBSCRIPTION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Canton, Massachusetts 02021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(the “</w:t>
      </w:r>
      <w:r>
        <w:rPr>
          <w:rFonts w:ascii="Arial" w:cs="Arial" w:eastAsia="Arial" w:hAnsi="Arial"/>
          <w:sz w:val="16"/>
          <w:szCs w:val="16"/>
          <w:b w:val="1"/>
          <w:bCs w:val="1"/>
          <w:color w:val="auto"/>
        </w:rPr>
        <w:t>Investor</w:t>
      </w:r>
      <w:r>
        <w:rPr>
          <w:rFonts w:ascii="Arial" w:cs="Arial" w:eastAsia="Arial" w:hAnsi="Arial"/>
          <w:sz w:val="16"/>
          <w:szCs w:val="16"/>
          <w:color w:val="auto"/>
        </w:rPr>
        <w:t>”) hereby confirms its agreement with Casual Male Retail Group,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as follows:</w:t>
      </w:r>
    </w:p>
    <w:p>
      <w:pPr>
        <w:spacing w:after="0" w:line="113" w:lineRule="exact"/>
        <w:rPr>
          <w:sz w:val="20"/>
          <w:szCs w:val="20"/>
          <w:color w:val="auto"/>
        </w:rPr>
      </w:pPr>
    </w:p>
    <w:p>
      <w:pPr>
        <w:ind w:firstLine="464"/>
        <w:spacing w:after="0" w:line="275" w:lineRule="auto"/>
        <w:tabs>
          <w:tab w:leader="none" w:pos="632"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 xml:space="preserve">This Subscription Agreement, including the Terms and Conditions for Purchase of Shares attached hereto as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(collectively,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the date set forth below between the Company and the Investor.</w:t>
      </w:r>
    </w:p>
    <w:p>
      <w:pPr>
        <w:spacing w:after="0" w:line="119" w:lineRule="exact"/>
        <w:rPr>
          <w:rFonts w:ascii="Arial" w:cs="Arial" w:eastAsia="Arial" w:hAnsi="Arial"/>
          <w:sz w:val="18"/>
          <w:szCs w:val="18"/>
          <w:b w:val="1"/>
          <w:bCs w:val="1"/>
          <w:color w:val="auto"/>
        </w:rPr>
      </w:pPr>
    </w:p>
    <w:p>
      <w:pPr>
        <w:ind w:right="140" w:firstLine="464"/>
        <w:spacing w:after="0" w:line="275" w:lineRule="auto"/>
        <w:tabs>
          <w:tab w:leader="none" w:pos="632"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Company has authorized the sale and issuance to certain investors of up to an aggregate of 4,950,000 shares (the “</w:t>
      </w:r>
      <w:r>
        <w:rPr>
          <w:rFonts w:ascii="Arial" w:cs="Arial" w:eastAsia="Arial" w:hAnsi="Arial"/>
          <w:sz w:val="18"/>
          <w:szCs w:val="18"/>
          <w:b w:val="1"/>
          <w:bCs w:val="1"/>
          <w:color w:val="auto"/>
        </w:rPr>
        <w:t>Shares</w:t>
      </w:r>
      <w:r>
        <w:rPr>
          <w:rFonts w:ascii="Arial" w:cs="Arial" w:eastAsia="Arial" w:hAnsi="Arial"/>
          <w:sz w:val="18"/>
          <w:szCs w:val="18"/>
          <w:color w:val="auto"/>
        </w:rPr>
        <w:t>”) of its Common Stock, par value $0.01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for a purchase price of $2.75 per share (the “</w:t>
      </w:r>
      <w:r>
        <w:rPr>
          <w:rFonts w:ascii="Arial" w:cs="Arial" w:eastAsia="Arial" w:hAnsi="Arial"/>
          <w:sz w:val="18"/>
          <w:szCs w:val="18"/>
          <w:b w:val="1"/>
          <w:bCs w:val="1"/>
          <w:color w:val="auto"/>
        </w:rPr>
        <w:t>Purchase Price</w:t>
      </w:r>
      <w:r>
        <w:rPr>
          <w:rFonts w:ascii="Arial" w:cs="Arial" w:eastAsia="Arial" w:hAnsi="Arial"/>
          <w:sz w:val="18"/>
          <w:szCs w:val="18"/>
          <w:color w:val="auto"/>
        </w:rPr>
        <w:t>”).</w:t>
      </w:r>
    </w:p>
    <w:p>
      <w:pPr>
        <w:spacing w:after="0" w:line="119" w:lineRule="exact"/>
        <w:rPr>
          <w:rFonts w:ascii="Arial" w:cs="Arial" w:eastAsia="Arial" w:hAnsi="Arial"/>
          <w:sz w:val="18"/>
          <w:szCs w:val="18"/>
          <w:b w:val="1"/>
          <w:bCs w:val="1"/>
          <w:color w:val="auto"/>
        </w:rPr>
      </w:pPr>
    </w:p>
    <w:p>
      <w:pPr>
        <w:ind w:right="20" w:firstLine="464"/>
        <w:spacing w:after="0" w:line="290" w:lineRule="auto"/>
        <w:tabs>
          <w:tab w:leader="none" w:pos="632"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The offering and sale of the Shares (the “</w:t>
      </w:r>
      <w:r>
        <w:rPr>
          <w:rFonts w:ascii="Arial" w:cs="Arial" w:eastAsia="Arial" w:hAnsi="Arial"/>
          <w:sz w:val="16"/>
          <w:szCs w:val="16"/>
          <w:b w:val="1"/>
          <w:bCs w:val="1"/>
          <w:color w:val="auto"/>
        </w:rPr>
        <w:t>Offering</w:t>
      </w:r>
      <w:r>
        <w:rPr>
          <w:rFonts w:ascii="Arial" w:cs="Arial" w:eastAsia="Arial" w:hAnsi="Arial"/>
          <w:sz w:val="16"/>
          <w:szCs w:val="16"/>
          <w:color w:val="auto"/>
        </w:rPr>
        <w:t>”) are being made pursuant to (a) an effective Registration Statement on Form S-3 (the “</w:t>
      </w:r>
      <w:r>
        <w:rPr>
          <w:rFonts w:ascii="Arial" w:cs="Arial" w:eastAsia="Arial" w:hAnsi="Arial"/>
          <w:sz w:val="16"/>
          <w:szCs w:val="16"/>
          <w:b w:val="1"/>
          <w:b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filed by the Company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including the Prospectus contained therein (the “</w:t>
      </w:r>
      <w:r>
        <w:rPr>
          <w:rFonts w:ascii="Arial" w:cs="Arial" w:eastAsia="Arial" w:hAnsi="Arial"/>
          <w:sz w:val="16"/>
          <w:szCs w:val="16"/>
          <w:b w:val="1"/>
          <w:bCs w:val="1"/>
          <w:color w:val="auto"/>
        </w:rPr>
        <w:t>Base Prospectus</w:t>
      </w:r>
      <w:r>
        <w:rPr>
          <w:rFonts w:ascii="Arial" w:cs="Arial" w:eastAsia="Arial" w:hAnsi="Arial"/>
          <w:sz w:val="16"/>
          <w:szCs w:val="16"/>
          <w:color w:val="auto"/>
        </w:rPr>
        <w:t>”), (b) if applicable, certain “free writing prospectuses” (as that term is defined in Rule 405 under the Securities Act of 1933, as amended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that have been or will be filed with the Commission and delivered to the Investor on or prior to the date hereof (the “</w:t>
      </w:r>
      <w:r>
        <w:rPr>
          <w:rFonts w:ascii="Arial" w:cs="Arial" w:eastAsia="Arial" w:hAnsi="Arial"/>
          <w:sz w:val="16"/>
          <w:szCs w:val="16"/>
          <w:b w:val="1"/>
          <w:bCs w:val="1"/>
          <w:color w:val="auto"/>
        </w:rPr>
        <w:t>Issuer Free Writing</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containing certain supplemental information regarding the Shares, the terms of the Offering and the Company, and (c) a Prospectus 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and, together with the Base Prospectus, the “</w:t>
      </w:r>
      <w:r>
        <w:rPr>
          <w:rFonts w:ascii="Arial" w:cs="Arial" w:eastAsia="Arial" w:hAnsi="Arial"/>
          <w:sz w:val="16"/>
          <w:szCs w:val="16"/>
          <w:b w:val="1"/>
          <w:bCs w:val="1"/>
          <w:color w:val="auto"/>
        </w:rPr>
        <w:t>Prospectus</w:t>
      </w:r>
      <w:r>
        <w:rPr>
          <w:rFonts w:ascii="Arial" w:cs="Arial" w:eastAsia="Arial" w:hAnsi="Arial"/>
          <w:sz w:val="16"/>
          <w:szCs w:val="16"/>
          <w:color w:val="auto"/>
        </w:rPr>
        <w:t>”) containing certain supplemental information regarding the Shares and terms of the Offering that has been or will be filed with the Commission and delivered to the Investor (or made available to the Investor by the filing by the Company of an electronic version thereof with the Commission).</w:t>
      </w:r>
    </w:p>
    <w:p>
      <w:pPr>
        <w:spacing w:after="0" w:line="118" w:lineRule="exact"/>
        <w:rPr>
          <w:rFonts w:ascii="Arial" w:cs="Arial" w:eastAsia="Arial" w:hAnsi="Arial"/>
          <w:sz w:val="16"/>
          <w:szCs w:val="16"/>
          <w:b w:val="1"/>
          <w:bCs w:val="1"/>
          <w:color w:val="auto"/>
        </w:rPr>
      </w:pPr>
    </w:p>
    <w:p>
      <w:pPr>
        <w:ind w:right="160" w:firstLine="464"/>
        <w:spacing w:after="0" w:line="256" w:lineRule="auto"/>
        <w:tabs>
          <w:tab w:leader="none" w:pos="632"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 xml:space="preserve">The Company and the Investor agree that the Investor will purchase from the Company and the Company will issue and sell to the Investor the Shares set forth below for the aggregate purchase price set forth below. The Shares shall be purchased pursuant to the Terms and Conditions for Purchase of Shares attached hereto as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and incorporated herein by this reference as if fully set forth herein. The Investor acknowledges that the Offering is not being underwritten and that there is no minimum offering amount.</w:t>
      </w:r>
    </w:p>
    <w:p>
      <w:pPr>
        <w:spacing w:after="0" w:line="143" w:lineRule="exact"/>
        <w:rPr>
          <w:rFonts w:ascii="Arial" w:cs="Arial" w:eastAsia="Arial" w:hAnsi="Arial"/>
          <w:sz w:val="18"/>
          <w:szCs w:val="18"/>
          <w:b w:val="1"/>
          <w:bCs w:val="1"/>
          <w:color w:val="auto"/>
        </w:rPr>
      </w:pPr>
    </w:p>
    <w:p>
      <w:pPr>
        <w:ind w:left="640" w:hanging="176"/>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manner of settlement of the Shares purchased by the Investor shall be determined by such Investor as follows (</w:t>
      </w:r>
      <w:r>
        <w:rPr>
          <w:rFonts w:ascii="Arial" w:cs="Arial" w:eastAsia="Arial" w:hAnsi="Arial"/>
          <w:sz w:val="18"/>
          <w:szCs w:val="18"/>
          <w:u w:val="single" w:color="auto"/>
          <w:color w:val="auto"/>
        </w:rPr>
        <w:t>check one</w:t>
      </w:r>
      <w:r>
        <w:rPr>
          <w:rFonts w:ascii="Arial" w:cs="Arial" w:eastAsia="Arial" w:hAnsi="Arial"/>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  ]</w:t>
            </w:r>
          </w:p>
        </w:tc>
        <w:tc>
          <w:tcPr>
            <w:tcW w:w="10760" w:type="dxa"/>
            <w:vAlign w:val="bottom"/>
            <w:gridSpan w:val="3"/>
          </w:tcPr>
          <w:p>
            <w:pPr>
              <w:ind w:left="200"/>
              <w:spacing w:after="0"/>
              <w:rPr>
                <w:sz w:val="20"/>
                <w:szCs w:val="20"/>
                <w:color w:val="auto"/>
              </w:rPr>
            </w:pPr>
            <w:r>
              <w:rPr>
                <w:rFonts w:ascii="Arial" w:cs="Arial" w:eastAsia="Arial" w:hAnsi="Arial"/>
                <w:sz w:val="18"/>
                <w:szCs w:val="18"/>
                <w:color w:val="auto"/>
                <w:w w:val="90"/>
              </w:rPr>
              <w:t>A.   Delivery by crediting the account of the Investor’s prime broker (as specified by such Investor on Exhibit A annexed hereto) with the Depository</w:t>
            </w:r>
          </w:p>
        </w:tc>
      </w:tr>
      <w:tr>
        <w:trPr>
          <w:trHeight w:val="20"/>
        </w:trPr>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28"/>
        </w:trPr>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760" w:type="dxa"/>
            <w:vAlign w:val="bottom"/>
            <w:gridSpan w:val="3"/>
          </w:tcPr>
          <w:p>
            <w:pPr>
              <w:ind w:left="580"/>
              <w:spacing w:after="0"/>
              <w:rPr>
                <w:sz w:val="20"/>
                <w:szCs w:val="20"/>
                <w:color w:val="auto"/>
              </w:rPr>
            </w:pPr>
            <w:r>
              <w:rPr>
                <w:rFonts w:ascii="Arial" w:cs="Arial" w:eastAsia="Arial" w:hAnsi="Arial"/>
                <w:sz w:val="18"/>
                <w:szCs w:val="18"/>
                <w:color w:val="auto"/>
                <w:w w:val="94"/>
              </w:rPr>
              <w:t>Trust Company (“</w:t>
            </w:r>
            <w:r>
              <w:rPr>
                <w:rFonts w:ascii="Arial" w:cs="Arial" w:eastAsia="Arial" w:hAnsi="Arial"/>
                <w:sz w:val="18"/>
                <w:szCs w:val="18"/>
                <w:b w:val="1"/>
                <w:bCs w:val="1"/>
                <w:color w:val="auto"/>
                <w:w w:val="94"/>
              </w:rPr>
              <w:t>DTC</w:t>
            </w:r>
            <w:r>
              <w:rPr>
                <w:rFonts w:ascii="Arial" w:cs="Arial" w:eastAsia="Arial" w:hAnsi="Arial"/>
                <w:sz w:val="18"/>
                <w:szCs w:val="18"/>
                <w:color w:val="auto"/>
                <w:w w:val="94"/>
              </w:rPr>
              <w:t>”) through its Deposit/Withdrawal At Custodian (“</w:t>
            </w:r>
            <w:r>
              <w:rPr>
                <w:rFonts w:ascii="Arial" w:cs="Arial" w:eastAsia="Arial" w:hAnsi="Arial"/>
                <w:sz w:val="18"/>
                <w:szCs w:val="18"/>
                <w:b w:val="1"/>
                <w:bCs w:val="1"/>
                <w:color w:val="auto"/>
                <w:w w:val="94"/>
              </w:rPr>
              <w:t>DWAC</w:t>
            </w:r>
            <w:r>
              <w:rPr>
                <w:rFonts w:ascii="Arial" w:cs="Arial" w:eastAsia="Arial" w:hAnsi="Arial"/>
                <w:sz w:val="18"/>
                <w:szCs w:val="18"/>
                <w:color w:val="auto"/>
                <w:w w:val="94"/>
              </w:rPr>
              <w:t>”) system, whereby Investor’s prime broker shall initiate a</w:t>
            </w:r>
          </w:p>
        </w:tc>
      </w:tr>
      <w:tr>
        <w:trPr>
          <w:trHeight w:val="210"/>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760" w:type="dxa"/>
            <w:vAlign w:val="bottom"/>
            <w:gridSpan w:val="3"/>
          </w:tcPr>
          <w:p>
            <w:pPr>
              <w:ind w:left="580"/>
              <w:spacing w:after="0"/>
              <w:rPr>
                <w:sz w:val="20"/>
                <w:szCs w:val="20"/>
                <w:color w:val="auto"/>
              </w:rPr>
            </w:pPr>
            <w:r>
              <w:rPr>
                <w:rFonts w:ascii="Arial" w:cs="Arial" w:eastAsia="Arial" w:hAnsi="Arial"/>
                <w:sz w:val="18"/>
                <w:szCs w:val="18"/>
                <w:color w:val="auto"/>
                <w:w w:val="93"/>
              </w:rPr>
              <w:t>DWAC transaction on the Closing Date using its DTC participant identification number, and released by American Stock Transfer &amp; Trust</w:t>
            </w: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760" w:type="dxa"/>
            <w:vAlign w:val="bottom"/>
            <w:gridSpan w:val="3"/>
          </w:tcPr>
          <w:p>
            <w:pPr>
              <w:ind w:left="580"/>
              <w:spacing w:after="0"/>
              <w:rPr>
                <w:sz w:val="20"/>
                <w:szCs w:val="20"/>
                <w:color w:val="auto"/>
              </w:rPr>
            </w:pPr>
            <w:r>
              <w:rPr>
                <w:rFonts w:ascii="Arial" w:cs="Arial" w:eastAsia="Arial" w:hAnsi="Arial"/>
                <w:sz w:val="18"/>
                <w:szCs w:val="18"/>
                <w:color w:val="auto"/>
                <w:w w:val="92"/>
              </w:rPr>
              <w:t>Company, the Company’s transfer agent (the “</w:t>
            </w:r>
            <w:r>
              <w:rPr>
                <w:rFonts w:ascii="Arial" w:cs="Arial" w:eastAsia="Arial" w:hAnsi="Arial"/>
                <w:sz w:val="18"/>
                <w:szCs w:val="18"/>
                <w:b w:val="1"/>
                <w:bCs w:val="1"/>
                <w:color w:val="auto"/>
                <w:w w:val="92"/>
              </w:rPr>
              <w:t>Transfer Agent</w:t>
            </w:r>
            <w:r>
              <w:rPr>
                <w:rFonts w:ascii="Arial" w:cs="Arial" w:eastAsia="Arial" w:hAnsi="Arial"/>
                <w:sz w:val="18"/>
                <w:szCs w:val="18"/>
                <w:color w:val="auto"/>
                <w:w w:val="92"/>
              </w:rPr>
              <w:t xml:space="preserve">”), at the Company’s direction. </w:t>
            </w:r>
            <w:r>
              <w:rPr>
                <w:rFonts w:ascii="Arial" w:cs="Arial" w:eastAsia="Arial" w:hAnsi="Arial"/>
                <w:sz w:val="18"/>
                <w:szCs w:val="18"/>
                <w:b w:val="1"/>
                <w:bCs w:val="1"/>
                <w:color w:val="auto"/>
                <w:w w:val="92"/>
              </w:rPr>
              <w:t>NO LATER THAN ONE (1) BUSINESS DAY</w:t>
            </w:r>
          </w:p>
        </w:tc>
      </w:tr>
      <w:tr>
        <w:trPr>
          <w:trHeight w:val="228"/>
        </w:trPr>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760" w:type="dxa"/>
            <w:vAlign w:val="bottom"/>
            <w:gridSpan w:val="3"/>
          </w:tcPr>
          <w:p>
            <w:pPr>
              <w:ind w:left="580"/>
              <w:spacing w:after="0"/>
              <w:rPr>
                <w:sz w:val="20"/>
                <w:szCs w:val="20"/>
                <w:color w:val="auto"/>
              </w:rPr>
            </w:pPr>
            <w:r>
              <w:rPr>
                <w:rFonts w:ascii="Arial" w:cs="Arial" w:eastAsia="Arial" w:hAnsi="Arial"/>
                <w:sz w:val="18"/>
                <w:szCs w:val="18"/>
                <w:b w:val="1"/>
                <w:bCs w:val="1"/>
                <w:color w:val="auto"/>
              </w:rPr>
              <w:t>AFTER THE EXECUTION OF THIS AGREEMENT BY THE INVESTOR AND THE COMPANY, THE INVESTOR SHALL:</w:t>
            </w:r>
          </w:p>
        </w:tc>
      </w:tr>
    </w:tbl>
    <w:p>
      <w:pPr>
        <w:spacing w:after="0" w:line="96" w:lineRule="exact"/>
        <w:rPr>
          <w:sz w:val="20"/>
          <w:szCs w:val="20"/>
          <w:color w:val="auto"/>
        </w:rPr>
      </w:pPr>
    </w:p>
    <w:p>
      <w:pPr>
        <w:ind w:left="1500" w:right="300" w:hanging="439"/>
        <w:spacing w:after="0" w:line="262" w:lineRule="auto"/>
        <w:tabs>
          <w:tab w:leader="none" w:pos="1473"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DIRECT THE BROKER-DEALER AT WHICH THE ACCOUNT OR ACCOUNTS TO BE CREDITED WITH THE SHARES ARE MAINTAINED TO SET UP A DWAC INSTRUCTING THE TRANSFER AGENT TO CREDIT SUCH ACCOUNT OR ACCOUNTS WITH THE SHARES, AND</w:t>
      </w:r>
    </w:p>
    <w:p>
      <w:pPr>
        <w:sectPr>
          <w:pgSz w:w="11900" w:h="16838" w:orient="portrait"/>
          <w:cols w:equalWidth="0" w:num="1">
            <w:col w:w="11340"/>
          </w:cols>
          <w:pgMar w:left="240" w:top="274" w:right="319" w:bottom="1440" w:gutter="0" w:footer="0" w:header="0"/>
        </w:sectPr>
      </w:pPr>
    </w:p>
    <w:bookmarkStart w:id="7" w:name="page8"/>
    <w:bookmarkEnd w:id="7"/>
    <w:p>
      <w:pPr>
        <w:ind w:left="1480" w:right="360" w:hanging="432"/>
        <w:spacing w:after="0" w:line="275" w:lineRule="auto"/>
        <w:tabs>
          <w:tab w:leader="none" w:pos="1477"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REMIT BY WIRE TRANSFER THE AMOUNT OF FUNDS EQUAL TO THE AGGREGATE PURCHASE PRICE FOR THE SHARES BEING PURCHASED BY THE INVESTOR TO THE FOLLOWING ACCOUNT:</w:t>
      </w:r>
    </w:p>
    <w:p>
      <w:pPr>
        <w:spacing w:after="0" w:line="72"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Bank of America</w:t>
      </w:r>
    </w:p>
    <w:p>
      <w:pPr>
        <w:spacing w:after="0" w:line="1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ABA #</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Account Name:</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Account Number:</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u w:val="single" w:color="auto"/>
          <w:color w:val="auto"/>
        </w:rPr>
        <w:t>Attention</w:t>
      </w:r>
      <w:r>
        <w:rPr>
          <w:rFonts w:ascii="Arial" w:cs="Arial" w:eastAsia="Arial" w:hAnsi="Arial"/>
          <w:sz w:val="18"/>
          <w:szCs w:val="18"/>
          <w:color w:val="auto"/>
        </w:rPr>
        <w:t>:</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Phone:</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Facsimile: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OR —</w:t>
      </w:r>
    </w:p>
    <w:p>
      <w:pPr>
        <w:spacing w:after="0" w:line="111" w:lineRule="exact"/>
        <w:rPr>
          <w:sz w:val="20"/>
          <w:szCs w:val="20"/>
          <w:color w:val="auto"/>
        </w:rPr>
      </w:pPr>
    </w:p>
    <w:p>
      <w:pPr>
        <w:ind w:left="680" w:right="40" w:hanging="672"/>
        <w:spacing w:after="0" w:line="285" w:lineRule="auto"/>
        <w:tabs>
          <w:tab w:leader="none" w:pos="-126"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B. Delivery versus payment (“</w:t>
      </w:r>
      <w:r>
        <w:rPr>
          <w:rFonts w:ascii="Arial" w:cs="Arial" w:eastAsia="Arial" w:hAnsi="Arial"/>
          <w:sz w:val="16"/>
          <w:szCs w:val="16"/>
          <w:b w:val="1"/>
          <w:bCs w:val="1"/>
          <w:color w:val="auto"/>
        </w:rPr>
        <w:t>DVP</w:t>
      </w:r>
      <w:r>
        <w:rPr>
          <w:rFonts w:ascii="Arial" w:cs="Arial" w:eastAsia="Arial" w:hAnsi="Arial"/>
          <w:sz w:val="16"/>
          <w:szCs w:val="16"/>
          <w:color w:val="auto"/>
        </w:rPr>
        <w:t>”) through DTC (i.e., on the Closing Date, the Company shall deliver Shares registered in the Investor’s name and address as set forth below and released by the Transfer Agent to the Investor through DTC at the Closing directly to the account(s) at an institution (the “</w:t>
      </w:r>
      <w:r>
        <w:rPr>
          <w:rFonts w:ascii="Arial" w:cs="Arial" w:eastAsia="Arial" w:hAnsi="Arial"/>
          <w:sz w:val="16"/>
          <w:szCs w:val="16"/>
          <w:b w:val="1"/>
          <w:bCs w:val="1"/>
          <w:color w:val="auto"/>
        </w:rPr>
        <w:t>Institution</w:t>
      </w:r>
      <w:r>
        <w:rPr>
          <w:rFonts w:ascii="Arial" w:cs="Arial" w:eastAsia="Arial" w:hAnsi="Arial"/>
          <w:sz w:val="16"/>
          <w:szCs w:val="16"/>
          <w:color w:val="auto"/>
        </w:rPr>
        <w:t xml:space="preserve">”) identified by the Investor; upon receipt of such Shares, the Institution shall promptly electronically deliver such Shares to the Investor, and simultaneously therewith payment shall be made by the Institution by wire transfer to the Company). </w:t>
      </w:r>
      <w:r>
        <w:rPr>
          <w:rFonts w:ascii="Arial" w:cs="Arial" w:eastAsia="Arial" w:hAnsi="Arial"/>
          <w:sz w:val="16"/>
          <w:szCs w:val="16"/>
          <w:b w:val="1"/>
          <w:bCs w:val="1"/>
          <w:color w:val="auto"/>
        </w:rPr>
        <w:t>NO LATER THAN ONE (1)</w:t>
      </w:r>
    </w:p>
    <w:p>
      <w:pPr>
        <w:spacing w:after="0" w:line="2" w:lineRule="exact"/>
        <w:rPr>
          <w:rFonts w:ascii="Arial" w:cs="Arial" w:eastAsia="Arial" w:hAnsi="Arial"/>
          <w:sz w:val="18"/>
          <w:szCs w:val="18"/>
          <w:color w:val="auto"/>
        </w:rPr>
      </w:pPr>
    </w:p>
    <w:p>
      <w:pPr>
        <w:ind w:left="1040" w:right="160"/>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BUSINESS DAY AFTER THE EXECUTION OF THIS AGREEMENT BY THE INVESTOR AND THE COMPANY, THE INVESTOR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-721360</wp:posOffset>
            </wp:positionV>
            <wp:extent cx="1117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58" w:lineRule="exact"/>
        <w:rPr>
          <w:sz w:val="20"/>
          <w:szCs w:val="20"/>
          <w:color w:val="auto"/>
        </w:rPr>
      </w:pPr>
    </w:p>
    <w:p>
      <w:pPr>
        <w:ind w:left="1480" w:right="260" w:hanging="432"/>
        <w:spacing w:after="0" w:line="275" w:lineRule="auto"/>
        <w:tabs>
          <w:tab w:leader="none" w:pos="1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NOTIFY THE INSTITUTION OF THE ACCOUNT OR ACCOUNTS AT THE INSTITUTION TO BE CREDITED WITH THE SHARES BEING PURCHASED BY SUCH INVESTOR, AND</w:t>
      </w:r>
    </w:p>
    <w:p>
      <w:pPr>
        <w:spacing w:after="0" w:line="66" w:lineRule="exact"/>
        <w:rPr>
          <w:sz w:val="20"/>
          <w:szCs w:val="20"/>
          <w:color w:val="auto"/>
        </w:rPr>
      </w:pPr>
    </w:p>
    <w:p>
      <w:pPr>
        <w:jc w:val="both"/>
        <w:ind w:left="1480" w:right="80" w:hanging="432"/>
        <w:spacing w:after="0" w:line="262" w:lineRule="auto"/>
        <w:tabs>
          <w:tab w:leader="none" w:pos="1477"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CONFIRM THAT THE ACCOUNT OR ACCOUNTS AT THE INSTITUTION TO BE CREDITED WITH THE SHARES BEING PURCHASED BY THE INVESTOR HAVE A MINIMUM BALANCE EQUAL TO THE AGGREGATE PURCHASE PRICE FOR THE SHARES BEING PURCHASED BY THE INVESTOR.</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u w:val="single" w:color="auto"/>
          <w:color w:val="auto"/>
        </w:rPr>
        <w:t>IT IS THE INVESTOR’S RESPONSIBILITY TO (A) MAKE THE NECESSARY WIRE TRANSFER OR CONFIRM THE PROPER ACCOUNT BALANCE IN A TIMELY MANNER AND (B) ARRANGE FOR SETTLEMENT BY WAY OF DWAC OR DVP IN A TIMELY MANNER. IF THE INVESTOR DOES NOT DELIVER THE AGGREGATE PURCHASE PRICE FOR THE SHARES OR DOES NOT MAKE PROPER ARRANGEMENTS FOR SETTLEMENT IN A TIMELY MANNER, THE SHARES MAY NOT BE DELIVERED AT CLOSING TO THE INVESTOR OR THE INVESTOR MAY BE EXCLUDED FROM THE CLOSING ALTOGETHER</w:t>
      </w:r>
      <w:r>
        <w:rPr>
          <w:rFonts w:ascii="Arial" w:cs="Arial" w:eastAsia="Arial" w:hAnsi="Arial"/>
          <w:sz w:val="18"/>
          <w:szCs w:val="18"/>
          <w:b w:val="1"/>
          <w:bCs w:val="1"/>
          <w:color w:val="auto"/>
        </w:rPr>
        <w:t>.</w:t>
      </w:r>
    </w:p>
    <w:p>
      <w:pPr>
        <w:spacing w:after="0" w:line="145" w:lineRule="exact"/>
        <w:rPr>
          <w:sz w:val="20"/>
          <w:szCs w:val="20"/>
          <w:color w:val="auto"/>
        </w:rPr>
      </w:pPr>
    </w:p>
    <w:p>
      <w:pPr>
        <w:jc w:val="both"/>
        <w:ind w:right="40" w:firstLine="464"/>
        <w:spacing w:after="0" w:line="318" w:lineRule="auto"/>
        <w:tabs>
          <w:tab w:leader="none" w:pos="632" w:val="left"/>
        </w:tabs>
        <w:numPr>
          <w:ilvl w:val="0"/>
          <w:numId w:val="9"/>
        </w:numPr>
        <w:rPr>
          <w:rFonts w:ascii="Arial" w:cs="Arial" w:eastAsia="Arial" w:hAnsi="Arial"/>
          <w:sz w:val="15"/>
          <w:szCs w:val="15"/>
          <w:b w:val="1"/>
          <w:bCs w:val="1"/>
          <w:color w:val="auto"/>
        </w:rPr>
      </w:pPr>
      <w:r>
        <w:rPr>
          <w:rFonts w:ascii="Arial" w:cs="Arial" w:eastAsia="Arial" w:hAnsi="Arial"/>
          <w:sz w:val="15"/>
          <w:szCs w:val="15"/>
          <w:color w:val="auto"/>
        </w:rPr>
        <w:t>The Investor represents that, except as set forth below, (a) it has had no position, office or other material relationship within the past three years with the Company or persons known to it to be affiliates of the Company, (b) it is not a FINRA member or an Associated Person (as such term is defined under the NASD Membership and Registration Rules Section 1011) as of the Closing, and (c) neither the Investor nor any group of investors (as identified in a public filing made with the Commission) of which the Investor is a part in connection with the Offering of the Shares, acquired, or obtained the right to acquire, 20% or more of the Common Stock (or securities convertible into or exercisable for Common Stock) or the voting power of the Company on a post-transaction basis. Exceptions: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Investor is an Associated Person of certain FINRA members, none of which are involved in this Offering.</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74" w:right="259" w:bottom="1440" w:gutter="0" w:footer="0" w:header="0"/>
        </w:sectPr>
      </w:pPr>
    </w:p>
    <w:bookmarkStart w:id="8" w:name="page9"/>
    <w:bookmarkEnd w:id="8"/>
    <w:p>
      <w:pPr>
        <w:ind w:right="40" w:firstLine="464"/>
        <w:spacing w:after="0" w:line="291" w:lineRule="auto"/>
        <w:tabs>
          <w:tab w:leader="none" w:pos="632"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Investor represents that it has received (or otherwise had made available to it by the filing by the Company of an electronic version thereof with the Commission) the Base Prospectus which is a part of the Company’s Registration Statement, the documents incorporated by reference therein and any free writing prospectus (collectively, the “</w:t>
      </w:r>
      <w:r>
        <w:rPr>
          <w:rFonts w:ascii="Arial" w:cs="Arial" w:eastAsia="Arial" w:hAnsi="Arial"/>
          <w:sz w:val="16"/>
          <w:szCs w:val="16"/>
          <w:b w:val="1"/>
          <w:bCs w:val="1"/>
          <w:color w:val="auto"/>
        </w:rPr>
        <w:t>Disclosure Package</w:t>
      </w:r>
      <w:r>
        <w:rPr>
          <w:rFonts w:ascii="Arial" w:cs="Arial" w:eastAsia="Arial" w:hAnsi="Arial"/>
          <w:sz w:val="16"/>
          <w:szCs w:val="16"/>
          <w:color w:val="auto"/>
        </w:rPr>
        <w:t>”), prior to or in connection with the receipt of this Agreement. The Investor acknowledges that, prior to the delivery of this Agreement to the Company, the Investor will receive certain additional information regarding the Offering, including pricing information (the “</w:t>
      </w:r>
      <w:r>
        <w:rPr>
          <w:rFonts w:ascii="Arial" w:cs="Arial" w:eastAsia="Arial" w:hAnsi="Arial"/>
          <w:sz w:val="16"/>
          <w:szCs w:val="16"/>
          <w:b w:val="1"/>
          <w:bCs w:val="1"/>
          <w:color w:val="auto"/>
        </w:rPr>
        <w:t>Offering Information</w:t>
      </w:r>
      <w:r>
        <w:rPr>
          <w:rFonts w:ascii="Arial" w:cs="Arial" w:eastAsia="Arial" w:hAnsi="Arial"/>
          <w:sz w:val="16"/>
          <w:szCs w:val="16"/>
          <w:color w:val="auto"/>
        </w:rPr>
        <w:t>”). Such information may be provided to the Investor by any means permitted under the Securities Act, including the Prospectus Supplement, a free writing prospectus and oral communications.</w:t>
      </w:r>
    </w:p>
    <w:p>
      <w:pPr>
        <w:spacing w:after="0" w:line="120" w:lineRule="exact"/>
        <w:rPr>
          <w:rFonts w:ascii="Arial" w:cs="Arial" w:eastAsia="Arial" w:hAnsi="Arial"/>
          <w:sz w:val="16"/>
          <w:szCs w:val="16"/>
          <w:b w:val="1"/>
          <w:bCs w:val="1"/>
          <w:color w:val="auto"/>
        </w:rPr>
      </w:pPr>
    </w:p>
    <w:p>
      <w:pPr>
        <w:ind w:left="640" w:hanging="176"/>
        <w:spacing w:after="0"/>
        <w:tabs>
          <w:tab w:leader="none" w:pos="64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No offer by the Investor to buy Shares will be accepted and no part of the Purchase Price will be delivered to the Company until the Investor has</w:t>
      </w:r>
    </w:p>
    <w:p>
      <w:pPr>
        <w:spacing w:after="0" w:line="38" w:lineRule="exact"/>
        <w:rPr>
          <w:rFonts w:ascii="Arial" w:cs="Arial" w:eastAsia="Arial" w:hAnsi="Arial"/>
          <w:sz w:val="16"/>
          <w:szCs w:val="16"/>
          <w:b w:val="1"/>
          <w:bCs w:val="1"/>
          <w:color w:val="auto"/>
        </w:rPr>
      </w:pPr>
    </w:p>
    <w:p>
      <w:pPr>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received the Offering Information and the Company has accepted such offer by countersigning a copy of this Agreement, and any such offer may be withdrawn or revoked, without obligation or commitment of any kind, at any time prior to the Company sending (orally, in writing or by electronic mail) notice of its acceptance of such offer. An indication of interest will involve no obligation or commitment of any kind until the Investor has been delivered the Offering Information and this Agreement is accepted and countersigned by or on behalf of the Company.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Left Blank Intentionally. 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Number of Shares: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Per Share: $2.75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Purchase Price: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Please confirm that the foregoing correctly sets forth the agreement between us by signing in the space provided below for that purpose.</w:t>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Dated as of: September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this 1st day of September,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219"/>
          </w:cols>
          <w:pgMar w:left="240" w:top="280" w:right="1440" w:bottom="1440" w:gutter="0" w:footer="0" w:header="0"/>
        </w:sectPr>
      </w:pPr>
    </w:p>
    <w:bookmarkStart w:id="10" w:name="page11"/>
    <w:bookmarkEnd w:id="10"/>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I</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TERMS AND CONDITIONS FOR PURCHASE OF SHARES</w:t>
      </w:r>
    </w:p>
    <w:p>
      <w:pPr>
        <w:spacing w:after="0" w:line="171" w:lineRule="exact"/>
        <w:rPr>
          <w:sz w:val="20"/>
          <w:szCs w:val="20"/>
          <w:color w:val="auto"/>
        </w:rPr>
      </w:pPr>
    </w:p>
    <w:p>
      <w:pPr>
        <w:ind w:left="640" w:hanging="176"/>
        <w:spacing w:after="0"/>
        <w:tabs>
          <w:tab w:leader="none" w:pos="64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Authorization and Sale of the Shares. </w:t>
      </w:r>
      <w:r>
        <w:rPr>
          <w:rFonts w:ascii="Arial" w:cs="Arial" w:eastAsia="Arial" w:hAnsi="Arial"/>
          <w:sz w:val="16"/>
          <w:szCs w:val="16"/>
          <w:color w:val="auto"/>
        </w:rPr>
        <w:t>Subject to the terms and conditions of this Agreement, the Company has authorized the sale of the Shares.</w:t>
      </w:r>
    </w:p>
    <w:p>
      <w:pPr>
        <w:spacing w:after="0" w:line="194" w:lineRule="exact"/>
        <w:rPr>
          <w:rFonts w:ascii="Arial" w:cs="Arial" w:eastAsia="Arial" w:hAnsi="Arial"/>
          <w:sz w:val="16"/>
          <w:szCs w:val="16"/>
          <w:b w:val="1"/>
          <w:bCs w:val="1"/>
          <w:color w:val="auto"/>
        </w:rPr>
      </w:pPr>
    </w:p>
    <w:p>
      <w:pPr>
        <w:ind w:left="640" w:hanging="176"/>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to Sell and Purchase the Shares.</w:t>
      </w:r>
    </w:p>
    <w:p>
      <w:pPr>
        <w:spacing w:after="0" w:line="90" w:lineRule="exact"/>
        <w:rPr>
          <w:sz w:val="20"/>
          <w:szCs w:val="20"/>
          <w:color w:val="auto"/>
        </w:rPr>
      </w:pPr>
    </w:p>
    <w:p>
      <w:pPr>
        <w:jc w:val="both"/>
        <w:ind w:right="300" w:firstLine="913"/>
        <w:spacing w:after="0" w:line="310"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color w:val="auto"/>
        </w:rPr>
        <w:t>At the Closing (as defined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3.1</w:t>
      </w:r>
      <w:r>
        <w:rPr>
          <w:rFonts w:ascii="Arial" w:cs="Arial" w:eastAsia="Arial" w:hAnsi="Arial"/>
          <w:sz w:val="16"/>
          <w:szCs w:val="16"/>
          <w:color w:val="auto"/>
        </w:rPr>
        <w:t>), the Company will sell to the Investor, and the Investor will purchase from the Company,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terms and conditions set forth herein, the number of Shares set forth on the last page of the Agreement to which these Terms and Conditions for Purchase of Shares are attached as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(the “</w:t>
      </w:r>
      <w:r>
        <w:rPr>
          <w:rFonts w:ascii="Arial" w:cs="Arial" w:eastAsia="Arial" w:hAnsi="Arial"/>
          <w:sz w:val="16"/>
          <w:szCs w:val="16"/>
          <w:b w:val="1"/>
          <w:bCs w:val="1"/>
          <w:color w:val="auto"/>
        </w:rPr>
        <w:t>Signature Page</w:t>
      </w:r>
      <w:r>
        <w:rPr>
          <w:rFonts w:ascii="Arial" w:cs="Arial" w:eastAsia="Arial" w:hAnsi="Arial"/>
          <w:sz w:val="16"/>
          <w:szCs w:val="16"/>
          <w:color w:val="auto"/>
        </w:rPr>
        <w:t>”) for the aggregate purchase price therefor set forth on the Signature Page.</w:t>
      </w:r>
    </w:p>
    <w:p>
      <w:pPr>
        <w:spacing w:after="0" w:line="97" w:lineRule="exact"/>
        <w:rPr>
          <w:sz w:val="20"/>
          <w:szCs w:val="20"/>
          <w:color w:val="auto"/>
        </w:rPr>
      </w:pPr>
    </w:p>
    <w:p>
      <w:pPr>
        <w:ind w:right="420" w:firstLine="913"/>
        <w:spacing w:after="0" w:line="258"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The Company proposes to enter into substantially this same form of Subscription Agreement with certain other investors (the “</w:t>
      </w:r>
      <w:r>
        <w:rPr>
          <w:rFonts w:ascii="Arial" w:cs="Arial" w:eastAsia="Arial" w:hAnsi="Arial"/>
          <w:sz w:val="18"/>
          <w:szCs w:val="18"/>
          <w:b w:val="1"/>
          <w:bCs w:val="1"/>
          <w:color w:val="auto"/>
        </w:rPr>
        <w:t>Other Investors</w:t>
      </w:r>
      <w:r>
        <w:rPr>
          <w:rFonts w:ascii="Arial" w:cs="Arial" w:eastAsia="Arial" w:hAnsi="Arial"/>
          <w:sz w:val="18"/>
          <w:szCs w:val="18"/>
          <w:color w:val="auto"/>
        </w:rPr>
        <w:t>”) and expects to complete sales of Shares to them. The Investor and the Other Investors are hereinafter sometimes collectively referred to as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Investors</w:t>
      </w:r>
      <w:r>
        <w:rPr>
          <w:rFonts w:ascii="Arial" w:cs="Arial" w:eastAsia="Arial" w:hAnsi="Arial"/>
          <w:sz w:val="18"/>
          <w:szCs w:val="18"/>
          <w:color w:val="auto"/>
        </w:rPr>
        <w:t>,” and this Agreement and the Subscription Agreements executed by the Other Investors are hereinafter sometimes collectively referred to as the “</w:t>
      </w:r>
      <w:r>
        <w:rPr>
          <w:rFonts w:ascii="Arial" w:cs="Arial" w:eastAsia="Arial" w:hAnsi="Arial"/>
          <w:sz w:val="18"/>
          <w:szCs w:val="18"/>
          <w:b w:val="1"/>
          <w:bCs w:val="1"/>
          <w:color w:val="auto"/>
        </w:rPr>
        <w:t>Agreements</w:t>
      </w:r>
      <w:r>
        <w:rPr>
          <w:rFonts w:ascii="Arial" w:cs="Arial" w:eastAsia="Arial" w:hAnsi="Arial"/>
          <w:sz w:val="18"/>
          <w:szCs w:val="18"/>
          <w:color w:val="auto"/>
        </w:rPr>
        <w:t>.”</w:t>
      </w:r>
    </w:p>
    <w:p>
      <w:pPr>
        <w:spacing w:after="0" w:line="136" w:lineRule="exact"/>
        <w:rPr>
          <w:sz w:val="20"/>
          <w:szCs w:val="20"/>
          <w:color w:val="auto"/>
        </w:rPr>
      </w:pPr>
    </w:p>
    <w:p>
      <w:pPr>
        <w:ind w:right="160" w:firstLine="913"/>
        <w:spacing w:after="0" w:line="258"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color w:val="auto"/>
        </w:rPr>
        <w:t>The Investor acknowledges that its decision to enter into this Agreement has been made by such Investor independently of any Other Investor.</w:t>
      </w:r>
      <w:r>
        <w:rPr>
          <w:rFonts w:ascii="Arial" w:cs="Arial" w:eastAsia="Arial" w:hAnsi="Arial"/>
          <w:sz w:val="18"/>
          <w:szCs w:val="18"/>
          <w:b w:val="1"/>
          <w:bCs w:val="1"/>
          <w:color w:val="auto"/>
        </w:rPr>
        <w:t xml:space="preserve"> </w:t>
      </w:r>
      <w:r>
        <w:rPr>
          <w:rFonts w:ascii="Arial" w:cs="Arial" w:eastAsia="Arial" w:hAnsi="Arial"/>
          <w:sz w:val="18"/>
          <w:szCs w:val="18"/>
          <w:color w:val="auto"/>
        </w:rPr>
        <w:t>The Investor acknowledges that nothing contained herein, and no action taken by any Investor pursuant to the Agreements, shall be deemed to constitute the Investors as a partnership, an association, a joint venture or any other kind of entity, or create a presumption that the Investors are in any way acting in concert with respect to their investments or obligations hereunder.</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Closings and Delivery of the Shares and Funds.</w:t>
      </w:r>
    </w:p>
    <w:p>
      <w:pPr>
        <w:spacing w:after="0" w:line="90" w:lineRule="exact"/>
        <w:rPr>
          <w:sz w:val="20"/>
          <w:szCs w:val="20"/>
          <w:color w:val="auto"/>
        </w:rPr>
      </w:pPr>
    </w:p>
    <w:p>
      <w:pPr>
        <w:ind w:right="320" w:firstLine="913"/>
        <w:spacing w:after="0" w:line="289"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u w:val="single" w:color="auto"/>
          <w:color w:val="auto"/>
        </w:rPr>
        <w:t>Closing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closing (the “</w:t>
      </w:r>
      <w:r>
        <w:rPr>
          <w:rFonts w:ascii="Arial" w:cs="Arial" w:eastAsia="Arial" w:hAnsi="Arial"/>
          <w:sz w:val="16"/>
          <w:szCs w:val="16"/>
          <w:b w:val="1"/>
          <w:bCs w:val="1"/>
          <w:color w:val="auto"/>
        </w:rPr>
        <w:t>Closing</w:t>
      </w:r>
      <w:r>
        <w:rPr>
          <w:rFonts w:ascii="Arial" w:cs="Arial" w:eastAsia="Arial" w:hAnsi="Arial"/>
          <w:sz w:val="16"/>
          <w:szCs w:val="16"/>
          <w:color w:val="auto"/>
        </w:rPr>
        <w:t>”) of the purchase of the Shares by the Investor shall occur at the offices of Greenberg Traurig, LLP, One</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Place, Boston, Massachusetts 02110. The date and time of the Closing (the “</w:t>
      </w:r>
      <w:r>
        <w:rPr>
          <w:rFonts w:ascii="Arial" w:cs="Arial" w:eastAsia="Arial" w:hAnsi="Arial"/>
          <w:sz w:val="16"/>
          <w:szCs w:val="16"/>
          <w:b w:val="1"/>
          <w:bCs w:val="1"/>
          <w:color w:val="auto"/>
        </w:rPr>
        <w:t>Closing Date</w:t>
      </w:r>
      <w:r>
        <w:rPr>
          <w:rFonts w:ascii="Arial" w:cs="Arial" w:eastAsia="Arial" w:hAnsi="Arial"/>
          <w:sz w:val="16"/>
          <w:szCs w:val="16"/>
          <w:color w:val="auto"/>
        </w:rPr>
        <w:t>”) shall be 10:00 a.m., Boston time, on the first</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(1st) business day on which the conditions to the Closing set forth in Section 3.2 below are satisfied or waived (or such later date as is mutually agreed to by the Company and the Investor). At the Closing, (a) the Company shall cause the Transfer Agent to deliver to the Investor the number of Shares set forth on the Signature Page registered in the name of the Investor or, if so indicated on the Investor Questionnaire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in the name of a nominee designated by the Investor and (b) the aggregate purchase price for the Shares being purchased by the Investor will be delivered by or on behalf of the Investor to the Company.</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u w:val="single" w:color="auto"/>
          <w:color w:val="auto"/>
        </w:rPr>
        <w:t>Conditions to the Obligations of the Parties</w:t>
      </w:r>
      <w:r>
        <w:rPr>
          <w:rFonts w:ascii="Arial" w:cs="Arial" w:eastAsia="Arial" w:hAnsi="Arial"/>
          <w:sz w:val="18"/>
          <w:szCs w:val="18"/>
          <w:b w:val="1"/>
          <w:bCs w:val="1"/>
          <w:color w:val="auto"/>
        </w:rPr>
        <w:t>.</w:t>
      </w:r>
    </w:p>
    <w:p>
      <w:pPr>
        <w:spacing w:after="0" w:line="90" w:lineRule="exact"/>
        <w:rPr>
          <w:sz w:val="20"/>
          <w:szCs w:val="20"/>
          <w:color w:val="auto"/>
        </w:rPr>
      </w:pPr>
    </w:p>
    <w:p>
      <w:pPr>
        <w:ind w:left="1740" w:hanging="248"/>
        <w:spacing w:after="0"/>
        <w:tabs>
          <w:tab w:leader="none" w:pos="1740" w:val="left"/>
        </w:tabs>
        <w:numPr>
          <w:ilvl w:val="0"/>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Conditions to the Company’s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obligation to issue and sell the Shares to the Investor shall be subject to:</w:t>
      </w:r>
    </w:p>
    <w:p>
      <w:pPr>
        <w:spacing w:after="0" w:line="119" w:lineRule="exact"/>
        <w:rPr>
          <w:rFonts w:ascii="Arial" w:cs="Arial" w:eastAsia="Arial" w:hAnsi="Arial"/>
          <w:sz w:val="16"/>
          <w:szCs w:val="16"/>
          <w:color w:val="auto"/>
        </w:rPr>
      </w:pPr>
    </w:p>
    <w:p>
      <w:pPr>
        <w:ind w:left="2160" w:hanging="212"/>
        <w:spacing w:after="0"/>
        <w:tabs>
          <w:tab w:leader="none" w:pos="2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Company’s receipt of the Investor’s executed signature page to this Agreement;</w:t>
      </w:r>
    </w:p>
    <w:p>
      <w:pPr>
        <w:spacing w:after="0" w:line="157" w:lineRule="exact"/>
        <w:rPr>
          <w:rFonts w:ascii="Arial" w:cs="Arial" w:eastAsia="Arial" w:hAnsi="Arial"/>
          <w:sz w:val="18"/>
          <w:szCs w:val="18"/>
          <w:color w:val="auto"/>
        </w:rPr>
      </w:pPr>
    </w:p>
    <w:p>
      <w:pPr>
        <w:ind w:left="5680" w:hanging="112"/>
        <w:spacing w:after="0"/>
        <w:tabs>
          <w:tab w:leader="none" w:pos="56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340"/>
          </w:cols>
          <w:pgMar w:left="240" w:top="274" w:right="319" w:bottom="1440" w:gutter="0" w:footer="0" w:header="0"/>
        </w:sectPr>
      </w:pPr>
    </w:p>
    <w:bookmarkStart w:id="11" w:name="page12"/>
    <w:bookmarkEnd w:id="11"/>
    <w:p>
      <w:pPr>
        <w:ind w:left="1000" w:hanging="252"/>
        <w:spacing w:after="0"/>
        <w:tabs>
          <w:tab w:leader="none" w:pos="1000" w:val="left"/>
        </w:tabs>
        <w:numPr>
          <w:ilvl w:val="1"/>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receipt by the Company of the purchase price for the Shares being purchased hereunder as set forth on the Signature Page;</w:t>
      </w:r>
    </w:p>
    <w:p>
      <w:pPr>
        <w:spacing w:after="0" w:line="194" w:lineRule="exact"/>
        <w:rPr>
          <w:rFonts w:ascii="Arial" w:cs="Arial" w:eastAsia="Arial" w:hAnsi="Arial"/>
          <w:sz w:val="16"/>
          <w:szCs w:val="16"/>
          <w:color w:val="auto"/>
        </w:rPr>
      </w:pPr>
    </w:p>
    <w:p>
      <w:pPr>
        <w:ind w:left="-1200" w:right="140" w:firstLine="1948"/>
        <w:spacing w:after="0" w:line="268" w:lineRule="auto"/>
        <w:tabs>
          <w:tab w:leader="none" w:pos="1047"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made by the Investor and the fulfillment of those undertakings of the Investor to be fulfilled prior to the Closing Date;</w:t>
      </w:r>
    </w:p>
    <w:p>
      <w:pPr>
        <w:spacing w:after="0" w:line="131" w:lineRule="exact"/>
        <w:rPr>
          <w:rFonts w:ascii="Arial" w:cs="Arial" w:eastAsia="Arial" w:hAnsi="Arial"/>
          <w:sz w:val="18"/>
          <w:szCs w:val="18"/>
          <w:color w:val="auto"/>
        </w:rPr>
      </w:pPr>
    </w:p>
    <w:p>
      <w:pPr>
        <w:ind w:left="-1200" w:right="60" w:firstLine="1948"/>
        <w:spacing w:after="0" w:line="268" w:lineRule="auto"/>
        <w:tabs>
          <w:tab w:leader="none" w:pos="1037"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Company shall have obtained all governmental, regulatory or third party consents and approvals, if any, necessary for the sale of the Shares, including without limitation, those required by the NASDAQ Global Select Market (“</w:t>
      </w:r>
      <w:r>
        <w:rPr>
          <w:rFonts w:ascii="Arial" w:cs="Arial" w:eastAsia="Arial" w:hAnsi="Arial"/>
          <w:sz w:val="18"/>
          <w:szCs w:val="18"/>
          <w:b w:val="1"/>
          <w:bCs w:val="1"/>
          <w:color w:val="auto"/>
        </w:rPr>
        <w:t>Nasdaq</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jc w:val="both"/>
        <w:ind w:left="-1200" w:right="20" w:firstLine="1948"/>
        <w:spacing w:after="0" w:line="370" w:lineRule="auto"/>
        <w:tabs>
          <w:tab w:leader="none" w:pos="989" w:val="left"/>
        </w:tabs>
        <w:numPr>
          <w:ilvl w:val="1"/>
          <w:numId w:val="13"/>
        </w:numPr>
        <w:rPr>
          <w:rFonts w:ascii="Arial" w:cs="Arial" w:eastAsia="Arial" w:hAnsi="Arial"/>
          <w:sz w:val="15"/>
          <w:szCs w:val="15"/>
          <w:color w:val="auto"/>
        </w:rPr>
      </w:pPr>
      <w:r>
        <w:rPr>
          <w:rFonts w:ascii="Arial" w:cs="Arial" w:eastAsia="Arial" w:hAnsi="Arial"/>
          <w:sz w:val="15"/>
          <w:szCs w:val="15"/>
          <w:color w:val="auto"/>
        </w:rPr>
        <w:t>no statute, rule, regulation, executive order, decree, ruling or injunction shall have been enacted, entered, promulgated or endorsed by any court or governmental authority of competent jurisdiction that prohibits the consummation of any of the transactions contemplated by this Agreement; and</w:t>
      </w:r>
    </w:p>
    <w:p>
      <w:pPr>
        <w:spacing w:after="0" w:line="62" w:lineRule="exact"/>
        <w:rPr>
          <w:rFonts w:ascii="Arial" w:cs="Arial" w:eastAsia="Arial" w:hAnsi="Arial"/>
          <w:sz w:val="15"/>
          <w:szCs w:val="15"/>
          <w:color w:val="auto"/>
        </w:rPr>
      </w:pPr>
    </w:p>
    <w:p>
      <w:pPr>
        <w:ind w:left="-1200" w:right="40" w:firstLine="1948"/>
        <w:spacing w:after="0" w:line="255" w:lineRule="auto"/>
        <w:tabs>
          <w:tab w:leader="none" w:pos="103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The Registration Statement shall remain effective at all times up to and including the Closing Date and the issuance of the Shares to the Investor may be made thereunder; (B) neither the Company nor the Investor shall have received notice that the Commission has issued or intends to issue a stop order with respect to the Registration Statement or that the Commission otherwise has suspended or withdrawn the effectiveness of the Registration Statement either, temporarily or permanently, or intends or has threatened to do so; and (C) no other suspension of the use or withdrawal of the effectiveness of the Registration Statement or Prospectus shall exist.</w:t>
      </w:r>
    </w:p>
    <w:p>
      <w:pPr>
        <w:spacing w:after="0" w:line="136" w:lineRule="exact"/>
        <w:rPr>
          <w:rFonts w:ascii="Arial" w:cs="Arial" w:eastAsia="Arial" w:hAnsi="Arial"/>
          <w:sz w:val="18"/>
          <w:szCs w:val="18"/>
          <w:color w:val="auto"/>
        </w:rPr>
      </w:pPr>
    </w:p>
    <w:p>
      <w:pPr>
        <w:ind w:left="540" w:hanging="248"/>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the Investor’s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Investor’s obligation to purchase the Shares shall be subject to:</w:t>
      </w:r>
    </w:p>
    <w:p>
      <w:pPr>
        <w:spacing w:after="0" w:line="96" w:lineRule="exact"/>
        <w:rPr>
          <w:rFonts w:ascii="Arial" w:cs="Arial" w:eastAsia="Arial" w:hAnsi="Arial"/>
          <w:sz w:val="18"/>
          <w:szCs w:val="18"/>
          <w:color w:val="auto"/>
        </w:rPr>
      </w:pPr>
    </w:p>
    <w:p>
      <w:pPr>
        <w:ind w:left="960" w:hanging="212"/>
        <w:spacing w:after="0"/>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Investor’s receipt of the Company’s executed signature page to this Agreement;</w:t>
      </w:r>
    </w:p>
    <w:p>
      <w:pPr>
        <w:spacing w:after="0" w:line="171" w:lineRule="exact"/>
        <w:rPr>
          <w:rFonts w:ascii="Arial" w:cs="Arial" w:eastAsia="Arial" w:hAnsi="Arial"/>
          <w:sz w:val="18"/>
          <w:szCs w:val="18"/>
          <w:color w:val="auto"/>
        </w:rPr>
      </w:pPr>
    </w:p>
    <w:p>
      <w:pPr>
        <w:ind w:left="-1200" w:right="700" w:firstLine="1948"/>
        <w:spacing w:after="0" w:line="268" w:lineRule="auto"/>
        <w:tabs>
          <w:tab w:leader="none" w:pos="998"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made by the Company and the fulfillment of those undertakings of the Company to be fulfilled prior to the Closing Date;</w:t>
      </w:r>
    </w:p>
    <w:p>
      <w:pPr>
        <w:spacing w:after="0" w:line="131" w:lineRule="exact"/>
        <w:rPr>
          <w:rFonts w:ascii="Arial" w:cs="Arial" w:eastAsia="Arial" w:hAnsi="Arial"/>
          <w:sz w:val="18"/>
          <w:szCs w:val="18"/>
          <w:color w:val="auto"/>
        </w:rPr>
      </w:pPr>
    </w:p>
    <w:p>
      <w:pPr>
        <w:ind w:left="-1200" w:right="40" w:firstLine="1948"/>
        <w:spacing w:after="0" w:line="268" w:lineRule="auto"/>
        <w:tabs>
          <w:tab w:leader="none" w:pos="1047"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Company shall have obtained all governmental, regulatory or third party consents and approvals, if any, necessary for the sale of the Shares, including without limitation, those required by Nasdaq;</w:t>
      </w:r>
    </w:p>
    <w:p>
      <w:pPr>
        <w:spacing w:after="0" w:line="131" w:lineRule="exact"/>
        <w:rPr>
          <w:rFonts w:ascii="Arial" w:cs="Arial" w:eastAsia="Arial" w:hAnsi="Arial"/>
          <w:sz w:val="18"/>
          <w:szCs w:val="18"/>
          <w:color w:val="auto"/>
        </w:rPr>
      </w:pPr>
    </w:p>
    <w:p>
      <w:pPr>
        <w:jc w:val="both"/>
        <w:ind w:left="-1200" w:firstLine="1948"/>
        <w:spacing w:after="0" w:line="370" w:lineRule="auto"/>
        <w:tabs>
          <w:tab w:leader="none" w:pos="1037" w:val="left"/>
        </w:tabs>
        <w:numPr>
          <w:ilvl w:val="1"/>
          <w:numId w:val="14"/>
        </w:numPr>
        <w:rPr>
          <w:rFonts w:ascii="Arial" w:cs="Arial" w:eastAsia="Arial" w:hAnsi="Arial"/>
          <w:sz w:val="15"/>
          <w:szCs w:val="15"/>
          <w:color w:val="auto"/>
        </w:rPr>
      </w:pPr>
      <w:r>
        <w:rPr>
          <w:rFonts w:ascii="Arial" w:cs="Arial" w:eastAsia="Arial" w:hAnsi="Arial"/>
          <w:sz w:val="15"/>
          <w:szCs w:val="15"/>
          <w:color w:val="auto"/>
        </w:rPr>
        <w:t>no statute, rule, regulation, executive order, decree, ruling or injunction shall have been enacted, entered, promulgated or endorsed by any court or governmental authority of competent jurisdiction that prohibits the consummation of any of the transactions contemplated by this Agreement; and</w:t>
      </w:r>
    </w:p>
    <w:p>
      <w:pPr>
        <w:spacing w:after="0" w:line="62" w:lineRule="exact"/>
        <w:rPr>
          <w:rFonts w:ascii="Arial" w:cs="Arial" w:eastAsia="Arial" w:hAnsi="Arial"/>
          <w:sz w:val="15"/>
          <w:szCs w:val="15"/>
          <w:color w:val="auto"/>
        </w:rPr>
      </w:pPr>
    </w:p>
    <w:p>
      <w:pPr>
        <w:ind w:left="-1200" w:right="40" w:firstLine="1948"/>
        <w:spacing w:after="0" w:line="255" w:lineRule="auto"/>
        <w:tabs>
          <w:tab w:leader="none" w:pos="989"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The Registration Statement shall remain effective at all times up to and including the Closing Date and the issuance of the Shares to the Investor may be made thereunder; (B) neither the Company nor the Investor shall have received notice that the Commission has issued or intends to issue a stop order with respect to the Registration Statement or that the Commission otherwise has suspended or withdrawn the effectiveness of the Registration Statement either, temporarily or permanently, or intends or has threatened to do so; and (C) no other suspension of the use or withdrawal of the effectiveness of the Registration Statement or Prospectus shall exist.</w:t>
      </w:r>
    </w:p>
    <w:p>
      <w:pPr>
        <w:spacing w:after="0" w:line="129" w:lineRule="exact"/>
        <w:rPr>
          <w:rFonts w:ascii="Arial" w:cs="Arial" w:eastAsia="Arial" w:hAnsi="Arial"/>
          <w:sz w:val="18"/>
          <w:szCs w:val="18"/>
          <w:color w:val="auto"/>
        </w:rPr>
      </w:pPr>
    </w:p>
    <w:p>
      <w:pPr>
        <w:ind w:left="4480" w:hanging="112"/>
        <w:spacing w:after="0"/>
        <w:tabs>
          <w:tab w:leader="none" w:pos="44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200"/>
          </w:cols>
          <w:pgMar w:left="1440" w:top="280" w:right="259" w:bottom="1440" w:gutter="0" w:footer="0" w:header="0"/>
        </w:sectPr>
      </w:pPr>
    </w:p>
    <w:bookmarkStart w:id="12" w:name="page13"/>
    <w:bookmarkEnd w:id="12"/>
    <w:p>
      <w:pPr>
        <w:ind w:right="320" w:firstLine="1484"/>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Investor’s obligations are expressly not conditioned on the purchase by any or all of the Other Investors of the Shares that they have agreed to purchase from the Company.</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Delivery of Funds</w:t>
      </w:r>
      <w:r>
        <w:rPr>
          <w:rFonts w:ascii="Arial" w:cs="Arial" w:eastAsia="Arial" w:hAnsi="Arial"/>
          <w:sz w:val="18"/>
          <w:szCs w:val="18"/>
          <w:b w:val="1"/>
          <w:bCs w:val="1"/>
          <w:color w:val="auto"/>
        </w:rPr>
        <w:t>.</w:t>
      </w:r>
    </w:p>
    <w:p>
      <w:pPr>
        <w:spacing w:after="0" w:line="96" w:lineRule="exact"/>
        <w:rPr>
          <w:sz w:val="20"/>
          <w:szCs w:val="20"/>
          <w:color w:val="auto"/>
        </w:rPr>
      </w:pPr>
    </w:p>
    <w:p>
      <w:pPr>
        <w:jc w:val="both"/>
        <w:ind w:right="160" w:firstLine="1492"/>
        <w:spacing w:after="0" w:line="256" w:lineRule="auto"/>
        <w:tabs>
          <w:tab w:leader="none" w:pos="172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DWAC Delivery</w:t>
      </w:r>
      <w:r>
        <w:rPr>
          <w:rFonts w:ascii="Arial" w:cs="Arial" w:eastAsia="Arial" w:hAnsi="Arial"/>
          <w:sz w:val="18"/>
          <w:szCs w:val="18"/>
          <w:color w:val="auto"/>
        </w:rPr>
        <w:t>. If the Investor elects to settle the Shares purchased by such Investor through DTC’s Deposit/Withdrawal at Custodian (“</w:t>
      </w:r>
      <w:r>
        <w:rPr>
          <w:rFonts w:ascii="Arial" w:cs="Arial" w:eastAsia="Arial" w:hAnsi="Arial"/>
          <w:sz w:val="18"/>
          <w:szCs w:val="18"/>
          <w:b w:val="1"/>
          <w:bCs w:val="1"/>
          <w:color w:val="auto"/>
        </w:rPr>
        <w:t>DWAC</w:t>
      </w:r>
      <w:r>
        <w:rPr>
          <w:rFonts w:ascii="Arial" w:cs="Arial" w:eastAsia="Arial" w:hAnsi="Arial"/>
          <w:sz w:val="18"/>
          <w:szCs w:val="18"/>
          <w:color w:val="auto"/>
        </w:rPr>
        <w:t xml:space="preserve">”) delivery system, </w:t>
      </w:r>
      <w:r>
        <w:rPr>
          <w:rFonts w:ascii="Arial" w:cs="Arial" w:eastAsia="Arial" w:hAnsi="Arial"/>
          <w:sz w:val="18"/>
          <w:szCs w:val="18"/>
          <w:b w:val="1"/>
          <w:bCs w:val="1"/>
          <w:u w:val="single" w:color="auto"/>
          <w:color w:val="auto"/>
        </w:rPr>
        <w:t>no later than one (1) business day after the execution of this Agreement by the Investor and the Company</w:t>
      </w:r>
      <w:r>
        <w:rPr>
          <w:rFonts w:ascii="Arial" w:cs="Arial" w:eastAsia="Arial" w:hAnsi="Arial"/>
          <w:sz w:val="18"/>
          <w:szCs w:val="18"/>
          <w:color w:val="auto"/>
        </w:rPr>
        <w:t>, the Investor shall remit by wire transfer the amount of funds equal to the aggregate purchase price for the Shares being purchased by the Investor to the following account designated by the Company:</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Bank of America</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ABA #</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Account Name: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Account Number: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Phone: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Such funds shall be deemed to be held in escrow until the Closing, at which time such funds will be deemed released to the Company.</w:t>
      </w:r>
    </w:p>
    <w:p>
      <w:pPr>
        <w:spacing w:after="0" w:line="171" w:lineRule="exact"/>
        <w:rPr>
          <w:sz w:val="20"/>
          <w:szCs w:val="20"/>
          <w:color w:val="auto"/>
        </w:rPr>
      </w:pPr>
    </w:p>
    <w:p>
      <w:pPr>
        <w:jc w:val="both"/>
        <w:ind w:firstLine="1492"/>
        <w:spacing w:after="0" w:line="256" w:lineRule="auto"/>
        <w:tabs>
          <w:tab w:leader="none" w:pos="173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Delivery Versus Payment through The Depository Trust Company</w:t>
      </w:r>
      <w:r>
        <w:rPr>
          <w:rFonts w:ascii="Arial" w:cs="Arial" w:eastAsia="Arial" w:hAnsi="Arial"/>
          <w:sz w:val="18"/>
          <w:szCs w:val="18"/>
          <w:color w:val="auto"/>
        </w:rPr>
        <w:t xml:space="preserve">. If the Investor elects to settle the Shares purchased by such Investor by delivery versus payment through DTC, </w:t>
      </w:r>
      <w:r>
        <w:rPr>
          <w:rFonts w:ascii="Arial" w:cs="Arial" w:eastAsia="Arial" w:hAnsi="Arial"/>
          <w:sz w:val="18"/>
          <w:szCs w:val="18"/>
          <w:b w:val="1"/>
          <w:bCs w:val="1"/>
          <w:u w:val="single" w:color="auto"/>
          <w:color w:val="auto"/>
        </w:rPr>
        <w:t>no later than one (1) business day after the execution of this Agreement by the Investor and the Company</w:t>
      </w:r>
      <w:r>
        <w:rPr>
          <w:rFonts w:ascii="Arial" w:cs="Arial" w:eastAsia="Arial" w:hAnsi="Arial"/>
          <w:sz w:val="18"/>
          <w:szCs w:val="18"/>
          <w:color w:val="auto"/>
        </w:rPr>
        <w:t>, the Investor shall confirm that the account or accounts at the Institution to be credited with the Shares being purchased by the Investor have a minimum balance equal to the aggregate purchase price for the Shares being purchased by the Investor.</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b w:val="1"/>
          <w:bCs w:val="1"/>
          <w:u w:val="single" w:color="auto"/>
          <w:color w:val="auto"/>
        </w:rPr>
        <w:t>Delivery of Shares</w:t>
      </w:r>
      <w:r>
        <w:rPr>
          <w:rFonts w:ascii="Arial" w:cs="Arial" w:eastAsia="Arial" w:hAnsi="Arial"/>
          <w:sz w:val="18"/>
          <w:szCs w:val="18"/>
          <w:b w:val="1"/>
          <w:bCs w:val="1"/>
          <w:color w:val="auto"/>
        </w:rPr>
        <w:t>.</w:t>
      </w:r>
    </w:p>
    <w:p>
      <w:pPr>
        <w:spacing w:after="0" w:line="90" w:lineRule="exact"/>
        <w:rPr>
          <w:sz w:val="20"/>
          <w:szCs w:val="20"/>
          <w:color w:val="auto"/>
        </w:rPr>
      </w:pPr>
    </w:p>
    <w:p>
      <w:pPr>
        <w:ind w:right="20" w:firstLine="1492"/>
        <w:spacing w:after="0" w:line="254" w:lineRule="auto"/>
        <w:tabs>
          <w:tab w:leader="none" w:pos="172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DWAC Delivery</w:t>
      </w:r>
      <w:r>
        <w:rPr>
          <w:rFonts w:ascii="Arial" w:cs="Arial" w:eastAsia="Arial" w:hAnsi="Arial"/>
          <w:sz w:val="18"/>
          <w:szCs w:val="18"/>
          <w:color w:val="auto"/>
        </w:rPr>
        <w:t xml:space="preserve">. If the Investor elects to settle the Shares purchased by such Investor through DTC’s DWAC delivery system, </w:t>
      </w:r>
      <w:r>
        <w:rPr>
          <w:rFonts w:ascii="Arial" w:cs="Arial" w:eastAsia="Arial" w:hAnsi="Arial"/>
          <w:sz w:val="18"/>
          <w:szCs w:val="18"/>
          <w:b w:val="1"/>
          <w:bCs w:val="1"/>
          <w:u w:val="single" w:color="auto"/>
          <w:color w:val="auto"/>
        </w:rPr>
        <w:t>no later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than one (1) business day after the execution of this Agreement by the Investor and the Company</w:t>
      </w:r>
      <w:r>
        <w:rPr>
          <w:rFonts w:ascii="Arial" w:cs="Arial" w:eastAsia="Arial" w:hAnsi="Arial"/>
          <w:sz w:val="18"/>
          <w:szCs w:val="18"/>
          <w:color w:val="auto"/>
        </w:rPr>
        <w:t>, the Investor shall direct the broker-dealer at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account or accounts to be credited with the Shares being purchased by such Investor are maintained, which broker/dealer shall be a DTC participant, to set up a DWAC instructing American Stock Transfer &amp; Trust Company, the Company’s Transfer Agent, to credit such account or accounts with the Shares. Such DWAC instruction shall indicate the settlement date for the deposit of the Shares. Simultaneously with the release to the Company of the funds held in escrow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above, the Company shall direct the Transfer Agent to credit the Investor’s account or accounts with the Shares pursuant to the information contained in the DWAC.</w:t>
      </w:r>
    </w:p>
    <w:p>
      <w:pPr>
        <w:spacing w:after="0" w:line="147" w:lineRule="exact"/>
        <w:rPr>
          <w:rFonts w:ascii="Arial" w:cs="Arial" w:eastAsia="Arial" w:hAnsi="Arial"/>
          <w:sz w:val="18"/>
          <w:szCs w:val="18"/>
          <w:color w:val="auto"/>
        </w:rPr>
      </w:pPr>
    </w:p>
    <w:p>
      <w:pPr>
        <w:ind w:right="160" w:firstLine="1492"/>
        <w:spacing w:after="0" w:line="294" w:lineRule="auto"/>
        <w:tabs>
          <w:tab w:leader="none" w:pos="1732"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Delivery Versus Payment through The Depository Trust Company</w:t>
      </w:r>
      <w:r>
        <w:rPr>
          <w:rFonts w:ascii="Arial" w:cs="Arial" w:eastAsia="Arial" w:hAnsi="Arial"/>
          <w:sz w:val="16"/>
          <w:szCs w:val="16"/>
          <w:color w:val="auto"/>
        </w:rPr>
        <w:t xml:space="preserve">. If the Investor elects to settle the Shares purchased by such Investor by delivery versus payment through DTC, </w:t>
      </w:r>
      <w:r>
        <w:rPr>
          <w:rFonts w:ascii="Arial" w:cs="Arial" w:eastAsia="Arial" w:hAnsi="Arial"/>
          <w:sz w:val="16"/>
          <w:szCs w:val="16"/>
          <w:b w:val="1"/>
          <w:bCs w:val="1"/>
          <w:u w:val="single" w:color="auto"/>
          <w:color w:val="auto"/>
        </w:rPr>
        <w:t>no later than one (1) business day after the execution of this Agreement by the Investor and the Company</w:t>
      </w:r>
      <w:r>
        <w:rPr>
          <w:rFonts w:ascii="Arial" w:cs="Arial" w:eastAsia="Arial" w:hAnsi="Arial"/>
          <w:sz w:val="16"/>
          <w:szCs w:val="16"/>
          <w:color w:val="auto"/>
        </w:rPr>
        <w:t>, the Investor shall notify the Institution of the account or accounts at the Institution to be credited with the Shares being purchased by such Investor. On the Closing Date, the Company shall deliver the Shares to the Investor through DTC directly to the account(s) at the Institution identified by Investor and simultaneously therewith payment shall be made by the Institution by wire transfer to the Company.</w:t>
      </w:r>
    </w:p>
    <w:p>
      <w:pPr>
        <w:spacing w:after="0" w:line="102" w:lineRule="exact"/>
        <w:rPr>
          <w:rFonts w:ascii="Arial" w:cs="Arial" w:eastAsia="Arial" w:hAnsi="Arial"/>
          <w:sz w:val="16"/>
          <w:szCs w:val="16"/>
          <w:color w:val="auto"/>
        </w:rPr>
      </w:pPr>
    </w:p>
    <w:p>
      <w:pPr>
        <w:ind w:left="5680" w:hanging="112"/>
        <w:spacing w:after="0"/>
        <w:tabs>
          <w:tab w:leader="none" w:pos="56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400"/>
          </w:cols>
          <w:pgMar w:left="240" w:top="280" w:right="259" w:bottom="1440" w:gutter="0" w:footer="0" w:header="0"/>
        </w:sectPr>
      </w:pPr>
    </w:p>
    <w:bookmarkStart w:id="13" w:name="page14"/>
    <w:bookmarkEnd w:id="1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 Representations, Warranties and Covenants of the Investor.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Investor acknowledges, represents and warrants to, and agrees with, the Company that:</w:t>
      </w:r>
    </w:p>
    <w:p>
      <w:pPr>
        <w:spacing w:after="0" w:line="165"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The Investor (a) is knowledgeable, sophisticated and experienced in making, and is qualified to make decisions with respect to, investments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shares presenting an investment decision like that involved in the purchase of the Shares, including investments in securities issued by the Company and investments in comparable companies, (b) has answered all questions on the Signature Page and the Investor Questionnaire and the answers thereto are true and correct as of the date hereof and will be true and correct as of the Closing Date and (c) in connection with its decision to purchase the number of Shares set forth on the Signature Page, has received and is relying only upon the Disclosure Package and the documents incorporated by reference therein and the Offering Information.</w:t>
      </w:r>
    </w:p>
    <w:p>
      <w:pPr>
        <w:spacing w:after="0" w:line="139"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color w:val="auto"/>
        </w:rPr>
        <w:t>(a) No action has been or will be taken in any jurisdiction outside the United States by the Company that would permit an offering of the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or possession or distribution of offering materials in connection with the issue of the Shares in any jurisdiction outside the United States where action for that purpose is required, (b) if the Investor is outside the United States, it will comply with all applicable laws and regulations in each foreign jurisdiction in which it purchases, offers, sells or delivers Shares or has in its possession or distributes any offering material, in all cases at its own expense and (c) the Company has not made any representation, disclosure or use of any information in connection with the issue, placement, purchase and sale of the Shares, except as set forth or incorporated by reference in the Base Prospectus or the Prospectus Supplement.</w:t>
      </w:r>
    </w:p>
    <w:p>
      <w:pPr>
        <w:spacing w:after="0" w:line="111" w:lineRule="exact"/>
        <w:rPr>
          <w:sz w:val="20"/>
          <w:szCs w:val="20"/>
          <w:color w:val="auto"/>
        </w:rPr>
      </w:pPr>
    </w:p>
    <w:p>
      <w:pPr>
        <w:ind w:firstLine="913"/>
        <w:spacing w:after="0" w:line="296"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color w:val="auto"/>
        </w:rPr>
        <w:t>(a) The Investor has full right, power, authority and capacity to enter into this Agreement and to consummate the transactions contemplated</w:t>
      </w:r>
      <w:r>
        <w:rPr>
          <w:rFonts w:ascii="Arial" w:cs="Arial" w:eastAsia="Arial" w:hAnsi="Arial"/>
          <w:sz w:val="16"/>
          <w:szCs w:val="16"/>
          <w:b w:val="1"/>
          <w:bCs w:val="1"/>
          <w:color w:val="auto"/>
        </w:rPr>
        <w:t xml:space="preserve"> </w:t>
      </w:r>
      <w:r>
        <w:rPr>
          <w:rFonts w:ascii="Arial" w:cs="Arial" w:eastAsia="Arial" w:hAnsi="Arial"/>
          <w:sz w:val="16"/>
          <w:szCs w:val="16"/>
          <w:color w:val="auto"/>
        </w:rPr>
        <w:t>hereby and has taken all necessary action to authorize the execution, delivery and performance of this Agreement, and (b) this Agreement constitutes a valid and binding obligation of the Investor enforceable against the Investor in accordance with its terms, except as enforceability may be limited by applicable bankruptcy, insolvency, reorganization, moratorium or similar laws affecting creditors’ and contracting parties’ rights generally and except as enforceability may be subject to general principles of equity (regardless of whether such enforceability is considered in a proceeding in equity or at law).</w:t>
      </w:r>
    </w:p>
    <w:p>
      <w:pPr>
        <w:spacing w:after="0" w:line="108" w:lineRule="exact"/>
        <w:rPr>
          <w:sz w:val="20"/>
          <w:szCs w:val="20"/>
          <w:color w:val="auto"/>
        </w:rPr>
      </w:pPr>
    </w:p>
    <w:p>
      <w:pPr>
        <w:ind w:right="160" w:firstLine="913"/>
        <w:spacing w:after="0" w:line="310" w:lineRule="auto"/>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color w:val="auto"/>
        </w:rPr>
        <w:t>The Investor understands that nothing in this Agreement, the Prospectus or any other materials presented to the Investor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and sale of the Shares constitutes legal, tax or investment advice. The Investor has consulted such legal, tax and investment advisors and made such investigation as it, in its sole discretion, has deemed necessary or appropriate in connection with its purchase of Shares.</w:t>
      </w:r>
    </w:p>
    <w:p>
      <w:pPr>
        <w:spacing w:after="0" w:line="9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color w:val="auto"/>
        </w:rPr>
        <w:t>Since the time at which the Company first contacted the Investor about the Offering, the Investor has not disclosed any information regarding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Offering to any third parties (other than its legal, accounting and other advisors) and has not engaged in any transactions involving the securities of the Company (including, without limitation, any Short Sales involving the Company’s securities). The Investor covenants that it will not engage in any purchases or sales of the securities of the Company (including Short Sales) prior to the time that the transactions contemplated by this Agreement are publicly disclosed. The Investor agrees that it will not use any of the Shares acquired pursuant to this Agreement to cover any short position in the Common Stock if doing so would be in violation of applicable securities laws. For purposes hereof, “</w:t>
      </w:r>
      <w:r>
        <w:rPr>
          <w:rFonts w:ascii="Arial" w:cs="Arial" w:eastAsia="Arial" w:hAnsi="Arial"/>
          <w:sz w:val="16"/>
          <w:szCs w:val="16"/>
          <w:b w:val="1"/>
          <w:bCs w:val="1"/>
          <w:color w:val="auto"/>
        </w:rPr>
        <w:t>Short Sales</w:t>
      </w:r>
      <w:r>
        <w:rPr>
          <w:rFonts w:ascii="Arial" w:cs="Arial" w:eastAsia="Arial" w:hAnsi="Arial"/>
          <w:sz w:val="16"/>
          <w:szCs w:val="16"/>
          <w:color w:val="auto"/>
        </w:rPr>
        <w:t>” include, without limitation, all “short sales” as defined in Rule 200 promulgated under Regulation SHO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whether or not against the box, and all types of direct and indirect stock pledges, forward sales contracts, options, puts, calls, short sales, swaps, “put equivalent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80"/>
          </w:cols>
          <w:pgMar w:left="240" w:top="274" w:right="279" w:bottom="1440" w:gutter="0" w:footer="0" w:header="0"/>
        </w:sectPr>
      </w:pPr>
    </w:p>
    <w:bookmarkStart w:id="14" w:name="page15"/>
    <w:bookmarkEnd w:id="14"/>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positions” (as defined in Rule 16a-1(h) under the Exchange Act) and similar arrangements (including on a total return basis), and sales and other transactions through non-US broker dealers or foreign regulated brokers.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Representations, Warranties and Covenants of the Company.</w:t>
      </w:r>
    </w:p>
    <w:p>
      <w:pPr>
        <w:spacing w:after="0" w:line="9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b w:val="1"/>
          <w:bCs w:val="1"/>
          <w:u w:val="single" w:color="auto"/>
          <w:color w:val="auto"/>
        </w:rPr>
        <w:t>Organization and Qualification</w:t>
      </w:r>
      <w:r>
        <w:rPr>
          <w:rFonts w:ascii="Arial" w:cs="Arial" w:eastAsia="Arial" w:hAnsi="Arial"/>
          <w:sz w:val="16"/>
          <w:szCs w:val="16"/>
          <w:color w:val="auto"/>
        </w:rPr>
        <w:t>. The Company is duly organized and validly existing and in good standing under the laws of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and has the requisite power and authorization to own its properties and to carry on its business as now being conducted and as presently proposed to be conducted. The Company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have a Material Adverse Effect. As used in this Agreement, “Material Adverse Effect” means any material adverse effect on (i) the business, properties, assets, liabilities, operations (including results thereof) or condition (financial or otherwise) of the Company and its subsidiaries, taken as a whole, (ii) the legality, validity or enforceability of the transactions contemplated hereby or (iii) the authority or ability of the Company to perform its obligations hereunder.</w:t>
      </w:r>
    </w:p>
    <w:p>
      <w:pPr>
        <w:spacing w:after="0" w:line="113"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u w:val="single" w:color="auto"/>
          <w:color w:val="auto"/>
        </w:rPr>
        <w:t>Authorization; Enforcement; Validity</w:t>
      </w:r>
      <w:r>
        <w:rPr>
          <w:rFonts w:ascii="Arial" w:cs="Arial" w:eastAsia="Arial" w:hAnsi="Arial"/>
          <w:sz w:val="16"/>
          <w:szCs w:val="16"/>
          <w:color w:val="auto"/>
        </w:rPr>
        <w:t>. The Company has the requisite corporate power and authority to enter into and perform its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Agreement and to issue the Shares in accordance with the terms hereof. The execution and delivery of this Agreement by the Company, and the consummation by the Company of the transactions contemplated hereby have been duly authorized by the Company’s board of directors and, other than the filing with the Commission of a the Prospectus Supplement relating to the transactions contemplated hereby, no further filing, consent or authorization is required by the Company, its board of directors or its stockholders or other governing body or regulatory authority. This Agreement has been duly executed and delivered by the Company and constitutes a valid and binding obligation of the Company enforceable against the Company in accordance with its terms, except as enforceability may be limited by applicable bankruptcy, insolvency, reorganization, moratorium or similar laws affecting creditors’ and contracting parties’ rights generally and except as enforceability may be subject to general principles of equity (regardless of whether such enforceability is considered in a proceeding in equity or at law).</w:t>
      </w:r>
    </w:p>
    <w:p>
      <w:pPr>
        <w:spacing w:after="0" w:line="113"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b w:val="1"/>
          <w:bCs w:val="1"/>
          <w:u w:val="single" w:color="auto"/>
          <w:color w:val="auto"/>
        </w:rPr>
        <w:t>Issuance of Shares</w:t>
      </w:r>
      <w:r>
        <w:rPr>
          <w:rFonts w:ascii="Arial" w:cs="Arial" w:eastAsia="Arial" w:hAnsi="Arial"/>
          <w:sz w:val="16"/>
          <w:szCs w:val="16"/>
          <w:color w:val="auto"/>
        </w:rPr>
        <w:t>. The issuance of the Shares is duly authorized and, when issued and paid for in accordance with the terms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shall be validly issued, fully paid and non-assessable and free from all taxes, liens, charges and other encumbrances imposed by the Company. The Company has available for issuance and sale from its duly authorized capital stock the Shares issuable pursuant to this Agreement. The Shares are being issued pursuant to the Registration Statement and the issuance of the Shares has been registered by the Company under the Securities Act. The Registration Statement is effective and available for the issuance of the Shares thereunder and the Company has not received any notice that the Commission has issued or intends to issue a stop-order or other order with respect to the Registration Statement or the Prospectus or that the Commission otherwise has (i) suspended or withdrawn the effectiveness of the Registration Statement or (ii) issued any order preventing or suspending the use of the Prospectus, in either case, either temporarily or permanently, or intends or has threatened in writing to do so. The “Plan of Distribution” section under the Registration Statement permits the issuance of the Shares hereunder.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00"/>
          </w:cols>
          <w:pgMar w:left="240" w:top="280" w:right="259" w:bottom="1440" w:gutter="0" w:footer="0" w:header="0"/>
        </w:sectPr>
      </w:pPr>
    </w:p>
    <w:bookmarkStart w:id="15" w:name="page16"/>
    <w:bookmarkEnd w:id="15"/>
    <w:p>
      <w:pPr>
        <w:jc w:val="both"/>
        <w:ind w:right="16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conformed and will conform in all material respects to the requirements of the Securities Act and did not and will not contain any untrue statement of a material fact or omit to state a material fact necessary in order to make the statements therein, in light of the circumstances under which they were made, not misleading.</w:t>
      </w:r>
    </w:p>
    <w:p>
      <w:pPr>
        <w:spacing w:after="0" w:line="56"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b w:val="1"/>
          <w:bCs w:val="1"/>
          <w:color w:val="auto"/>
        </w:rPr>
        <w:t xml:space="preserve">5.4 </w:t>
      </w:r>
      <w:r>
        <w:rPr>
          <w:rFonts w:ascii="Arial" w:cs="Arial" w:eastAsia="Arial" w:hAnsi="Arial"/>
          <w:sz w:val="16"/>
          <w:szCs w:val="16"/>
          <w:b w:val="1"/>
          <w:bCs w:val="1"/>
          <w:u w:val="single" w:color="auto"/>
          <w:color w:val="auto"/>
        </w:rPr>
        <w:t>No Conflicts</w:t>
      </w:r>
      <w:r>
        <w:rPr>
          <w:rFonts w:ascii="Arial" w:cs="Arial" w:eastAsia="Arial" w:hAnsi="Arial"/>
          <w:sz w:val="16"/>
          <w:szCs w:val="16"/>
          <w:color w:val="auto"/>
        </w:rPr>
        <w:t>. The execution, delivery and performance of this Agreement by the Company and the consummation by the Company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transactions contemplated hereby will not (i) result in a violation of the Company’s Restated Certificate of Incorporation, as amended and as in effect on the date hereof (the “Certificate of Incorporation”), or the Company’s bylaws, as amended and as in effect on the date hereof (the “Bylaws”), (ii) conflict with, or constitute a default (or an event which with notice or lapse of time or both would become a default) under, or give to others any rights of termination, amendment, acceleration or cancellation of, any agreement, indenture or instrument to which the Company or any of its subsidiaries is a party, or (iii) subject to the making of the Required Filings (as defined below) by the Company, result in a violation of any law, rule, regulation, order, judgment or decree (including foreign, federal and state securities laws and regulations and the rules and regulations of Nasdaq) applicable to the Company or any of its subsidiaries or by which any property or asset of the Company or any of its subsidiaries is bound or affected except, in the case of clause (ii) or (iii) above, to the extent such violations that could not reasonably be expected to have a Material Adverse Effect.</w:t>
      </w:r>
    </w:p>
    <w:p>
      <w:pPr>
        <w:spacing w:after="0" w:line="113"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b w:val="1"/>
          <w:bCs w:val="1"/>
          <w:u w:val="single" w:color="auto"/>
          <w:color w:val="auto"/>
        </w:rPr>
        <w:t>Consents</w:t>
      </w:r>
      <w:r>
        <w:rPr>
          <w:rFonts w:ascii="Arial" w:cs="Arial" w:eastAsia="Arial" w:hAnsi="Arial"/>
          <w:sz w:val="18"/>
          <w:szCs w:val="18"/>
          <w:color w:val="auto"/>
        </w:rPr>
        <w:t>. The Company is not required to obtain any consent, authorization or order of, or make any filing or registration with, any court,</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agency or any regulatory or self-regulatory agency or any other Person in order for it to execute, deliver or perform any of its obligations under or contemplated by this Agreement, other than (i) a notification filing with Nasdaq, (ii) the filing with the Commission of the Prospectus Supplement and (iii) the filing with the Commission of a Current Report on Form 8-K (collectively, “Required Filings”). All consents, authorizations, orders, filings and registrations which the Company is required to obtain or make on or before the Closing Date pursuant to the preceding sentence have been obtained or made on or prior to the Closing Date. Required Filings to be made after the Closing Date shall be made in compliance with the terms of this Agreement and applicable federal and state securities laws.</w:t>
      </w:r>
    </w:p>
    <w:p>
      <w:pPr>
        <w:spacing w:after="0" w:line="141" w:lineRule="exact"/>
        <w:rPr>
          <w:sz w:val="20"/>
          <w:szCs w:val="20"/>
          <w:color w:val="auto"/>
        </w:rPr>
      </w:pPr>
    </w:p>
    <w:p>
      <w:pPr>
        <w:ind w:right="40" w:firstLine="913"/>
        <w:spacing w:after="0" w:line="307" w:lineRule="auto"/>
        <w:rPr>
          <w:sz w:val="20"/>
          <w:szCs w:val="20"/>
          <w:color w:val="auto"/>
        </w:rPr>
      </w:pPr>
      <w:r>
        <w:rPr>
          <w:rFonts w:ascii="Arial" w:cs="Arial" w:eastAsia="Arial" w:hAnsi="Arial"/>
          <w:sz w:val="15"/>
          <w:szCs w:val="15"/>
          <w:b w:val="1"/>
          <w:bCs w:val="1"/>
          <w:color w:val="auto"/>
        </w:rPr>
        <w:t xml:space="preserve">5.6 </w:t>
      </w:r>
      <w:r>
        <w:rPr>
          <w:rFonts w:ascii="Arial" w:cs="Arial" w:eastAsia="Arial" w:hAnsi="Arial"/>
          <w:sz w:val="15"/>
          <w:szCs w:val="15"/>
          <w:b w:val="1"/>
          <w:bCs w:val="1"/>
          <w:u w:val="single" w:color="auto"/>
          <w:color w:val="auto"/>
        </w:rPr>
        <w:t>SEC Documents</w:t>
      </w:r>
      <w:r>
        <w:rPr>
          <w:rFonts w:ascii="Arial" w:cs="Arial" w:eastAsia="Arial" w:hAnsi="Arial"/>
          <w:sz w:val="15"/>
          <w:szCs w:val="15"/>
          <w:color w:val="auto"/>
        </w:rPr>
        <w:t>. During the one (1) year prior to the date hereof, the Company has timely filed all reports, schedules, forms, statements and</w:t>
      </w:r>
      <w:r>
        <w:rPr>
          <w:rFonts w:ascii="Arial" w:cs="Arial" w:eastAsia="Arial" w:hAnsi="Arial"/>
          <w:sz w:val="15"/>
          <w:szCs w:val="15"/>
          <w:b w:val="1"/>
          <w:bCs w:val="1"/>
          <w:color w:val="auto"/>
        </w:rPr>
        <w:t xml:space="preserve"> </w:t>
      </w:r>
      <w:r>
        <w:rPr>
          <w:rFonts w:ascii="Arial" w:cs="Arial" w:eastAsia="Arial" w:hAnsi="Arial"/>
          <w:sz w:val="15"/>
          <w:szCs w:val="15"/>
          <w:color w:val="auto"/>
        </w:rPr>
        <w:t>other documents required to be filed by it with the Commission pursuant to the reporting requirements of the Exchange Act (all of the foregoing filed prior to the date hereof and all exhibits included therein and financial statements, notes and schedules thereto and documents incorporated by reference therein being referred to herein as the “</w:t>
      </w:r>
      <w:r>
        <w:rPr>
          <w:rFonts w:ascii="Arial" w:cs="Arial" w:eastAsia="Arial" w:hAnsi="Arial"/>
          <w:sz w:val="15"/>
          <w:szCs w:val="15"/>
          <w:b w:val="1"/>
          <w:bCs w:val="1"/>
          <w:color w:val="auto"/>
        </w:rPr>
        <w:t>SEC Documents</w:t>
      </w:r>
      <w:r>
        <w:rPr>
          <w:rFonts w:ascii="Arial" w:cs="Arial" w:eastAsia="Arial" w:hAnsi="Arial"/>
          <w:sz w:val="15"/>
          <w:szCs w:val="15"/>
          <w:color w:val="auto"/>
        </w:rPr>
        <w:t>”). As of their respective dates, the SEC Documents complied in all material respects with the requirements of the Exchange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as to form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00"/>
          </w:cols>
          <w:pgMar w:left="240" w:top="280" w:right="259" w:bottom="1440" w:gutter="0" w:footer="0" w:header="0"/>
        </w:sectPr>
      </w:pPr>
    </w:p>
    <w:bookmarkStart w:id="16" w:name="page17"/>
    <w:bookmarkEnd w:id="16"/>
    <w:p>
      <w:pPr>
        <w:ind w:firstLine="913"/>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5.7 </w:t>
      </w:r>
      <w:r>
        <w:rPr>
          <w:rFonts w:ascii="Arial" w:cs="Arial" w:eastAsia="Arial" w:hAnsi="Arial"/>
          <w:sz w:val="16"/>
          <w:szCs w:val="16"/>
          <w:b w:val="1"/>
          <w:bCs w:val="1"/>
          <w:u w:val="single" w:color="auto"/>
          <w:color w:val="auto"/>
        </w:rPr>
        <w:t>Absence of Certain Changes</w:t>
      </w:r>
      <w:r>
        <w:rPr>
          <w:rFonts w:ascii="Arial" w:cs="Arial" w:eastAsia="Arial" w:hAnsi="Arial"/>
          <w:sz w:val="16"/>
          <w:szCs w:val="16"/>
          <w:color w:val="auto"/>
        </w:rPr>
        <w:t>. Since the date of the Company’s most recent financial statements contained in its Form 10-Q for the quarter</w:t>
      </w:r>
      <w:r>
        <w:rPr>
          <w:rFonts w:ascii="Arial" w:cs="Arial" w:eastAsia="Arial" w:hAnsi="Arial"/>
          <w:sz w:val="16"/>
          <w:szCs w:val="16"/>
          <w:b w:val="1"/>
          <w:bCs w:val="1"/>
          <w:color w:val="auto"/>
        </w:rPr>
        <w:t xml:space="preserve"> </w:t>
      </w:r>
      <w:r>
        <w:rPr>
          <w:rFonts w:ascii="Arial" w:cs="Arial" w:eastAsia="Arial" w:hAnsi="Arial"/>
          <w:sz w:val="16"/>
          <w:szCs w:val="16"/>
          <w:color w:val="auto"/>
        </w:rPr>
        <w:t>ended August 1, 2009 (the “</w:t>
      </w:r>
      <w:r>
        <w:rPr>
          <w:rFonts w:ascii="Arial" w:cs="Arial" w:eastAsia="Arial" w:hAnsi="Arial"/>
          <w:sz w:val="16"/>
          <w:szCs w:val="16"/>
          <w:b w:val="1"/>
          <w:bCs w:val="1"/>
          <w:color w:val="auto"/>
        </w:rPr>
        <w:t>Form 10-Q</w:t>
      </w:r>
      <w:r>
        <w:rPr>
          <w:rFonts w:ascii="Arial" w:cs="Arial" w:eastAsia="Arial" w:hAnsi="Arial"/>
          <w:sz w:val="16"/>
          <w:szCs w:val="16"/>
          <w:color w:val="auto"/>
        </w:rPr>
        <w:t>”), except as disclosed in subsequent SEC Documents filed prior to the date hereof, there has been no event, occurrence or development that, individually or in the aggregate, has had or would reasonably be expected to result in a Material Adverse Effect. Since the date of the Company’s most recent financial statements contained in the Form 10-Q, except as disclosed in a subsequent SEC Documents filed prior to the date hereof, neither the Company nor any of its Subsidiaries has (i) declared or paid any dividends other than by Subsidiaries to the Company or (ii) sold any material assets, individually or in the aggregate, outside of the ordinary course of business.</w:t>
      </w:r>
    </w:p>
    <w:p>
      <w:pPr>
        <w:spacing w:after="0" w:line="111"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b w:val="1"/>
          <w:bCs w:val="1"/>
          <w:color w:val="auto"/>
        </w:rPr>
        <w:t xml:space="preserve">5.8 </w:t>
      </w:r>
      <w:r>
        <w:rPr>
          <w:rFonts w:ascii="Arial" w:cs="Arial" w:eastAsia="Arial" w:hAnsi="Arial"/>
          <w:sz w:val="16"/>
          <w:szCs w:val="16"/>
          <w:b w:val="1"/>
          <w:bCs w:val="1"/>
          <w:u w:val="single" w:color="auto"/>
          <w:color w:val="auto"/>
        </w:rPr>
        <w:t>Compliance</w:t>
      </w:r>
      <w:r>
        <w:rPr>
          <w:rFonts w:ascii="Arial" w:cs="Arial" w:eastAsia="Arial" w:hAnsi="Arial"/>
          <w:sz w:val="16"/>
          <w:szCs w:val="16"/>
          <w:color w:val="auto"/>
        </w:rPr>
        <w:t>. Neither the Company nor any of its subsidiaries (i) is in default under or in violation of (and no event has occurred that has not</w:t>
      </w:r>
      <w:r>
        <w:rPr>
          <w:rFonts w:ascii="Arial" w:cs="Arial" w:eastAsia="Arial" w:hAnsi="Arial"/>
          <w:sz w:val="16"/>
          <w:szCs w:val="16"/>
          <w:b w:val="1"/>
          <w:bCs w:val="1"/>
          <w:color w:val="auto"/>
        </w:rPr>
        <w:t xml:space="preserve"> </w:t>
      </w:r>
      <w:r>
        <w:rPr>
          <w:rFonts w:ascii="Arial" w:cs="Arial" w:eastAsia="Arial" w:hAnsi="Arial"/>
          <w:sz w:val="16"/>
          <w:szCs w:val="16"/>
          <w:color w:val="auto"/>
        </w:rPr>
        <w:t>been waived that, with notice or lapse of time or both, would result in a default by the Company or any of its subsidiaries under), nor has the Company or any of its subsidiaries received written notice of a claim that it is in default under or that it is in violation of, any material agreement of the Company (whether or not such default or violation has been waived), (ii) is in violation of any order of which the Company or any of its subsidiaries has been made aware in writing of any court, arbitrator or governmental body having jurisdiction over the Company or any of its subsidiaries or their respective properties or assets, or (iii) is in violation of, or in receipt of written notice that it is in violation of, any statute, rule or regulation of any governmental authority applicable to the Company or any of its subsidiaries, except in each case as would not have or reasonably be expected to have, individually or in the aggregate, a Material Adverse Effect.</w:t>
      </w:r>
    </w:p>
    <w:p>
      <w:pPr>
        <w:spacing w:after="0" w:line="113" w:lineRule="exact"/>
        <w:rPr>
          <w:sz w:val="20"/>
          <w:szCs w:val="20"/>
          <w:color w:val="auto"/>
        </w:rPr>
      </w:pPr>
    </w:p>
    <w:p>
      <w:pPr>
        <w:ind w:firstLine="464"/>
        <w:spacing w:after="0" w:line="310" w:lineRule="auto"/>
        <w:tabs>
          <w:tab w:leader="none" w:pos="632"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Survival of Representations, Warranties and Agreements; Third Party Beneficiary. </w:t>
      </w:r>
      <w:r>
        <w:rPr>
          <w:rFonts w:ascii="Arial" w:cs="Arial" w:eastAsia="Arial" w:hAnsi="Arial"/>
          <w:sz w:val="16"/>
          <w:szCs w:val="16"/>
          <w:color w:val="auto"/>
        </w:rPr>
        <w:t>Notwithstanding any investigation made by any party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all covenants, agreements, representations and warranties made by the Company and the Investor herein will survive the execution of this Agreement, the delivery to the Investor of the Shares being purchased and the payment therefor for a period of one (1) year from the date hereof.</w:t>
      </w:r>
    </w:p>
    <w:p>
      <w:pPr>
        <w:spacing w:after="0" w:line="97" w:lineRule="exact"/>
        <w:rPr>
          <w:rFonts w:ascii="Arial" w:cs="Arial" w:eastAsia="Arial" w:hAnsi="Arial"/>
          <w:sz w:val="16"/>
          <w:szCs w:val="16"/>
          <w:b w:val="1"/>
          <w:bCs w:val="1"/>
          <w:color w:val="auto"/>
        </w:rPr>
      </w:pPr>
    </w:p>
    <w:p>
      <w:pPr>
        <w:ind w:right="60" w:firstLine="464"/>
        <w:spacing w:after="0" w:line="255" w:lineRule="auto"/>
        <w:tabs>
          <w:tab w:leader="none" w:pos="63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requests, consents and other communications hereunder will be in writing, will be mailed (a) if within the domestic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by first-class registered or certified airmail, or nationally recognized overnight express courier, postage prepaid, or by facsimile or (b) if delivered from outside the United States, by International Federal Express or facsimile, and (c) will be deemed given (i) if delivered by first-class registered or certified mail domestic, three business days after so mailed, (ii) if delivered by nationally recognized overnight carrier, one business day after so mailed, (iii) if delivered by International Federal Express, two business days after so mailed and (iv) if delivered by facsimile, upon electric confirmation of receipt and will be delivered and addressed as follows:</w:t>
      </w:r>
    </w:p>
    <w:p>
      <w:pPr>
        <w:spacing w:after="0" w:line="145" w:lineRule="exact"/>
        <w:rPr>
          <w:sz w:val="20"/>
          <w:szCs w:val="20"/>
          <w:color w:val="auto"/>
        </w:rPr>
      </w:pPr>
    </w:p>
    <w:p>
      <w:pPr>
        <w:ind w:left="700" w:hanging="23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if to the Company, to</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Canton, Massachusetts 02021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Robert S. Molloy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(781) 821-5174</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with a copy (which shall not constitute notice) to</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Greenberg Traurig 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International Place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Boston, Massachusetts 02110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Bradley A. Jacobson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(617) 279-8402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00"/>
          </w:cols>
          <w:pgMar w:left="240" w:top="274" w:right="259" w:bottom="1440" w:gutter="0" w:footer="0" w:header="0"/>
        </w:sectPr>
      </w:pPr>
    </w:p>
    <w:bookmarkStart w:id="17" w:name="page18"/>
    <w:bookmarkEnd w:id="17"/>
    <w:p>
      <w:pPr>
        <w:ind w:left="-4" w:right="500" w:firstLine="4"/>
        <w:spacing w:after="0" w:line="268" w:lineRule="auto"/>
        <w:tabs>
          <w:tab w:leader="none" w:pos="244"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to the Investor, at its address on the Signature Page hereto, or at such other address or addresses as may have been furnished to the Company in writing.</w:t>
      </w:r>
    </w:p>
    <w:p>
      <w:pPr>
        <w:spacing w:after="0" w:line="126" w:lineRule="exact"/>
        <w:rPr>
          <w:sz w:val="20"/>
          <w:szCs w:val="20"/>
          <w:color w:val="auto"/>
        </w:rPr>
      </w:pPr>
    </w:p>
    <w:p>
      <w:pPr>
        <w:ind w:left="176" w:hanging="176"/>
        <w:spacing w:after="0"/>
        <w:tabs>
          <w:tab w:leader="none" w:pos="176"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Changes. </w:t>
      </w:r>
      <w:r>
        <w:rPr>
          <w:rFonts w:ascii="Arial" w:cs="Arial" w:eastAsia="Arial" w:hAnsi="Arial"/>
          <w:sz w:val="16"/>
          <w:szCs w:val="16"/>
          <w:color w:val="auto"/>
        </w:rPr>
        <w:t>This Agreement may not be modified or amended except pursuant to an instrument in writing signed by the Company and the Investor.</w:t>
      </w:r>
    </w:p>
    <w:p>
      <w:pPr>
        <w:spacing w:after="0" w:line="194" w:lineRule="exact"/>
        <w:rPr>
          <w:rFonts w:ascii="Arial" w:cs="Arial" w:eastAsia="Arial" w:hAnsi="Arial"/>
          <w:sz w:val="16"/>
          <w:szCs w:val="16"/>
          <w:b w:val="1"/>
          <w:bCs w:val="1"/>
          <w:color w:val="auto"/>
        </w:rPr>
      </w:pPr>
    </w:p>
    <w:p>
      <w:pPr>
        <w:ind w:left="-464" w:right="280" w:firstLine="464"/>
        <w:spacing w:after="0" w:line="275" w:lineRule="auto"/>
        <w:tabs>
          <w:tab w:leader="none" w:pos="168"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Headings. </w:t>
      </w:r>
      <w:r>
        <w:rPr>
          <w:rFonts w:ascii="Arial" w:cs="Arial" w:eastAsia="Arial" w:hAnsi="Arial"/>
          <w:sz w:val="18"/>
          <w:szCs w:val="18"/>
          <w:color w:val="auto"/>
        </w:rPr>
        <w:t>The headings of the various sections of this Agreement have been inserted for convenience of reference only and will not be deemed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this Agreement.</w:t>
      </w:r>
    </w:p>
    <w:p>
      <w:pPr>
        <w:spacing w:after="0" w:line="119" w:lineRule="exact"/>
        <w:rPr>
          <w:rFonts w:ascii="Arial" w:cs="Arial" w:eastAsia="Arial" w:hAnsi="Arial"/>
          <w:sz w:val="18"/>
          <w:szCs w:val="18"/>
          <w:b w:val="1"/>
          <w:bCs w:val="1"/>
          <w:color w:val="auto"/>
        </w:rPr>
      </w:pPr>
    </w:p>
    <w:p>
      <w:pPr>
        <w:ind w:left="-464" w:right="380" w:firstLine="464"/>
        <w:spacing w:after="0" w:line="275" w:lineRule="auto"/>
        <w:tabs>
          <w:tab w:leader="none" w:pos="25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In case any provision contained in this Agreement should be invalid, illegal or unenforceable in any respect, the validity, legality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the remaining provisions contained herein will not in any way be affected or impaired thereby.</w:t>
      </w:r>
    </w:p>
    <w:p>
      <w:pPr>
        <w:spacing w:after="0" w:line="119" w:lineRule="exact"/>
        <w:rPr>
          <w:rFonts w:ascii="Arial" w:cs="Arial" w:eastAsia="Arial" w:hAnsi="Arial"/>
          <w:sz w:val="18"/>
          <w:szCs w:val="18"/>
          <w:b w:val="1"/>
          <w:bCs w:val="1"/>
          <w:color w:val="auto"/>
        </w:rPr>
      </w:pPr>
    </w:p>
    <w:p>
      <w:pPr>
        <w:ind w:left="-464" w:right="320" w:firstLine="464"/>
        <w:spacing w:after="0" w:line="339" w:lineRule="auto"/>
        <w:tabs>
          <w:tab w:leader="none" w:pos="246"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Governing Law. </w:t>
      </w:r>
      <w:r>
        <w:rPr>
          <w:rFonts w:ascii="Arial" w:cs="Arial" w:eastAsia="Arial" w:hAnsi="Arial"/>
          <w:sz w:val="16"/>
          <w:szCs w:val="16"/>
          <w:color w:val="auto"/>
        </w:rPr>
        <w:t>This Agreement will be governed by, and construed in accordance with, the internal laws of the State of Delaware, without giving</w:t>
      </w:r>
      <w:r>
        <w:rPr>
          <w:rFonts w:ascii="Arial" w:cs="Arial" w:eastAsia="Arial" w:hAnsi="Arial"/>
          <w:sz w:val="16"/>
          <w:szCs w:val="16"/>
          <w:b w:val="1"/>
          <w:bCs w:val="1"/>
          <w:color w:val="auto"/>
        </w:rPr>
        <w:t xml:space="preserve"> </w:t>
      </w:r>
      <w:r>
        <w:rPr>
          <w:rFonts w:ascii="Arial" w:cs="Arial" w:eastAsia="Arial" w:hAnsi="Arial"/>
          <w:sz w:val="16"/>
          <w:szCs w:val="16"/>
          <w:color w:val="auto"/>
        </w:rPr>
        <w:t>effect to the principles of conflicts of law that would require the application of the laws of any other jurisdiction.</w:t>
      </w:r>
    </w:p>
    <w:p>
      <w:pPr>
        <w:spacing w:after="0" w:line="74" w:lineRule="exact"/>
        <w:rPr>
          <w:rFonts w:ascii="Arial" w:cs="Arial" w:eastAsia="Arial" w:hAnsi="Arial"/>
          <w:sz w:val="16"/>
          <w:szCs w:val="16"/>
          <w:b w:val="1"/>
          <w:bCs w:val="1"/>
          <w:color w:val="auto"/>
        </w:rPr>
      </w:pPr>
    </w:p>
    <w:p>
      <w:pPr>
        <w:ind w:left="-464" w:right="100" w:firstLine="464"/>
        <w:spacing w:after="0" w:line="262" w:lineRule="auto"/>
        <w:tabs>
          <w:tab w:leader="none" w:pos="25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two or more counterparts, each of which will constitute an original, but all of which, when taken</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will constitute but one instrument, and will become effective when one or more counterparts have been signed by each party hereto and delivered to the other parties.</w:t>
      </w:r>
    </w:p>
    <w:p>
      <w:pPr>
        <w:spacing w:after="0" w:line="132" w:lineRule="exact"/>
        <w:rPr>
          <w:rFonts w:ascii="Arial" w:cs="Arial" w:eastAsia="Arial" w:hAnsi="Arial"/>
          <w:sz w:val="18"/>
          <w:szCs w:val="18"/>
          <w:b w:val="1"/>
          <w:bCs w:val="1"/>
          <w:color w:val="auto"/>
        </w:rPr>
      </w:pPr>
    </w:p>
    <w:p>
      <w:pPr>
        <w:ind w:left="-464" w:right="400" w:firstLine="464"/>
        <w:spacing w:after="0" w:line="262" w:lineRule="auto"/>
        <w:tabs>
          <w:tab w:leader="none" w:pos="25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Confirmation of Sale. </w:t>
      </w:r>
      <w:r>
        <w:rPr>
          <w:rFonts w:ascii="Arial" w:cs="Arial" w:eastAsia="Arial" w:hAnsi="Arial"/>
          <w:sz w:val="18"/>
          <w:szCs w:val="18"/>
          <w:color w:val="auto"/>
        </w:rPr>
        <w:t>The Investor acknowledges and agrees that such Investor’s receipt of the Company’s signed counterpart to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with the Prospectus Supplement (or the filing by the Company of an electronic version thereof with the Commission), shall constitute written confirmation of the Company’s sale of Shares to such Investor.</w:t>
      </w:r>
    </w:p>
    <w:p>
      <w:pPr>
        <w:spacing w:after="0" w:line="132" w:lineRule="exact"/>
        <w:rPr>
          <w:rFonts w:ascii="Arial" w:cs="Arial" w:eastAsia="Arial" w:hAnsi="Arial"/>
          <w:sz w:val="18"/>
          <w:szCs w:val="18"/>
          <w:b w:val="1"/>
          <w:bCs w:val="1"/>
          <w:color w:val="auto"/>
        </w:rPr>
      </w:pPr>
    </w:p>
    <w:p>
      <w:pPr>
        <w:ind w:left="-464" w:right="220" w:firstLine="464"/>
        <w:spacing w:after="0" w:line="378" w:lineRule="auto"/>
        <w:tabs>
          <w:tab w:leader="none" w:pos="255" w:val="left"/>
        </w:tabs>
        <w:numPr>
          <w:ilvl w:val="0"/>
          <w:numId w:val="2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Press Release. </w:t>
      </w:r>
      <w:r>
        <w:rPr>
          <w:rFonts w:ascii="Arial" w:cs="Arial" w:eastAsia="Arial" w:hAnsi="Arial"/>
          <w:sz w:val="15"/>
          <w:szCs w:val="15"/>
          <w:color w:val="auto"/>
        </w:rPr>
        <w:t>The Company and the Investor agree that the Company shall issue a press release announcing the Offering and disclosing all material</w:t>
      </w:r>
      <w:r>
        <w:rPr>
          <w:rFonts w:ascii="Arial" w:cs="Arial" w:eastAsia="Arial" w:hAnsi="Arial"/>
          <w:sz w:val="15"/>
          <w:szCs w:val="15"/>
          <w:b w:val="1"/>
          <w:bCs w:val="1"/>
          <w:color w:val="auto"/>
        </w:rPr>
        <w:t xml:space="preserve"> </w:t>
      </w:r>
      <w:r>
        <w:rPr>
          <w:rFonts w:ascii="Arial" w:cs="Arial" w:eastAsia="Arial" w:hAnsi="Arial"/>
          <w:sz w:val="15"/>
          <w:szCs w:val="15"/>
          <w:color w:val="auto"/>
        </w:rPr>
        <w:t>information regarding the Offering prior to the opening of the financial markets in New York City on the business day immediately after the date hereof.</w:t>
      </w:r>
    </w:p>
    <w:p>
      <w:pPr>
        <w:spacing w:after="0" w:line="50" w:lineRule="exact"/>
        <w:rPr>
          <w:rFonts w:ascii="Arial" w:cs="Arial" w:eastAsia="Arial" w:hAnsi="Arial"/>
          <w:sz w:val="15"/>
          <w:szCs w:val="15"/>
          <w:b w:val="1"/>
          <w:bCs w:val="1"/>
          <w:color w:val="auto"/>
        </w:rPr>
      </w:pPr>
    </w:p>
    <w:p>
      <w:pPr>
        <w:ind w:left="-464" w:firstLine="464"/>
        <w:spacing w:after="0" w:line="301" w:lineRule="auto"/>
        <w:tabs>
          <w:tab w:leader="none" w:pos="255"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Publicity</w:t>
      </w:r>
      <w:r>
        <w:rPr>
          <w:rFonts w:ascii="Arial" w:cs="Arial" w:eastAsia="Arial" w:hAnsi="Arial"/>
          <w:sz w:val="16"/>
          <w:szCs w:val="16"/>
          <w:color w:val="auto"/>
        </w:rPr>
        <w:t>. The Company agrees that it will not use in advertising or publicity the names of the Investor, Fidelity Management &amp; Research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any of its partners or employees, any of the funds or accounts managed by it or any of its affiliates, or any trade name, trademark, trade device, service mark, symbol or any abbreviation, contraction or simulation thereof, in any case without the prior written consent of Fidelity Management &amp; Research Company, except for public disclosure required by federal securities laws in connection with the filing of final Agreements with the Commission.</w:t>
      </w:r>
    </w:p>
    <w:p>
      <w:pPr>
        <w:spacing w:after="0" w:line="103" w:lineRule="exact"/>
        <w:rPr>
          <w:rFonts w:ascii="Arial" w:cs="Arial" w:eastAsia="Arial" w:hAnsi="Arial"/>
          <w:sz w:val="16"/>
          <w:szCs w:val="16"/>
          <w:b w:val="1"/>
          <w:bCs w:val="1"/>
          <w:color w:val="auto"/>
        </w:rPr>
      </w:pPr>
    </w:p>
    <w:p>
      <w:pPr>
        <w:ind w:left="-464" w:right="220" w:firstLine="464"/>
        <w:spacing w:after="0" w:line="256" w:lineRule="auto"/>
        <w:tabs>
          <w:tab w:leader="none" w:pos="25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Liability</w:t>
      </w:r>
      <w:r>
        <w:rPr>
          <w:rFonts w:ascii="Arial" w:cs="Arial" w:eastAsia="Arial" w:hAnsi="Arial"/>
          <w:sz w:val="18"/>
          <w:szCs w:val="18"/>
          <w:color w:val="auto"/>
        </w:rPr>
        <w:t>. A copy of the Agreement and Declaration of Trust of the Investor is on file with the Secretary of State of the Investor’s</w:t>
      </w:r>
      <w:r>
        <w:rPr>
          <w:rFonts w:ascii="Arial" w:cs="Arial" w:eastAsia="Arial" w:hAnsi="Arial"/>
          <w:sz w:val="18"/>
          <w:szCs w:val="18"/>
          <w:b w:val="1"/>
          <w:bCs w:val="1"/>
          <w:color w:val="auto"/>
        </w:rPr>
        <w:t xml:space="preserve"> </w:t>
      </w:r>
      <w:r>
        <w:rPr>
          <w:rFonts w:ascii="Arial" w:cs="Arial" w:eastAsia="Arial" w:hAnsi="Arial"/>
          <w:sz w:val="18"/>
          <w:szCs w:val="18"/>
          <w:color w:val="auto"/>
        </w:rPr>
        <w:t>formation, and notice is hereby given that this Agreement is not executed on behalf of the Trustees of the Investor as individuals and that the obligations of this Agreement are not binding upon any of the Trustees, officers or stockholders of the Investor individually but are binding only upon the assets and property of such Investor. The Company is expressly put on notice that the rights and obligations of each series of shares of each trust under the Investor’s Declaration of Trust are separate and distinct from those of any and all other series.</w:t>
      </w:r>
    </w:p>
    <w:p>
      <w:pPr>
        <w:spacing w:after="0" w:line="138" w:lineRule="exact"/>
        <w:rPr>
          <w:rFonts w:ascii="Arial" w:cs="Arial" w:eastAsia="Arial" w:hAnsi="Arial"/>
          <w:sz w:val="18"/>
          <w:szCs w:val="18"/>
          <w:b w:val="1"/>
          <w:bCs w:val="1"/>
          <w:color w:val="auto"/>
        </w:rPr>
      </w:pPr>
    </w:p>
    <w:p>
      <w:pPr>
        <w:ind w:left="-464" w:right="380" w:firstLine="464"/>
        <w:spacing w:after="0" w:line="275" w:lineRule="auto"/>
        <w:tabs>
          <w:tab w:leader="none" w:pos="25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w:t>
      </w:r>
      <w:r>
        <w:rPr>
          <w:rFonts w:ascii="Arial" w:cs="Arial" w:eastAsia="Arial" w:hAnsi="Arial"/>
          <w:sz w:val="18"/>
          <w:szCs w:val="18"/>
          <w:color w:val="auto"/>
        </w:rPr>
        <w:t>This Agreement may be terminated and the sale and purchase of the Shares hereunder abandoned at any time prior to the Closing by</w:t>
      </w:r>
      <w:r>
        <w:rPr>
          <w:rFonts w:ascii="Arial" w:cs="Arial" w:eastAsia="Arial" w:hAnsi="Arial"/>
          <w:sz w:val="18"/>
          <w:szCs w:val="18"/>
          <w:b w:val="1"/>
          <w:bCs w:val="1"/>
          <w:color w:val="auto"/>
        </w:rPr>
        <w:t xml:space="preserve"> </w:t>
      </w:r>
      <w:r>
        <w:rPr>
          <w:rFonts w:ascii="Arial" w:cs="Arial" w:eastAsia="Arial" w:hAnsi="Arial"/>
          <w:sz w:val="18"/>
          <w:szCs w:val="18"/>
          <w:color w:val="auto"/>
        </w:rPr>
        <w:t>either the Company or the Investor upon written</w:t>
      </w:r>
    </w:p>
    <w:p>
      <w:pPr>
        <w:spacing w:after="0" w:line="112" w:lineRule="exact"/>
        <w:rPr>
          <w:rFonts w:ascii="Arial" w:cs="Arial" w:eastAsia="Arial" w:hAnsi="Arial"/>
          <w:sz w:val="18"/>
          <w:szCs w:val="18"/>
          <w:b w:val="1"/>
          <w:bCs w:val="1"/>
          <w:color w:val="auto"/>
        </w:rPr>
      </w:pPr>
    </w:p>
    <w:p>
      <w:pPr>
        <w:ind w:left="5156" w:hanging="96"/>
        <w:spacing w:after="0"/>
        <w:tabs>
          <w:tab w:leader="none" w:pos="5156" w:val="left"/>
        </w:tabs>
        <w:numPr>
          <w:ilvl w:val="1"/>
          <w:numId w:val="21"/>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956"/>
          </w:cols>
          <w:pgMar w:left="704" w:top="280" w:right="239" w:bottom="1440" w:gutter="0" w:footer="0" w:header="0"/>
        </w:sectPr>
      </w:pPr>
    </w:p>
    <w:bookmarkStart w:id="18" w:name="page19"/>
    <w:bookmarkEnd w:id="18"/>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to the other, if the Closing has not been consummated on or prior to 5:00 p.m., New York City time, on the tenth (10</w:t>
      </w:r>
      <w:r>
        <w:rPr>
          <w:rFonts w:ascii="Arial" w:cs="Arial" w:eastAsia="Arial" w:hAnsi="Arial"/>
          <w:sz w:val="10"/>
          <w:szCs w:val="10"/>
          <w:color w:val="auto"/>
        </w:rPr>
        <w:t>th</w:t>
      </w:r>
      <w:r>
        <w:rPr>
          <w:rFonts w:ascii="Arial" w:cs="Arial" w:eastAsia="Arial" w:hAnsi="Arial"/>
          <w:sz w:val="16"/>
          <w:szCs w:val="16"/>
          <w:color w:val="auto"/>
        </w:rPr>
        <w:t>) day following the date of this Agreement; provided, however, that the right to terminate this Agreement under this Section 15 shall not be available to any person whose failure to comply with its obligations under this Agreement has been the cause of or resulted in the failure of the Closing to occur on or before such time.</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340"/>
          </w:cols>
          <w:pgMar w:left="240" w:top="280" w:right="319" w:bottom="1440" w:gutter="0" w:footer="0" w:header="0"/>
        </w:sectPr>
      </w:pPr>
    </w:p>
    <w:bookmarkStart w:id="19" w:name="page20"/>
    <w:bookmarkEnd w:id="19"/>
    <w:p>
      <w:pPr>
        <w:jc w:val="center"/>
        <w:ind w:right="-12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w:t>
      </w:r>
      <w:r>
        <w:rPr>
          <w:rFonts w:ascii="Arial" w:cs="Arial" w:eastAsia="Arial" w:hAnsi="Arial"/>
          <w:sz w:val="14"/>
          <w:szCs w:val="14"/>
          <w:b w:val="1"/>
          <w:bCs w:val="1"/>
          <w:u w:val="single" w:color="auto"/>
          <w:color w:val="auto"/>
        </w:rPr>
        <w:t>XHIBIT</w:t>
      </w:r>
      <w:r>
        <w:rPr>
          <w:rFonts w:ascii="Arial" w:cs="Arial" w:eastAsia="Arial" w:hAnsi="Arial"/>
          <w:sz w:val="18"/>
          <w:szCs w:val="18"/>
          <w:b w:val="1"/>
          <w:bCs w:val="1"/>
          <w:u w:val="single" w:color="auto"/>
          <w:color w:val="auto"/>
        </w:rPr>
        <w:t xml:space="preserve"> A</w:t>
      </w:r>
    </w:p>
    <w:p>
      <w:pPr>
        <w:spacing w:after="0" w:line="171" w:lineRule="exact"/>
        <w:rPr>
          <w:sz w:val="20"/>
          <w:szCs w:val="20"/>
          <w:color w:val="auto"/>
        </w:rPr>
      </w:pPr>
    </w:p>
    <w:p>
      <w:pPr>
        <w:jc w:val="right"/>
        <w:ind w:right="2939"/>
        <w:spacing w:after="0"/>
        <w:rPr>
          <w:sz w:val="20"/>
          <w:szCs w:val="20"/>
          <w:color w:val="auto"/>
        </w:rPr>
      </w:pPr>
      <w:r>
        <w:rPr>
          <w:rFonts w:ascii="Arial" w:cs="Arial" w:eastAsia="Arial" w:hAnsi="Arial"/>
          <w:sz w:val="18"/>
          <w:szCs w:val="18"/>
          <w:b w:val="1"/>
          <w:bCs w:val="1"/>
          <w:color w:val="auto"/>
        </w:rPr>
        <w:t>CASUAL MALE RETAIL GROUP, INC.</w:t>
      </w:r>
    </w:p>
    <w:p>
      <w:pPr>
        <w:spacing w:after="0" w:line="171"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INVESTOR QUESTIONNAIRE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to the Agreement, please provide us with the following information:</w:t>
      </w:r>
    </w:p>
    <w:p>
      <w:pPr>
        <w:spacing w:after="0" w:line="235" w:lineRule="exact"/>
        <w:rPr>
          <w:sz w:val="20"/>
          <w:szCs w:val="20"/>
          <w:color w:val="auto"/>
        </w:rPr>
      </w:pPr>
    </w:p>
    <w:p>
      <w:pPr>
        <w:ind w:left="480" w:right="4759" w:hanging="472"/>
        <w:spacing w:after="0" w:line="268" w:lineRule="auto"/>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exact name that your Shares are to be registered in. You may use a nominee name if appropriate:</w:t>
      </w:r>
    </w:p>
    <w:p>
      <w:pPr>
        <w:spacing w:after="0" w:line="77" w:lineRule="exact"/>
        <w:rPr>
          <w:rFonts w:ascii="Arial" w:cs="Arial" w:eastAsia="Arial" w:hAnsi="Arial"/>
          <w:sz w:val="18"/>
          <w:szCs w:val="18"/>
          <w:color w:val="auto"/>
        </w:rPr>
      </w:pPr>
    </w:p>
    <w:p>
      <w:pPr>
        <w:ind w:left="480" w:right="4699" w:hanging="472"/>
        <w:spacing w:after="0" w:line="268" w:lineRule="auto"/>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relationship between the Investor and the registered holder listed in response to item 1 above:</w:t>
      </w:r>
    </w:p>
    <w:p>
      <w:pPr>
        <w:spacing w:after="0" w:line="77" w:lineRule="exact"/>
        <w:rPr>
          <w:rFonts w:ascii="Arial" w:cs="Arial" w:eastAsia="Arial" w:hAnsi="Arial"/>
          <w:sz w:val="18"/>
          <w:szCs w:val="18"/>
          <w:color w:val="auto"/>
        </w:rPr>
      </w:pPr>
    </w:p>
    <w:p>
      <w:pPr>
        <w:ind w:left="480" w:right="4699" w:hanging="472"/>
        <w:spacing w:after="0" w:line="268" w:lineRule="auto"/>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mailing address of the registered holder listed in response to item 1 above:</w:t>
      </w:r>
    </w:p>
    <w:p>
      <w:pPr>
        <w:spacing w:after="0" w:line="77" w:lineRule="exact"/>
        <w:rPr>
          <w:rFonts w:ascii="Arial" w:cs="Arial" w:eastAsia="Arial" w:hAnsi="Arial"/>
          <w:sz w:val="18"/>
          <w:szCs w:val="18"/>
          <w:color w:val="auto"/>
        </w:rPr>
      </w:pPr>
    </w:p>
    <w:p>
      <w:pPr>
        <w:ind w:left="480" w:right="4439" w:hanging="472"/>
        <w:spacing w:after="0" w:line="268" w:lineRule="auto"/>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Social Security Number or Tax Identification Number of the registered holder listed in the response to item 1 above:</w:t>
      </w:r>
    </w:p>
    <w:p>
      <w:pPr>
        <w:spacing w:after="0" w:line="77" w:lineRule="exact"/>
        <w:rPr>
          <w:rFonts w:ascii="Arial" w:cs="Arial" w:eastAsia="Arial" w:hAnsi="Arial"/>
          <w:sz w:val="18"/>
          <w:szCs w:val="18"/>
          <w:color w:val="auto"/>
        </w:rPr>
      </w:pPr>
    </w:p>
    <w:p>
      <w:pPr>
        <w:ind w:left="480" w:right="4539" w:hanging="472"/>
        <w:spacing w:after="0" w:line="268" w:lineRule="auto"/>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 of DTC Participant (broker-dealer at which the account or accounts to be credited with the Shares are maintained):</w:t>
      </w:r>
    </w:p>
    <w:p>
      <w:pPr>
        <w:spacing w:after="0" w:line="77" w:lineRule="exact"/>
        <w:rPr>
          <w:rFonts w:ascii="Arial" w:cs="Arial" w:eastAsia="Arial" w:hAnsi="Arial"/>
          <w:sz w:val="18"/>
          <w:szCs w:val="18"/>
          <w:color w:val="auto"/>
        </w:rPr>
      </w:pPr>
    </w:p>
    <w:p>
      <w:pPr>
        <w:ind w:left="480" w:hanging="472"/>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DTC Participant Number:</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 of Account at DTC Participant being credited with the Shares:</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Account Number at DTC Participant being credited with the Shares:</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0219"/>
          </w:cols>
          <w:pgMar w:left="240" w:top="274" w:right="1440"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118110</wp:posOffset>
            </wp:positionV>
            <wp:extent cx="2487295" cy="685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8729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561-482-9715</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 ANNOUNCES SALE OF EQUITY SECURITIES</w:t>
      </w:r>
    </w:p>
    <w:p>
      <w:pPr>
        <w:spacing w:after="0" w:line="17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 xml:space="preserve">CANTON, MA (September 2, 2009) </w:t>
      </w:r>
      <w:r>
        <w:rPr>
          <w:rFonts w:ascii="Arial" w:cs="Arial" w:eastAsia="Arial" w:hAnsi="Arial"/>
          <w:sz w:val="18"/>
          <w:szCs w:val="18"/>
          <w:color w:val="auto"/>
        </w:rPr>
        <w:t>— Casual Male Retail Group, Inc. (NASDAQ: CMRG) (“Casual Male” or the “Company”) announced today that it has</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to sell 4,950,000 shares of common stock to certain institutional investors.</w:t>
      </w:r>
    </w:p>
    <w:p>
      <w:pPr>
        <w:spacing w:after="0" w:line="12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Casual Male has entered into definitive agreements to sell the shares of its common stock through a registered direct offering at a price of $2.75 per share for gross proceeds of approximately $13.6 million. The Company intends to use the net proceeds of approximately $12.6 million from this offering for general corporate purposes, including the repayment of indebtedness.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The shares are being offered pursuant to the Company’s effective shelf registration statement on Form S-3 as filed with the 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closing of the offering is expected to take place on or about September 3, 2009, subject to satisfaction of customary closing conditions.</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David Levin, the Company’s President and Chief Executive Officer said, “We are very pleased with the results of this offering which will enable us to reduce debt, enhance liquidity, and create a more flexible balance sheet and capital structure for the Company during a very difficult and uncertain economic climate. We have no current intention or need to sell additional shares of our common stock.”</w:t>
      </w:r>
    </w:p>
    <w:p>
      <w:pPr>
        <w:spacing w:after="0" w:line="14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This press release does not constitute an offer to sell or a solicitation of an offer to buy, nor shall there be any sale of, these securities in any state in which such offer, solicitation or sale would be unlawful prior to registration or qualification under the securities laws of any such state. The shares may be offered only by means of a prospectus. Copies of the final prospectus supplement and accompanying prospectus relating to this offering may be obtained from the Corporate Secretary, Casual Male Retail Group, Inc., 555 Turnpike Street, Canton, Massachusetts 02021.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Casual Male Retail Group, Inc.</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Casual Male Retail Group, Inc., the largest retailer of big and tall men’s apparel with operations throughout the United States, Canada and Europe, operates 467 Casual Male XL retail and</w:t>
      </w:r>
    </w:p>
    <w:p>
      <w:pPr>
        <w:sectPr>
          <w:pgSz w:w="11900" w:h="16838" w:orient="portrait"/>
          <w:cols w:equalWidth="0" w:num="1">
            <w:col w:w="11420"/>
          </w:cols>
          <w:pgMar w:left="240" w:top="125" w:right="239" w:bottom="1440" w:gutter="0" w:footer="0" w:header="0"/>
        </w:sectPr>
      </w:pPr>
    </w:p>
    <w:bookmarkStart w:id="21" w:name="page22"/>
    <w:bookmarkEnd w:id="21"/>
    <w:p>
      <w:pPr>
        <w:ind w:right="9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outlet stores, 20 Rochester Clothing stores, and direct to consumer businesses which include several catalogs and e-commerce sites. The Company is headquartered in Canton, Massachusetts, and its common stock is listed on the NASDAQ Global Market under the symbol “CMRG.”</w:t>
      </w:r>
    </w:p>
    <w:p>
      <w:pPr>
        <w:spacing w:after="0" w:line="8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Certain information contained in this press release constitutes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March 23, 2009, that set forth certain risks and uncertainties that may have an impact on future results and direction of the Company.</w:t>
      </w:r>
    </w:p>
    <w:p>
      <w:pPr>
        <w:spacing w:after="0" w:line="120" w:lineRule="exact"/>
        <w:rPr>
          <w:sz w:val="20"/>
          <w:szCs w:val="20"/>
          <w:color w:val="auto"/>
        </w:rPr>
      </w:pPr>
    </w:p>
    <w:p>
      <w:pPr>
        <w:spacing w:after="0" w:line="370" w:lineRule="auto"/>
        <w:rPr>
          <w:sz w:val="20"/>
          <w:szCs w:val="20"/>
          <w:color w:val="auto"/>
        </w:rPr>
      </w:pPr>
      <w:r>
        <w:rPr>
          <w:rFonts w:ascii="Arial" w:cs="Arial" w:eastAsia="Arial" w:hAnsi="Arial"/>
          <w:sz w:val="15"/>
          <w:szCs w:val="15"/>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upperLetter"/>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upperLetter"/>
      <w:start w:val="9"/>
    </w:lvl>
  </w:abstractNum>
  <w:abstractNum w:abstractNumId="4">
    <w:nsid w:val="109CF92E"/>
    <w:multiLevelType w:val="hybridMultilevel"/>
    <w:lvl w:ilvl="0">
      <w:lvlJc w:val="left"/>
      <w:lvlText w:val="(%1)"/>
      <w:numFmt w:val="upperLetter"/>
      <w:start w:val="35"/>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upperLetter"/>
      <w:start w:val="9"/>
    </w:lvl>
  </w:abstractNum>
  <w:abstractNum w:abstractNumId="7">
    <w:nsid w:val="1BEFD79F"/>
    <w:multiLevelType w:val="hybridMultilevel"/>
    <w:lvl w:ilvl="0">
      <w:lvlJc w:val="left"/>
      <w:lvlText w:val="(%1)"/>
      <w:numFmt w:val="upperLetter"/>
      <w:start w:val="35"/>
    </w:lvl>
  </w:abstractNum>
  <w:abstractNum w:abstractNumId="8">
    <w:nsid w:val="41A7C4C9"/>
    <w:multiLevelType w:val="hybridMultilevel"/>
    <w:lvl w:ilvl="0">
      <w:lvlJc w:val="left"/>
      <w:lvlText w:val="%1."/>
      <w:numFmt w:val="decimal"/>
      <w:start w:val="6"/>
    </w:lvl>
  </w:abstractNum>
  <w:abstractNum w:abstractNumId="9">
    <w:nsid w:val="6B68079A"/>
    <w:multiLevelType w:val="hybridMultilevel"/>
    <w:lvl w:ilvl="0">
      <w:lvlJc w:val="left"/>
      <w:lvlText w:val="%1."/>
      <w:numFmt w:val="decimal"/>
      <w:start w:val="7"/>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2">
    <w:nsid w:val="519B500D"/>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13">
    <w:nsid w:val="431BD7B7"/>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lowerLetter"/>
      <w:start w:val="2"/>
    </w:lvl>
  </w:abstractNum>
  <w:abstractNum w:abstractNumId="16">
    <w:nsid w:val="257130A3"/>
    <w:multiLevelType w:val="hybridMultilevel"/>
    <w:lvl w:ilvl="0">
      <w:lvlJc w:val="left"/>
      <w:lvlText w:val="(%1)"/>
      <w:numFmt w:val="lowerLetter"/>
      <w:start w:val="1"/>
    </w:lvl>
    <w:lvl w:ilvl="1">
      <w:lvlJc w:val="left"/>
      <w:lvlText w:val="-"/>
      <w:numFmt w:val="bullet"/>
      <w:start w:val="1"/>
    </w:lvl>
  </w:abstractNum>
  <w:abstractNum w:abstractNumId="17">
    <w:nsid w:val="62BBD95A"/>
    <w:multiLevelType w:val="hybridMultilevel"/>
    <w:lvl w:ilvl="0">
      <w:lvlJc w:val="left"/>
      <w:lvlText w:val="%1."/>
      <w:numFmt w:val="decimal"/>
      <w:start w:val="6"/>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2"/>
    </w:lvl>
  </w:abstractNum>
  <w:abstractNum w:abstractNumId="20">
    <w:nsid w:val="333AB105"/>
    <w:multiLevelType w:val="hybridMultilevel"/>
    <w:lvl w:ilvl="0">
      <w:lvlJc w:val="left"/>
      <w:lvlText w:val="%1."/>
      <w:numFmt w:val="decimal"/>
      <w:start w:val="8"/>
    </w:lvl>
    <w:lvl w:ilvl="1">
      <w:lvlJc w:val="left"/>
      <w:lvlText w:val="-"/>
      <w:numFmt w:val="bullet"/>
      <w:start w:val="1"/>
    </w:lvl>
  </w:abstractNum>
  <w:abstractNum w:abstractNumId="21">
    <w:nsid w:val="721DA317"/>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2019-12-10T06:37:53Z</dcterms:created>
  <dcterms:modified xsi:type="dcterms:W3CDTF">2019-12-10T06:37:53Z</dcterms:modified>
</cp:coreProperties>
</file>