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4,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May 4, 2006, Casual Male Retail Group, Inc. (the "Company") issued a press release announcing the Company's results of operations for the first quarter of fiscal 2006.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2440" w:right="2519" w:hanging="1052"/>
        <w:spacing w:after="0" w:line="236"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announcing results of operations for the first quarter of fiscal 2006 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4, 2006</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left="1380" w:right="2519" w:hanging="1052"/>
        <w:spacing w:after="0" w:line="235" w:lineRule="auto"/>
        <w:rPr>
          <w:sz w:val="20"/>
          <w:szCs w:val="20"/>
          <w:color w:val="auto"/>
        </w:rPr>
      </w:pPr>
      <w:r>
        <w:rPr>
          <w:rFonts w:ascii="Courier New" w:cs="Courier New" w:eastAsia="Courier New" w:hAnsi="Courier New"/>
          <w:sz w:val="18"/>
          <w:szCs w:val="18"/>
          <w:color w:val="auto"/>
        </w:rPr>
        <w:t>Casual Male Retail Group Reports First Quarter Total Sales Increase of 5.7% and Comparable Store Sales Increase of 5.4%</w:t>
      </w:r>
    </w:p>
    <w:p>
      <w:pPr>
        <w:spacing w:after="0" w:line="200" w:lineRule="exact"/>
        <w:rPr>
          <w:sz w:val="20"/>
          <w:szCs w:val="20"/>
          <w:color w:val="auto"/>
        </w:rPr>
      </w:pP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May 4, 2006 -- Casual Male Retail Group, Inc. (NASDAQ/NMS: "CMRG"), retail brand operator of Casual Male Big and Tall, Casual Male XL and Rochester Big &amp; Tall, today reported its sales results for the first quarter of fiscal 2006.</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Total sales for the 13 week period ended April 29, 2006 increased 5.7% to $102.8 million from $97.2 million for the prior year's comparable 13 week period ended April 30, 2005. Comparable store sales for the first quarter of fiscal 2006 increased 5.4% when compared with the first quarter of fiscal 2005.</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first quarter of fiscal 2006 marks our tenth consecutive quarter of positive comp sales, which were driven by strong early selling of spring products and an improvement in our in-stock program. Our comp sales growth occurred with substantially less promotional activity then in the past and we will show an improvement in our gross margin. The launch of our conversion to Casual Male XL will happen this quarter and we look forward to the re-branding of our stores," said David Levin, Chief Executive Officer and President of Casual Male.</w:t>
      </w:r>
    </w:p>
    <w:p>
      <w:pPr>
        <w:spacing w:after="0" w:line="212"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The Company expects to release its first quarter fiscal 2006 earnings on May 18, 2006 and will hold a conference call and web cast at 11:00 AM ET at http://www.casualmale.com/investor.</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Canada and London, England, operates 487 Casual Male Big &amp; Tall and Casual Male XL stores, the Casual Male e-commerce site, Casual Male catalog business, 13 Casual Male at Sears-Canada stores, 23 Rochester Big &amp;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ind w:left="2740"/>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2019-12-11T21:13:39Z</dcterms:created>
  <dcterms:modified xsi:type="dcterms:W3CDTF">2019-12-11T21:13:39Z</dcterms:modified>
</cp:coreProperties>
</file>