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On November 17, 2017, Destination XL Group, Inc. (the “Company”) issued a press release announcing the Company’s operating results for the third quarter of fiscal 2017 and revised 2017 guidance. A copy of this press release is attached hereto as Exhibit 99.1.</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An audio webcast to discuss the Company’s operating results for the third quarter of fiscal 2017 and revised 2017 outlook will be held today, November 17, 2017, at 9:00 a.m. ET. Interested parties can access the webcast on the Company's website at www.destinationxl.com under the Investor Relations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516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82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November 17,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98"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17,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7620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Destination XL Group, Inc. Reports Third Quarter Financial Results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Launches new ’Time to XL’ Holiday marketing campaign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Revises Fiscal 2017 guidance</w:t>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CANTON, Mass., November 17, 2017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xml:space="preserve"> (NASDAQ: DXLG), the largest omni-channel specialty retailer of big and tall men's apparel, today reported operating results for the third quarter of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2017 Third Quarter Highlights</w:t>
      </w:r>
    </w:p>
    <w:p>
      <w:pPr>
        <w:spacing w:after="0" w:line="166" w:lineRule="exact"/>
        <w:rPr>
          <w:sz w:val="20"/>
          <w:szCs w:val="20"/>
          <w:color w:val="auto"/>
        </w:rPr>
      </w:pPr>
    </w:p>
    <w:p>
      <w:pPr>
        <w:ind w:left="1300" w:hanging="42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increased 1.8% to $103.7 million compared to $101.9 million in the prior-year quarter.</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decreased 0.1%.</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of $5.7 million vs. net loss of $4.5 million in the prior year quarter.</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of $2.8 million compared to $3.9 million in the prior year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third quarter results reflect the difficult retail apparel environment that has persisted for most of 2017,” said President and CEO David Levin. “Unseasonably warm weather, disruption from Hurricanes Irma and Harvey, and no incremental marketing support all contributed to a 5% decline in store traffic. However, improvements in conversion and average transaction value allowed us to deliver essentially a flat comp for the quarter. On a positive note, store traffic has picked up considerably in the last two weeks of October and the first two weeks in November.”</w:t>
      </w:r>
    </w:p>
    <w:p>
      <w:pPr>
        <w:spacing w:after="0" w:line="16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 xml:space="preserve">Levin further commented, “Despite the soft results for the third quarter, we are optimistic regarding the fourth quarter. Earlier this month we launched our new advertising campaign, which we call </w:t>
      </w:r>
      <w:r>
        <w:rPr>
          <w:rFonts w:ascii="Arial" w:cs="Arial" w:eastAsia="Arial" w:hAnsi="Arial"/>
          <w:sz w:val="18"/>
          <w:szCs w:val="18"/>
          <w:i w:val="1"/>
          <w:iCs w:val="1"/>
          <w:color w:val="auto"/>
        </w:rPr>
        <w:t>Time to XL</w:t>
      </w:r>
      <w:r>
        <w:rPr>
          <w:rFonts w:ascii="Arial" w:cs="Arial" w:eastAsia="Arial" w:hAnsi="Arial"/>
          <w:sz w:val="18"/>
          <w:szCs w:val="18"/>
          <w:color w:val="auto"/>
        </w:rPr>
        <w:t>. I am confident that this campaign signals a new chapter for the DXL brand. It is time to change the conversation around men’s XL apparel and celebrate the style of our customer base. It is time for us to embrace our position as the industry champion for the XL community.”</w:t>
      </w:r>
    </w:p>
    <w:p>
      <w:pPr>
        <w:spacing w:after="0" w:line="16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new campaign will be delivered through social, digital, radio and television, and features brand ambassadors including 10-time MLB All-Star David Ortiz, producer and artist DJ Khaled, singer and songwriter Sundance, NHL Stanley Cup winner Hal Gill and fashion blogger Kelvin Davis – five celebrities with larger than life personalities, each with his own sense of #XLstyle. Please join us at investor.destinationxl.com to experience the new campaign.”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2017 Third Quarter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6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Total sales for the third quarter increased 1.8% to $103.7 million from $101.9 million in the prior year’s third quarter. Comparable sales for the third quarter decreased 0.1%.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Gross margin, inclusive of occupancy costs, was 43.2%, compared with gross margin of 44.4% for the prior year’s third quarter. The decrease in gross margin was due to a decrease of 120 basis points in merchandise margin from the third quarter of last year, primarily due to more aggressive markdowns related to our inventory productivity initiatives. We expect markdowns to return to a more normalized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4" w:name="page5"/>
    <w:bookmarkEnd w:id="4"/>
    <w:p>
      <w:pPr>
        <w:ind w:right="160"/>
        <w:spacing w:after="0" w:line="245" w:lineRule="auto"/>
        <w:rPr>
          <w:sz w:val="20"/>
          <w:szCs w:val="20"/>
          <w:color w:val="auto"/>
        </w:rPr>
      </w:pPr>
      <w:r>
        <w:rPr>
          <w:rFonts w:ascii="Arial" w:cs="Arial" w:eastAsia="Arial" w:hAnsi="Arial"/>
          <w:sz w:val="18"/>
          <w:szCs w:val="18"/>
          <w:color w:val="auto"/>
        </w:rPr>
        <w:t>in the fourth quarter with a merchandise margin consistent with the prior year. Occupancy costs as a percentage of total sales were flat to the prior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4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SG&amp;A expenses for the third quarter were 40.5% of sales, compared with 40.6% in the prior year’s third quarter. On a dollar basis, SG&amp;A expense increased $0.6 million from the prior year quarter, partly due to increases in store payroll and other supporting costs associated with a greater DXL store base and e-commerce initiatives.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22"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Net loss for the third quarter was $(5.7) million, or $(0.12) per diluted share, compared with a net loss of $(4.5) million, or $(0.09) per diluted share, for the prior year’s third quarter. On a non-GAAP basis, assuming a normalized tax rate of 40%, adjusted net loss for the third quarter was $(0.07) per diluted share compared with a net loss of $(0.05) per diluted share for the prior year’s third quarter.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22"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Earnings before interest, taxes, depreciation and amortization (EBITDA), a non-GAAP measure, for the third quarter were $2.8 million, compared with $3.9 million for the third quarter of fiscal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6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Cash Flow provided by operations for the first nine months of fiscal 2017 was $5.2 million, compared with cash flow of $8.1 million for the first nine months of fiscal 2016, primarily due to a decline in EBITDA to $12.1 million from $20.8 million in the first nine months of fiscal</w:t>
      </w:r>
    </w:p>
    <w:p>
      <w:pPr>
        <w:spacing w:after="0" w:line="2"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2016. Capital expenditures for the first nine months of fiscal 2017 were $18.4 million and consisted of $ 12.6 million for new DXL stores and $5.8 million for infrastructure projects. Capital expenditures for the first nine months of fiscal 2016 were $21.8 million and consisted of $16.0 million for new DXL stores and $5.8 million for infrastructure projects.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4480" w:type="dxa"/>
            <w:vAlign w:val="bottom"/>
            <w:gridSpan w:val="5"/>
          </w:tcPr>
          <w:p>
            <w:pPr>
              <w:jc w:val="right"/>
              <w:ind w:right="16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1"/>
        </w:trPr>
        <w:tc>
          <w:tcPr>
            <w:tcW w:w="6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gridSpan w:val="2"/>
          </w:tcPr>
          <w:p>
            <w:pPr>
              <w:jc w:val="right"/>
              <w:ind w:right="900"/>
              <w:spacing w:after="0"/>
              <w:rPr>
                <w:sz w:val="20"/>
                <w:szCs w:val="20"/>
                <w:color w:val="auto"/>
              </w:rPr>
            </w:pPr>
            <w:r>
              <w:rPr>
                <w:rFonts w:ascii="Arial" w:cs="Arial" w:eastAsia="Arial" w:hAnsi="Arial"/>
                <w:sz w:val="14"/>
                <w:szCs w:val="14"/>
                <w:color w:val="auto"/>
              </w:rPr>
              <w:t>October 28, 2017</w:t>
            </w:r>
          </w:p>
        </w:tc>
        <w:tc>
          <w:tcPr>
            <w:tcW w:w="300" w:type="dxa"/>
            <w:vAlign w:val="bottom"/>
          </w:tcPr>
          <w:p>
            <w:pPr>
              <w:spacing w:after="0"/>
              <w:rPr>
                <w:sz w:val="13"/>
                <w:szCs w:val="13"/>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color w:val="auto"/>
              </w:rPr>
              <w:t>October 29, 2016</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360" w:type="dxa"/>
            <w:vAlign w:val="bottom"/>
          </w:tcPr>
          <w:p>
            <w:pPr>
              <w:spacing w:after="0"/>
              <w:rPr>
                <w:sz w:val="14"/>
                <w:szCs w:val="14"/>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(5.8)</w:t>
            </w:r>
          </w:p>
        </w:tc>
        <w:tc>
          <w:tcPr>
            <w:tcW w:w="30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9"/>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360" w:type="dxa"/>
            <w:vAlign w:val="bottom"/>
          </w:tcPr>
          <w:p>
            <w:pPr>
              <w:spacing w:after="0"/>
              <w:rPr>
                <w:sz w:val="14"/>
                <w:szCs w:val="14"/>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(12.6)</w:t>
            </w:r>
          </w:p>
        </w:tc>
        <w:tc>
          <w:tcPr>
            <w:tcW w:w="30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2220" w:type="dxa"/>
            <w:vAlign w:val="bottom"/>
            <w:gridSpan w:val="2"/>
          </w:tcPr>
          <w:p>
            <w:pPr>
              <w:jc w:val="right"/>
              <w:ind w:right="320"/>
              <w:spacing w:after="0"/>
              <w:rPr>
                <w:sz w:val="20"/>
                <w:szCs w:val="20"/>
                <w:color w:val="auto"/>
              </w:rPr>
            </w:pPr>
            <w:r>
              <w:rPr>
                <w:rFonts w:ascii="Arial" w:cs="Arial" w:eastAsia="Arial" w:hAnsi="Arial"/>
                <w:sz w:val="14"/>
                <w:szCs w:val="14"/>
                <w:color w:val="auto"/>
              </w:rPr>
              <w:t>(13.2)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960" w:type="dxa"/>
            <w:vAlign w:val="bottom"/>
            <w:gridSpan w:val="2"/>
          </w:tcPr>
          <w:p>
            <w:pPr>
              <w:jc w:val="right"/>
              <w:ind w:right="6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Company believes it is important to distinguish between capital expenditures for DXL stores, which is a discretionary investment, and capital expenditures for infrastructure projects. Capital expenditures on all new DXL stores are subject to demanding ROIC (“Return on Invested Capital”) hurdles. Management believes free cash flow before DXL capital expenditures is an important metric, because it is a discretionary allocation of capital, and demonstrates DXL’s available liquidity to fund DXL store growth.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6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EBITDA, adjusted net loss and adjusted net loss per share, free cash flow and free cash flow before DXL capital expenditures are non-GAAP financial measures. Please see “Non-GAAP Measures” below and reconciliations of these non-GAAP measures to the comparable GAAP measures that follow in the tables below.</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Balance Sheet &amp; Liquidity</w:t>
      </w:r>
    </w:p>
    <w:p>
      <w:pPr>
        <w:spacing w:after="0" w:line="163"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At October 28, 2017, the Company had cash and cash equivalents of $5.8 million as compared to $ 5.6 million October 29, 2016. Total debt at October 28, 2017 was $81.4 million as compared to $83.3 million at October 29, 2016. Total debt at October 28, 2017, net of unamortized debt issuance costs, consisted of $68.2 million outstanding under the Company’s credit facility, , and approximately $13.2 million outstanding under its term loan and equipment financing notes. Excess availability under its credit facility was $38.2 million at October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Inventory was $119.9 million at October 28, 2017 and $128.2 million at October 29, 2016. On a comparative basis with the third quarter of fiscal 2016, inventory levels have decreased $8.3 million, or 6.5%, as part of its continuing inventory initiatives to improve the timing of receipts and weeks of supply on hand. Management expects inventory levels to decrease $12.0 million to $15.0 million by the end of fiscal 2017 as compared to the prior year.</w:t>
      </w:r>
    </w:p>
    <w:p>
      <w:pPr>
        <w:spacing w:after="0" w:line="20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Under the Company’s stock repurchase plan, year-to-date, the Company has used free cash flow to repurchase approximately 1.9 million shares at a total cost of approximately $4.7 million. Approximately $7.3 million remains authorized for purchases under the stock repurchase plan, which the Company will continue to manage in the context of its available free cash flow and debt ratios. The Company did not repurchase any shares during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66"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During the first nine months of fiscal 2017, the Company opened a total of 19 DXL retail stores, with 2 DXL retail stores opened in Ontario, Canada, and 1 DXL outlet store: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20" w:type="dxa"/>
            <w:vAlign w:val="bottom"/>
            <w:gridSpan w:val="4"/>
          </w:tcPr>
          <w:p>
            <w:pPr>
              <w:ind w:left="620"/>
              <w:spacing w:after="0"/>
              <w:rPr>
                <w:sz w:val="20"/>
                <w:szCs w:val="20"/>
                <w:color w:val="auto"/>
              </w:rPr>
            </w:pPr>
            <w:r>
              <w:rPr>
                <w:rFonts w:ascii="Arial" w:cs="Arial" w:eastAsia="Arial" w:hAnsi="Arial"/>
                <w:sz w:val="14"/>
                <w:szCs w:val="14"/>
                <w:color w:val="auto"/>
              </w:rPr>
              <w:t>Year End 2015</w:t>
            </w:r>
          </w:p>
        </w:tc>
        <w:tc>
          <w:tcPr>
            <w:tcW w:w="2320" w:type="dxa"/>
            <w:vAlign w:val="bottom"/>
            <w:gridSpan w:val="4"/>
          </w:tcPr>
          <w:p>
            <w:pPr>
              <w:ind w:left="620"/>
              <w:spacing w:after="0"/>
              <w:rPr>
                <w:sz w:val="20"/>
                <w:szCs w:val="20"/>
                <w:color w:val="auto"/>
              </w:rPr>
            </w:pPr>
            <w:r>
              <w:rPr>
                <w:rFonts w:ascii="Arial" w:cs="Arial" w:eastAsia="Arial" w:hAnsi="Arial"/>
                <w:sz w:val="14"/>
                <w:szCs w:val="14"/>
                <w:color w:val="auto"/>
              </w:rPr>
              <w:t>Year End 2016</w:t>
            </w:r>
          </w:p>
        </w:tc>
        <w:tc>
          <w:tcPr>
            <w:tcW w:w="2240" w:type="dxa"/>
            <w:vAlign w:val="bottom"/>
            <w:gridSpan w:val="4"/>
          </w:tcPr>
          <w:p>
            <w:pPr>
              <w:ind w:left="420"/>
              <w:spacing w:after="0"/>
              <w:rPr>
                <w:sz w:val="20"/>
                <w:szCs w:val="20"/>
                <w:color w:val="auto"/>
              </w:rPr>
            </w:pPr>
            <w:r>
              <w:rPr>
                <w:rFonts w:ascii="Arial" w:cs="Arial" w:eastAsia="Arial" w:hAnsi="Arial"/>
                <w:sz w:val="14"/>
                <w:szCs w:val="14"/>
                <w:color w:val="auto"/>
              </w:rPr>
              <w:t>At October 28. 2017</w:t>
            </w:r>
          </w:p>
        </w:tc>
        <w:tc>
          <w:tcPr>
            <w:tcW w:w="2240" w:type="dxa"/>
            <w:vAlign w:val="bottom"/>
            <w:gridSpan w:val="4"/>
          </w:tcPr>
          <w:p>
            <w:pPr>
              <w:ind w:left="540"/>
              <w:spacing w:after="0"/>
              <w:rPr>
                <w:sz w:val="20"/>
                <w:szCs w:val="20"/>
                <w:color w:val="auto"/>
              </w:rPr>
            </w:pPr>
            <w:r>
              <w:rPr>
                <w:rFonts w:ascii="Arial" w:cs="Arial" w:eastAsia="Arial" w:hAnsi="Arial"/>
                <w:sz w:val="14"/>
                <w:szCs w:val="14"/>
                <w:color w:val="auto"/>
              </w:rPr>
              <w:t>Year End 2017E</w:t>
            </w:r>
          </w:p>
        </w:tc>
      </w:tr>
      <w:tr>
        <w:trPr>
          <w:trHeight w:val="180"/>
        </w:trPr>
        <w:tc>
          <w:tcPr>
            <w:tcW w:w="2300" w:type="dxa"/>
            <w:vAlign w:val="bottom"/>
            <w:shd w:val="clear" w:color="auto" w:fill="CFF0FC"/>
          </w:tcPr>
          <w:p>
            <w:pPr>
              <w:spacing w:after="0"/>
              <w:rPr>
                <w:sz w:val="15"/>
                <w:szCs w:val="15"/>
                <w:color w:val="auto"/>
              </w:rPr>
            </w:pPr>
          </w:p>
        </w:tc>
        <w:tc>
          <w:tcPr>
            <w:tcW w:w="84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rPr>
              <w:t># of</w:t>
            </w:r>
          </w:p>
        </w:tc>
        <w:tc>
          <w:tcPr>
            <w:tcW w:w="4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Sq Ft.</w:t>
            </w:r>
          </w:p>
        </w:tc>
        <w:tc>
          <w:tcPr>
            <w:tcW w:w="11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Sq Ft.</w:t>
            </w:r>
          </w:p>
        </w:tc>
      </w:tr>
      <w:tr>
        <w:trPr>
          <w:trHeight w:val="157"/>
        </w:trPr>
        <w:tc>
          <w:tcPr>
            <w:tcW w:w="230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center"/>
              <w:ind w:left="228"/>
              <w:spacing w:after="0" w:line="157" w:lineRule="exact"/>
              <w:rPr>
                <w:sz w:val="20"/>
                <w:szCs w:val="20"/>
                <w:color w:val="auto"/>
              </w:rPr>
            </w:pPr>
            <w:r>
              <w:rPr>
                <w:rFonts w:ascii="Arial" w:cs="Arial" w:eastAsia="Arial" w:hAnsi="Arial"/>
                <w:sz w:val="14"/>
                <w:szCs w:val="14"/>
                <w:color w:val="auto"/>
              </w:rPr>
              <w:t>Stores</w:t>
            </w:r>
          </w:p>
        </w:tc>
        <w:tc>
          <w:tcPr>
            <w:tcW w:w="4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r>
      <w:tr>
        <w:trPr>
          <w:trHeight w:val="169"/>
        </w:trPr>
        <w:tc>
          <w:tcPr>
            <w:tcW w:w="314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166</w:t>
            </w:r>
          </w:p>
        </w:tc>
        <w:tc>
          <w:tcPr>
            <w:tcW w:w="900" w:type="dxa"/>
            <w:vAlign w:val="bottom"/>
          </w:tcPr>
          <w:p>
            <w:pPr>
              <w:jc w:val="right"/>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Pr>
          <w:p>
            <w:pPr>
              <w:spacing w:after="0"/>
              <w:rPr>
                <w:sz w:val="14"/>
                <w:szCs w:val="14"/>
                <w:color w:val="auto"/>
              </w:rPr>
            </w:pPr>
          </w:p>
        </w:tc>
      </w:tr>
      <w:tr>
        <w:trPr>
          <w:trHeight w:val="176"/>
        </w:trPr>
        <w:tc>
          <w:tcPr>
            <w:tcW w:w="3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4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5"/>
                <w:szCs w:val="15"/>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900" w:type="dxa"/>
            <w:vAlign w:val="bottom"/>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r>
      <w:tr>
        <w:trPr>
          <w:trHeight w:val="176"/>
        </w:trPr>
        <w:tc>
          <w:tcPr>
            <w:tcW w:w="3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4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40</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r>
      <w:tr>
        <w:trPr>
          <w:trHeight w:val="176"/>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r>
      <w:tr>
        <w:trPr>
          <w:trHeight w:val="169"/>
        </w:trPr>
        <w:tc>
          <w:tcPr>
            <w:tcW w:w="3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345</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2,158</w:t>
            </w:r>
          </w:p>
        </w:tc>
        <w:tc>
          <w:tcPr>
            <w:tcW w:w="100" w:type="dxa"/>
            <w:vAlign w:val="bottom"/>
            <w:shd w:val="clear" w:color="auto" w:fill="CFF0FC"/>
          </w:tcPr>
          <w:p>
            <w:pPr>
              <w:spacing w:after="0"/>
              <w:rPr>
                <w:sz w:val="14"/>
                <w:szCs w:val="14"/>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E-Commerce Information</w:t>
      </w:r>
    </w:p>
    <w:p>
      <w:pPr>
        <w:spacing w:after="0" w:line="15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websites.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are defined as sales that originate online, including those initiated online at the store level. On a trailing twelve-month basis, e-commerce sales, as a percentage of net sales, were 20.8% at the end of the third quarter of fiscal 2017 as compared to19.5% at the end of the prior year’s third quarter.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Revised Fiscal 2017 Outlook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sales shortfall in the third quarter of fiscal 2017, the Company has revised guidance for fiscal 2017 as follows:</w:t>
      </w:r>
    </w:p>
    <w:p>
      <w:pPr>
        <w:spacing w:after="0" w:line="185" w:lineRule="exact"/>
        <w:rPr>
          <w:sz w:val="20"/>
          <w:szCs w:val="20"/>
          <w:color w:val="auto"/>
        </w:rPr>
      </w:pPr>
    </w:p>
    <w:p>
      <w:pPr>
        <w:ind w:left="880" w:right="26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sales are expected to range from $466.0 million to $470.0 million, with comparable sales being flat to an increase of 2.0% (a decrease from previous guidance of total sales of $470.0 to $480.0 million and a comparable sales increase of 1.0% to 4.0%).</w:t>
      </w:r>
    </w:p>
    <w:p>
      <w:pPr>
        <w:spacing w:after="0" w:line="1" w:lineRule="exact"/>
        <w:rPr>
          <w:rFonts w:ascii="Arial" w:cs="Arial" w:eastAsia="Arial" w:hAnsi="Arial"/>
          <w:sz w:val="18"/>
          <w:szCs w:val="18"/>
          <w:color w:val="auto"/>
        </w:rPr>
      </w:pPr>
    </w:p>
    <w:p>
      <w:pPr>
        <w:ind w:left="880" w:right="2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margin rate of approximately 45.0% to 45.5%, a decrease of 50 basis points to flat from fiscal 2016 (a decrease from previous guidance of 45.5% to 46.0%).</w:t>
      </w:r>
    </w:p>
    <w:p>
      <w:pPr>
        <w:spacing w:after="0" w:line="1" w:lineRule="exact"/>
        <w:rPr>
          <w:rFonts w:ascii="Arial" w:cs="Arial" w:eastAsia="Arial" w:hAnsi="Arial"/>
          <w:sz w:val="18"/>
          <w:szCs w:val="18"/>
          <w:color w:val="auto"/>
        </w:rPr>
      </w:pPr>
    </w:p>
    <w:p>
      <w:pPr>
        <w:ind w:left="880" w:right="10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SG&amp;A expenses as a percent of sales are expected to increase 280 to 310 basis points from fiscal 2016 (an increase from previous guidance of 230 to 290 basis points due to the decrease in sales guidance).</w:t>
      </w:r>
    </w:p>
    <w:p>
      <w:pPr>
        <w:spacing w:after="0" w:line="1" w:lineRule="exact"/>
        <w:rPr>
          <w:rFonts w:ascii="Arial" w:cs="Arial" w:eastAsia="Arial" w:hAnsi="Arial"/>
          <w:sz w:val="18"/>
          <w:szCs w:val="18"/>
          <w:color w:val="auto"/>
        </w:rPr>
      </w:pPr>
    </w:p>
    <w:p>
      <w:pPr>
        <w:ind w:left="880" w:right="12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loss, on a GAAP basis, of $(17.0) to $(21.0) million, or $(0.35) to $(0.42) per diluted share, (a decrease from previous guidance of $(11.7) to $(16.7) million, or $(0.24) to $(0.34) per diluted share).</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EBITDA of $16.0 to $20.0 million (a decrease from previous guidance of $20.0 to $25.0 million). *</w:t>
      </w:r>
    </w:p>
    <w:p>
      <w:pPr>
        <w:spacing w:after="0" w:line="9" w:lineRule="exact"/>
        <w:rPr>
          <w:rFonts w:ascii="Arial" w:cs="Arial" w:eastAsia="Arial" w:hAnsi="Arial"/>
          <w:sz w:val="18"/>
          <w:szCs w:val="18"/>
          <w:color w:val="auto"/>
        </w:rPr>
      </w:pPr>
    </w:p>
    <w:p>
      <w:pPr>
        <w:ind w:left="880" w:right="32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net loss, on a non-GAAP basis, of $(0.21) to $(0.25) per diluted share (a decrease from previous guidance of $(0.14) to $(0.21) per diluted share), assuming a normal tax rate of 40%. *</w:t>
      </w:r>
    </w:p>
    <w:p>
      <w:pPr>
        <w:spacing w:after="0" w:line="1" w:lineRule="exact"/>
        <w:rPr>
          <w:rFonts w:ascii="Arial" w:cs="Arial" w:eastAsia="Arial" w:hAnsi="Arial"/>
          <w:sz w:val="18"/>
          <w:szCs w:val="18"/>
          <w:color w:val="auto"/>
        </w:rPr>
      </w:pPr>
    </w:p>
    <w:p>
      <w:pPr>
        <w:ind w:left="880" w:right="4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$8.3 million of which will be for infrastructure projects and $13.7 million of which will be for new DXL stores (before tenant allowances of approximately $5.0 million) (unchanged).</w:t>
      </w:r>
    </w:p>
    <w:p>
      <w:pPr>
        <w:spacing w:after="0" w:line="1" w:lineRule="exact"/>
        <w:rPr>
          <w:rFonts w:ascii="Arial" w:cs="Arial" w:eastAsia="Arial" w:hAnsi="Arial"/>
          <w:sz w:val="18"/>
          <w:szCs w:val="18"/>
          <w:color w:val="auto"/>
        </w:rPr>
      </w:pPr>
    </w:p>
    <w:p>
      <w:pPr>
        <w:ind w:left="880" w:right="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flow from operating activities of $31.0 to $35.0 million, resulting in free cash flow after capital expenditures for new DXL stores of $9.0 to $13.0 million (a decrease from previous guidance of cash flow from operating activities of $35.0 to $40.0 million and free cash flow after capital expenditures for new DXL stores of $13.0 to $18.0 million).*</w:t>
      </w:r>
    </w:p>
    <w:p>
      <w:pPr>
        <w:spacing w:after="0" w:line="16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Reconciliations of these non-GAAP measures to their comparable GAAP measures are provided in the tables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will hold a conference call to review its financial results on Friday, November 17, 2017 at 9:00 a.m. ET. To listen to the live webcast, visit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section of the Company's website. The live call also can be accessed by dialing: 888-778-9069. Please reference conference ID: 6324451.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loss, adjusted net loss per diluted share, free cash flow and free cash flow before DXL</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18"/>
          <w:szCs w:val="18"/>
          <w:color w:val="auto"/>
        </w:rPr>
        <w:t>capital expenditures.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4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 believes that EBITDA (calculated as earnings before interest, taxes, depreciation and amortization) is useful to investors in evaluating its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Adjusted net loss provides investors with a useful indication of the financial performance of the business, on a comparative basis, assuming a normalized effective tax rate of 40%.</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Free cash flow and free cash flow before DXL capital expenditures are metrics that management uses to monitor liquidity. Management believes this metric is important to investors because it demonstrates the Company’s ability to strengthen liquidity while also contributing to the funding of the 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5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Destination XL Group, Inc. is the largest omni-channel specialty retailer of big &amp; tall men's apparel with store locations throughout the United States and in London, England and Ontario, Canada. The retailer operates under five brands: DXL, Casual Male XL, Rochester Clothing, ShoesXL and LivingXL. The Company also operates an e-commerce site at </w:t>
      </w:r>
      <w:r>
        <w:rPr>
          <w:rFonts w:ascii="Arial" w:cs="Arial" w:eastAsia="Arial" w:hAnsi="Arial"/>
          <w:sz w:val="18"/>
          <w:szCs w:val="18"/>
          <w:u w:val="single" w:color="auto"/>
          <w:color w:val="0000FF"/>
        </w:rPr>
        <w:t>www.destinationxl.com</w:t>
      </w:r>
      <w:r>
        <w:rPr>
          <w:rFonts w:ascii="Arial" w:cs="Arial" w:eastAsia="Arial" w:hAnsi="Arial"/>
          <w:sz w:val="18"/>
          <w:szCs w:val="18"/>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0000FF"/>
        </w:rPr>
        <w:t>http://investor.destinationxl.com</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expenses, gross profit margins, store counts, capital expenditures, debt levels, sales, EBITDA, and earnings for fiscal 2017, fourth quarter fiscal 2017 results and the impact of the Company’s new advertising campaign.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2017, that set forth certain risks and uncertainties that may have an impact on future results and direction of the Company, including the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p>
      <w:pPr>
        <w:ind w:right="320"/>
        <w:spacing w:after="0" w:line="268" w:lineRule="auto"/>
        <w:rPr>
          <w:sz w:val="20"/>
          <w:szCs w:val="20"/>
          <w:color w:val="auto"/>
        </w:rPr>
      </w:pPr>
      <w:r>
        <w:rPr>
          <w:rFonts w:ascii="Arial" w:cs="Arial" w:eastAsia="Arial" w:hAnsi="Arial"/>
          <w:sz w:val="18"/>
          <w:szCs w:val="18"/>
          <w:i w:val="1"/>
          <w:iCs w:val="1"/>
          <w:color w:val="auto"/>
        </w:rPr>
        <w:t>Company’s ability to execute its corporate strategy, grow its market share, maintain and build our brand awareness, predict customer tastes and fashion trends, forecast sales growth trends and compete successfully in the United States men’s big and tall apparel market.</w:t>
      </w:r>
    </w:p>
    <w:p>
      <w:pPr>
        <w:spacing w:after="0" w:line="93"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p>
      <w:pPr>
        <w:jc w:val="center"/>
        <w:ind w:right="360"/>
        <w:spacing w:after="0"/>
        <w:rPr>
          <w:sz w:val="20"/>
          <w:szCs w:val="20"/>
          <w:color w:val="auto"/>
        </w:rPr>
      </w:pPr>
      <w:r>
        <w:rPr>
          <w:rFonts w:ascii="Arial" w:cs="Arial" w:eastAsia="Arial" w:hAnsi="Arial"/>
          <w:sz w:val="14"/>
          <w:szCs w:val="14"/>
          <w:color w:val="auto"/>
        </w:rPr>
        <w:t>DESTINATION XL GROUP, INC.</w:t>
      </w:r>
    </w:p>
    <w:p>
      <w:pPr>
        <w:spacing w:after="0" w:line="13"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CONSOLIDATED STATEMENTS OF OPERATIONS</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(In thousands, except per share data)</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940"/>
              <w:spacing w:after="0"/>
              <w:rPr>
                <w:sz w:val="20"/>
                <w:szCs w:val="20"/>
                <w:color w:val="auto"/>
              </w:rPr>
            </w:pPr>
            <w:r>
              <w:rPr>
                <w:rFonts w:ascii="Arial" w:cs="Arial" w:eastAsia="Arial" w:hAnsi="Arial"/>
                <w:sz w:val="14"/>
                <w:szCs w:val="14"/>
                <w:color w:val="auto"/>
              </w:rPr>
              <w:t>For the 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6"/>
          </w:tcPr>
          <w:p>
            <w:pPr>
              <w:jc w:val="right"/>
              <w:ind w:right="919"/>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October 28, 2017</w:t>
            </w:r>
          </w:p>
        </w:tc>
        <w:tc>
          <w:tcPr>
            <w:tcW w:w="16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October 29, 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October 28,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319"/>
              <w:spacing w:after="0"/>
              <w:rPr>
                <w:sz w:val="20"/>
                <w:szCs w:val="20"/>
                <w:color w:val="auto"/>
              </w:rPr>
            </w:pPr>
            <w:r>
              <w:rPr>
                <w:rFonts w:ascii="Arial" w:cs="Arial" w:eastAsia="Arial" w:hAnsi="Arial"/>
                <w:sz w:val="14"/>
                <w:szCs w:val="14"/>
                <w:color w:val="auto"/>
              </w:rPr>
              <w:t>October 29,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Sales</w:t>
            </w: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103,700</w:t>
            </w: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101,871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332,454</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327,637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goods sold including occupancy</w:t>
            </w: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58,887</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56,633</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177,790</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44,813</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45,238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149,318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149,847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41,968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41,383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137,204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7,680</w:t>
            </w:r>
          </w:p>
        </w:tc>
        <w:tc>
          <w:tcPr>
            <w:tcW w:w="1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7,494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25,055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w:t>
            </w:r>
          </w:p>
        </w:tc>
        <w:tc>
          <w:tcPr>
            <w:tcW w:w="1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49,648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48,877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162,259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151,414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Operating loss</w:t>
            </w:r>
          </w:p>
        </w:tc>
        <w:tc>
          <w:tcPr>
            <w:tcW w:w="1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(4,835)</w:t>
            </w:r>
          </w:p>
        </w:tc>
        <w:tc>
          <w:tcPr>
            <w:tcW w:w="16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(3,639)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(12,941)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(871)</w:t>
            </w:r>
          </w:p>
        </w:tc>
        <w:tc>
          <w:tcPr>
            <w:tcW w:w="16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(779)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(2,497)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1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(5,706)</w:t>
            </w:r>
          </w:p>
        </w:tc>
        <w:tc>
          <w:tcPr>
            <w:tcW w:w="16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(4,418)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(15,438)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(5,706)</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(4,452)</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(15,502)</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(4,039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(0.12)</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(0.32)</w:t>
            </w: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4"/>
                <w:szCs w:val="14"/>
                <w:color w:val="auto"/>
              </w:rPr>
              <w:t>Weighted-average number of common shares outstanding:</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48,966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49,532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48,607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49,552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48,966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49,532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October 28, 2017, January 28, 2017 and October 29, 2016</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October 28,</w:t>
            </w:r>
          </w:p>
        </w:tc>
        <w:tc>
          <w:tcPr>
            <w:tcW w:w="280" w:type="dxa"/>
            <w:vAlign w:val="bottom"/>
          </w:tcPr>
          <w:p>
            <w:pPr>
              <w:spacing w:after="0"/>
              <w:rPr>
                <w:sz w:val="14"/>
                <w:szCs w:val="14"/>
                <w:color w:val="auto"/>
              </w:rPr>
            </w:pP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January 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October 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119,878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116,126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263,652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31,258</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Deferred gain on sale-leaseback</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263,652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1" w:name="page12"/>
    <w:bookmarkEnd w:id="11"/>
    <w:p>
      <w:pPr>
        <w:jc w:val="right"/>
        <w:ind w:right="2960"/>
        <w:spacing w:after="0"/>
        <w:rPr>
          <w:sz w:val="20"/>
          <w:szCs w:val="20"/>
          <w:color w:val="auto"/>
        </w:rPr>
      </w:pPr>
      <w:r>
        <w:rPr>
          <w:rFonts w:ascii="Arial" w:cs="Arial" w:eastAsia="Arial" w:hAnsi="Arial"/>
          <w:sz w:val="18"/>
          <w:szCs w:val="18"/>
          <w:i w:val="1"/>
          <w:iCs w:val="1"/>
          <w:color w:val="auto"/>
        </w:rPr>
        <w:t>Certain amounts in the following tables may not foot due to rounding.</w:t>
      </w:r>
    </w:p>
    <w:p>
      <w:pPr>
        <w:spacing w:after="0" w:line="141" w:lineRule="exact"/>
        <w:rPr>
          <w:sz w:val="20"/>
          <w:szCs w:val="20"/>
          <w:color w:val="auto"/>
        </w:rPr>
      </w:pPr>
    </w:p>
    <w:p>
      <w:pPr>
        <w:jc w:val="right"/>
        <w:ind w:right="2920"/>
        <w:spacing w:after="0"/>
        <w:rPr>
          <w:sz w:val="20"/>
          <w:szCs w:val="20"/>
          <w:color w:val="auto"/>
        </w:rPr>
      </w:pPr>
      <w:r>
        <w:rPr>
          <w:rFonts w:ascii="Arial" w:cs="Arial" w:eastAsia="Arial" w:hAnsi="Arial"/>
          <w:sz w:val="18"/>
          <w:szCs w:val="18"/>
          <w:b w:val="1"/>
          <w:bCs w:val="1"/>
          <w:color w:val="auto"/>
        </w:rPr>
        <w:t>GAAP TO NON-GAAP RECONCILIATION OF NET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8"/>
          </w:tcPr>
          <w:p>
            <w:pPr>
              <w:ind w:left="20"/>
              <w:spacing w:after="0"/>
              <w:rPr>
                <w:sz w:val="20"/>
                <w:szCs w:val="20"/>
                <w:color w:val="auto"/>
              </w:rPr>
            </w:pPr>
            <w:r>
              <w:rPr>
                <w:rFonts w:ascii="Arial" w:cs="Arial" w:eastAsia="Arial" w:hAnsi="Arial"/>
                <w:sz w:val="14"/>
                <w:szCs w:val="14"/>
                <w:color w:val="auto"/>
                <w:w w:val="98"/>
              </w:rPr>
              <w:t>For the 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color w:val="auto"/>
                <w:w w:val="89"/>
              </w:rPr>
              <w:t>For the nine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6"/>
          </w:tcPr>
          <w:p>
            <w:pPr>
              <w:jc w:val="right"/>
              <w:ind w:right="460"/>
              <w:spacing w:after="0"/>
              <w:rPr>
                <w:sz w:val="20"/>
                <w:szCs w:val="20"/>
                <w:color w:val="auto"/>
              </w:rPr>
            </w:pPr>
            <w:r>
              <w:rPr>
                <w:rFonts w:ascii="Arial" w:cs="Arial" w:eastAsia="Arial" w:hAnsi="Arial"/>
                <w:sz w:val="14"/>
                <w:szCs w:val="14"/>
                <w:color w:val="auto"/>
              </w:rPr>
              <w:t>October 28, 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7"/>
          </w:tcPr>
          <w:p>
            <w:pPr>
              <w:jc w:val="right"/>
              <w:ind w:right="600"/>
              <w:spacing w:after="0"/>
              <w:rPr>
                <w:sz w:val="20"/>
                <w:szCs w:val="20"/>
                <w:color w:val="auto"/>
              </w:rPr>
            </w:pPr>
            <w:r>
              <w:rPr>
                <w:rFonts w:ascii="Arial" w:cs="Arial" w:eastAsia="Arial" w:hAnsi="Arial"/>
                <w:sz w:val="14"/>
                <w:szCs w:val="14"/>
                <w:color w:val="auto"/>
              </w:rPr>
              <w:t>October 29, 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8"/>
          </w:tcPr>
          <w:p>
            <w:pPr>
              <w:ind w:left="20"/>
              <w:spacing w:after="0"/>
              <w:rPr>
                <w:sz w:val="20"/>
                <w:szCs w:val="20"/>
                <w:color w:val="auto"/>
              </w:rPr>
            </w:pPr>
            <w:r>
              <w:rPr>
                <w:rFonts w:ascii="Arial" w:cs="Arial" w:eastAsia="Arial" w:hAnsi="Arial"/>
                <w:sz w:val="14"/>
                <w:szCs w:val="14"/>
                <w:color w:val="auto"/>
              </w:rPr>
              <w:t>October 28, 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520"/>
              <w:spacing w:after="0"/>
              <w:rPr>
                <w:sz w:val="20"/>
                <w:szCs w:val="20"/>
                <w:color w:val="auto"/>
              </w:rPr>
            </w:pPr>
            <w:r>
              <w:rPr>
                <w:rFonts w:ascii="Arial" w:cs="Arial" w:eastAsia="Arial" w:hAnsi="Arial"/>
                <w:sz w:val="14"/>
                <w:szCs w:val="14"/>
                <w:color w:val="auto"/>
                <w:w w:val="97"/>
              </w:rPr>
              <w:t>October 29, 2016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rPr>
              <w:t>Per diluted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
              <w:spacing w:after="0" w:line="137" w:lineRule="exact"/>
              <w:rPr>
                <w:sz w:val="20"/>
                <w:szCs w:val="20"/>
                <w:color w:val="auto"/>
              </w:rPr>
            </w:pPr>
            <w:r>
              <w:rPr>
                <w:rFonts w:ascii="Arial" w:cs="Arial" w:eastAsia="Arial" w:hAnsi="Arial"/>
                <w:sz w:val="14"/>
                <w:szCs w:val="14"/>
                <w:color w:val="auto"/>
                <w:w w:val="98"/>
              </w:rPr>
              <w:t>Per diluted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4"/>
                <w:szCs w:val="14"/>
                <w:color w:val="auto"/>
              </w:rPr>
            </w:pPr>
          </w:p>
        </w:tc>
        <w:tc>
          <w:tcPr>
            <w:tcW w:w="500" w:type="dxa"/>
            <w:vAlign w:val="bottom"/>
          </w:tcPr>
          <w:p>
            <w:pPr>
              <w:jc w:val="right"/>
              <w:ind w:right="24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share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46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4"/>
                <w:szCs w:val="14"/>
                <w:color w:val="auto"/>
              </w:rPr>
            </w:pPr>
          </w:p>
        </w:tc>
        <w:tc>
          <w:tcPr>
            <w:tcW w:w="580" w:type="dxa"/>
            <w:vAlign w:val="bottom"/>
            <w:gridSpan w:val="2"/>
          </w:tcPr>
          <w:p>
            <w:pPr>
              <w:jc w:val="right"/>
              <w:ind w:right="29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3620" w:type="dxa"/>
            <w:vAlign w:val="bottom"/>
            <w:gridSpan w:val="4"/>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14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(5,706)</w:t>
            </w:r>
          </w:p>
        </w:tc>
        <w:tc>
          <w:tcPr>
            <w:tcW w:w="1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(0.12)</w:t>
            </w:r>
          </w:p>
        </w:tc>
        <w:tc>
          <w:tcPr>
            <w:tcW w:w="3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(4,452)</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(0.09)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5"/>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(15,502)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(0.32)</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(4,039)</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3"/>
          </w:tcPr>
          <w:p>
            <w:pPr>
              <w:ind w:left="240"/>
              <w:spacing w:after="0" w:line="143" w:lineRule="exact"/>
              <w:rPr>
                <w:sz w:val="20"/>
                <w:szCs w:val="20"/>
                <w:color w:val="auto"/>
              </w:rPr>
            </w:pPr>
            <w:r>
              <w:rPr>
                <w:rFonts w:ascii="Arial" w:cs="Arial" w:eastAsia="Arial" w:hAnsi="Arial"/>
                <w:sz w:val="14"/>
                <w:szCs w:val="14"/>
                <w:color w:val="auto"/>
              </w:rPr>
              <w:t>Income tax (provision) benefit, assuming a normal tax</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Arial" w:cs="Arial" w:eastAsia="Arial" w:hAnsi="Arial"/>
                <w:sz w:val="14"/>
                <w:szCs w:val="14"/>
                <w:color w:val="auto"/>
              </w:rPr>
              <w:t>rate of 40%</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26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1,767</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6,175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1,565</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(3,424)</w:t>
            </w:r>
          </w:p>
        </w:tc>
        <w:tc>
          <w:tcPr>
            <w:tcW w:w="2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(2,651)</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1"/>
              </w:rPr>
              <w:t>(9,263)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(0.19)</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(2,348)</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360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color w:val="auto"/>
                <w:w w:val="99"/>
              </w:rPr>
              <w:t>Weighted average number of common shares outstanding</w:t>
            </w: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on a diluted basis</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48,607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49,552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48,966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49,532</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21"/>
          </w:tcPr>
          <w:p>
            <w:pPr>
              <w:jc w:val="right"/>
              <w:ind w:right="80"/>
              <w:spacing w:after="0"/>
              <w:rPr>
                <w:sz w:val="20"/>
                <w:szCs w:val="20"/>
                <w:color w:val="auto"/>
              </w:rPr>
            </w:pPr>
            <w:r>
              <w:rPr>
                <w:rFonts w:ascii="Arial" w:cs="Arial" w:eastAsia="Arial" w:hAnsi="Arial"/>
                <w:sz w:val="18"/>
                <w:szCs w:val="18"/>
                <w:b w:val="1"/>
                <w:bCs w:val="1"/>
                <w:color w:val="auto"/>
              </w:rPr>
              <w:t>GAAP TO NON-GAAP RECONCILIATION OF EBITDA</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9"/>
          </w:tcPr>
          <w:p>
            <w:pPr>
              <w:jc w:val="right"/>
              <w:ind w:right="500"/>
              <w:spacing w:after="0"/>
              <w:rPr>
                <w:sz w:val="20"/>
                <w:szCs w:val="20"/>
                <w:color w:val="auto"/>
              </w:rPr>
            </w:pPr>
            <w:r>
              <w:rPr>
                <w:rFonts w:ascii="Arial" w:cs="Arial" w:eastAsia="Arial" w:hAnsi="Arial"/>
                <w:sz w:val="14"/>
                <w:szCs w:val="14"/>
                <w:color w:val="auto"/>
                <w:w w:val="91"/>
              </w:rPr>
              <w:t>For the 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jc w:val="right"/>
              <w:ind w:right="80"/>
              <w:spacing w:after="0"/>
              <w:rPr>
                <w:sz w:val="20"/>
                <w:szCs w:val="20"/>
                <w:color w:val="auto"/>
              </w:rPr>
            </w:pPr>
            <w:r>
              <w:rPr>
                <w:rFonts w:ascii="Arial" w:cs="Arial" w:eastAsia="Arial" w:hAnsi="Arial"/>
                <w:sz w:val="14"/>
                <w:szCs w:val="14"/>
                <w:color w:val="auto"/>
              </w:rPr>
              <w:t>For the nine months ended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w w:val="99"/>
              </w:rPr>
              <w:t>October 28, 2017</w:t>
            </w:r>
          </w:p>
        </w:tc>
        <w:tc>
          <w:tcPr>
            <w:tcW w:w="30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4"/>
              </w:rPr>
              <w:t>October 29, 2016</w:t>
            </w: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color w:val="auto"/>
              </w:rPr>
              <w:t>October 28, 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October 29,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29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(5.7)</w:t>
            </w:r>
          </w:p>
        </w:tc>
        <w:tc>
          <w:tcPr>
            <w:tcW w:w="60" w:type="dxa"/>
            <w:vAlign w:val="bottom"/>
          </w:tcPr>
          <w:p>
            <w:pPr>
              <w:spacing w:after="0"/>
              <w:rPr>
                <w:sz w:val="13"/>
                <w:szCs w:val="13"/>
                <w:color w:val="auto"/>
              </w:rPr>
            </w:pPr>
          </w:p>
        </w:tc>
        <w:tc>
          <w:tcPr>
            <w:tcW w:w="200" w:type="dxa"/>
            <w:vAlign w:val="bottom"/>
            <w:vMerge w:val="restart"/>
          </w:tcPr>
          <w:p>
            <w:pPr>
              <w:jc w:val="right"/>
              <w:ind w:right="82"/>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(4.5)</w:t>
            </w:r>
          </w:p>
        </w:tc>
        <w:tc>
          <w:tcPr>
            <w:tcW w:w="3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(15.5)</w:t>
            </w:r>
          </w:p>
        </w:tc>
        <w:tc>
          <w:tcPr>
            <w:tcW w:w="580" w:type="dxa"/>
            <w:vAlign w:val="bottom"/>
            <w:gridSpan w:val="2"/>
            <w:vMerge w:val="restart"/>
          </w:tcPr>
          <w:p>
            <w:pPr>
              <w:jc w:val="right"/>
              <w:ind w:right="33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6"/>
        </w:trPr>
        <w:tc>
          <w:tcPr>
            <w:tcW w:w="3620" w:type="dxa"/>
            <w:vAlign w:val="bottom"/>
            <w:gridSpan w:val="4"/>
          </w:tcPr>
          <w:p>
            <w:pPr>
              <w:spacing w:after="0" w:line="155" w:lineRule="exact"/>
              <w:rPr>
                <w:sz w:val="20"/>
                <w:szCs w:val="20"/>
                <w:color w:val="auto"/>
              </w:rPr>
            </w:pPr>
            <w:r>
              <w:rPr>
                <w:rFonts w:ascii="Arial" w:cs="Arial" w:eastAsia="Arial" w:hAnsi="Arial"/>
                <w:sz w:val="14"/>
                <w:szCs w:val="14"/>
                <w:color w:val="auto"/>
              </w:rPr>
              <w:t>Net loss (GAAP basis)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3"/>
          </w:tcPr>
          <w:p>
            <w:pPr>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8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24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12.1</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335"/>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20.8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gridSpan w:val="5"/>
          </w:tcPr>
          <w:p>
            <w:pPr>
              <w:jc w:val="right"/>
              <w:ind w:right="1580"/>
              <w:spacing w:after="0"/>
              <w:rPr>
                <w:sz w:val="20"/>
                <w:szCs w:val="20"/>
                <w:color w:val="auto"/>
              </w:rPr>
            </w:pPr>
            <w:r>
              <w:rPr>
                <w:rFonts w:ascii="Arial" w:cs="Arial" w:eastAsia="Arial" w:hAnsi="Arial"/>
                <w:sz w:val="16"/>
                <w:szCs w:val="16"/>
                <w:color w:val="auto"/>
              </w:rPr>
              <w:t>For the nine months ended</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18"/>
                <w:szCs w:val="18"/>
                <w:color w:val="auto"/>
              </w:rPr>
            </w:pPr>
          </w:p>
        </w:tc>
        <w:tc>
          <w:tcPr>
            <w:tcW w:w="2220" w:type="dxa"/>
            <w:vAlign w:val="bottom"/>
            <w:gridSpan w:val="2"/>
          </w:tcPr>
          <w:p>
            <w:pPr>
              <w:jc w:val="right"/>
              <w:ind w:right="880"/>
              <w:spacing w:after="0"/>
              <w:rPr>
                <w:sz w:val="20"/>
                <w:szCs w:val="20"/>
                <w:color w:val="auto"/>
              </w:rPr>
            </w:pPr>
            <w:r>
              <w:rPr>
                <w:rFonts w:ascii="Arial" w:cs="Arial" w:eastAsia="Arial" w:hAnsi="Arial"/>
                <w:sz w:val="16"/>
                <w:szCs w:val="16"/>
                <w:color w:val="auto"/>
              </w:rPr>
              <w:t>October 28, 2017</w:t>
            </w:r>
          </w:p>
        </w:tc>
        <w:tc>
          <w:tcPr>
            <w:tcW w:w="280" w:type="dxa"/>
            <w:vAlign w:val="bottom"/>
          </w:tcPr>
          <w:p>
            <w:pPr>
              <w:spacing w:after="0"/>
              <w:rPr>
                <w:sz w:val="18"/>
                <w:szCs w:val="18"/>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6"/>
                <w:szCs w:val="16"/>
                <w:color w:val="auto"/>
              </w:rPr>
              <w:t>October 29, 2016</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Cash flow from operating activities (GAAP basis)</w:t>
            </w: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infrastructure projects</w:t>
            </w:r>
          </w:p>
        </w:tc>
        <w:tc>
          <w:tcPr>
            <w:tcW w:w="30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(5.8)</w:t>
            </w:r>
          </w:p>
        </w:tc>
        <w:tc>
          <w:tcPr>
            <w:tcW w:w="28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6640" w:type="dxa"/>
            <w:vAlign w:val="bottom"/>
          </w:tcPr>
          <w:p>
            <w:pPr>
              <w:ind w:left="120"/>
              <w:spacing w:after="0"/>
              <w:rPr>
                <w:sz w:val="20"/>
                <w:szCs w:val="20"/>
                <w:color w:val="auto"/>
              </w:rPr>
            </w:pPr>
            <w:r>
              <w:rPr>
                <w:rFonts w:ascii="Arial" w:cs="Arial" w:eastAsia="Arial" w:hAnsi="Arial"/>
                <w:sz w:val="16"/>
                <w:szCs w:val="16"/>
                <w:color w:val="auto"/>
              </w:rPr>
              <w:t>Free Cash Flow, before DXL capital expenditures</w:t>
            </w: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7"/>
                <w:szCs w:val="17"/>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for DXL stores</w:t>
            </w:r>
          </w:p>
        </w:tc>
        <w:tc>
          <w:tcPr>
            <w:tcW w:w="30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(12.6)</w:t>
            </w:r>
          </w:p>
        </w:tc>
        <w:tc>
          <w:tcPr>
            <w:tcW w:w="28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20"/>
              <w:spacing w:after="0"/>
              <w:rPr>
                <w:sz w:val="20"/>
                <w:szCs w:val="20"/>
                <w:color w:val="auto"/>
              </w:rPr>
            </w:pPr>
            <w:r>
              <w:rPr>
                <w:rFonts w:ascii="Arial" w:cs="Arial" w:eastAsia="Arial" w:hAnsi="Arial"/>
                <w:sz w:val="16"/>
                <w:szCs w:val="16"/>
                <w:color w:val="auto"/>
              </w:rPr>
              <w:t>Free Cash Flow (non-GAAP basis)</w:t>
            </w:r>
          </w:p>
        </w:tc>
        <w:tc>
          <w:tcPr>
            <w:tcW w:w="3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300"/>
              <w:spacing w:after="0"/>
              <w:rPr>
                <w:sz w:val="20"/>
                <w:szCs w:val="20"/>
                <w:color w:val="auto"/>
              </w:rPr>
            </w:pPr>
            <w:r>
              <w:rPr>
                <w:rFonts w:ascii="Arial" w:cs="Arial" w:eastAsia="Arial" w:hAnsi="Arial"/>
                <w:sz w:val="16"/>
                <w:szCs w:val="16"/>
                <w:color w:val="auto"/>
              </w:rPr>
              <w:t>(13.2)</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20" w:type="dxa"/>
            <w:vAlign w:val="bottom"/>
            <w:gridSpan w:val="3"/>
          </w:tcPr>
          <w:p>
            <w:pPr>
              <w:jc w:val="right"/>
              <w:ind w:right="1228"/>
              <w:spacing w:after="0"/>
              <w:rPr>
                <w:sz w:val="20"/>
                <w:szCs w:val="20"/>
                <w:color w:val="auto"/>
              </w:rPr>
            </w:pPr>
            <w:r>
              <w:rPr>
                <w:rFonts w:ascii="Arial" w:cs="Arial" w:eastAsia="Arial" w:hAnsi="Arial"/>
                <w:sz w:val="18"/>
                <w:szCs w:val="18"/>
                <w:b w:val="1"/>
                <w:bCs w:val="1"/>
                <w:color w:val="auto"/>
              </w:rPr>
              <w:t>2017 FORECAST GAAP TO NON-GAAP RECONCILIATIONS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2017</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03"/>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$(17.0)-$(21.0)</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3.3</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$16.0-$20.0</w:t>
            </w: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56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$(17.0)-$(21.0)</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$(0.35)-$(0.42)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$6.8-$8.4</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$0.14-$0.17</w:t>
            </w: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$(10.2)-$(12.6)</w:t>
            </w:r>
          </w:p>
        </w:tc>
        <w:tc>
          <w:tcPr>
            <w:tcW w:w="840" w:type="dxa"/>
            <w:vAlign w:val="bottom"/>
          </w:tcPr>
          <w:p>
            <w:pPr>
              <w:spacing w:after="0"/>
              <w:rPr>
                <w:sz w:val="17"/>
                <w:szCs w:val="17"/>
                <w:color w:val="auto"/>
              </w:rPr>
            </w:pP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$(0.21)-$(0.25)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48.5</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$31.0-$35.0</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08"/>
              <w:spacing w:after="0"/>
              <w:rPr>
                <w:sz w:val="20"/>
                <w:szCs w:val="20"/>
                <w:color w:val="auto"/>
              </w:rPr>
            </w:pPr>
            <w:r>
              <w:rPr>
                <w:rFonts w:ascii="Arial" w:cs="Arial" w:eastAsia="Arial" w:hAnsi="Arial"/>
                <w:sz w:val="14"/>
                <w:szCs w:val="14"/>
                <w:color w:val="auto"/>
              </w:rPr>
              <w:t>(8.3)</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 (non-GAAP basis)</w:t>
            </w:r>
          </w:p>
        </w:tc>
        <w:tc>
          <w:tcPr>
            <w:tcW w:w="2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$22.7-$26.7</w:t>
            </w:r>
          </w:p>
        </w:tc>
        <w:tc>
          <w:tcPr>
            <w:tcW w:w="84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tcPr>
          <w:p>
            <w:pPr>
              <w:jc w:val="right"/>
              <w:ind w:right="708"/>
              <w:spacing w:after="0"/>
              <w:rPr>
                <w:sz w:val="20"/>
                <w:szCs w:val="20"/>
                <w:color w:val="auto"/>
              </w:rPr>
            </w:pPr>
            <w:r>
              <w:rPr>
                <w:rFonts w:ascii="Arial" w:cs="Arial" w:eastAsia="Arial" w:hAnsi="Arial"/>
                <w:sz w:val="14"/>
                <w:szCs w:val="14"/>
                <w:color w:val="auto"/>
              </w:rPr>
              <w:t>(13.7)</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$9.0-$13.0</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line="20" w:lineRule="exact"/>
              <w:rPr>
                <w:sz w:val="1"/>
                <w:szCs w:val="1"/>
                <w:color w:val="auto"/>
              </w:rPr>
            </w:pPr>
          </w:p>
        </w:tc>
      </w:tr>
      <w:tr>
        <w:trPr>
          <w:trHeight w:val="64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2019-12-05T14:41:32Z</dcterms:created>
  <dcterms:modified xsi:type="dcterms:W3CDTF">2019-12-05T14:41:32Z</dcterms:modified>
</cp:coreProperties>
</file>