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44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44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Wagner John</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tcBorders>
              <w:top w:val="single" w:sz="8" w:color="0000EE"/>
            </w:tcBorders>
          </w:tcPr>
          <w:p>
            <w:pPr>
              <w:spacing w:after="0"/>
              <w:rPr>
                <w:sz w:val="9"/>
                <w:szCs w:val="9"/>
                <w:color w:val="auto"/>
              </w:rPr>
            </w:pPr>
          </w:p>
        </w:tc>
        <w:tc>
          <w:tcPr>
            <w:tcW w:w="182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04/25/2011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6"/>
        <w:spacing w:after="0"/>
        <w:rPr>
          <w:sz w:val="20"/>
          <w:szCs w:val="20"/>
          <w:color w:val="auto"/>
        </w:rPr>
      </w:pPr>
      <w:r>
        <w:rPr>
          <w:rFonts w:ascii="Arial" w:cs="Arial" w:eastAsia="Arial" w:hAnsi="Arial"/>
          <w:sz w:val="16"/>
          <w:szCs w:val="16"/>
          <w:color w:val="0000FF"/>
        </w:rPr>
        <w:t>VP,MM,TailoredClothing&amp;Furnish</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w w:val="99"/>
              </w:rPr>
              <w:t>No securities are beneficially owned.</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880" w:type="dxa"/>
            <w:vAlign w:val="bottom"/>
            <w:gridSpan w:val="6"/>
          </w:tcPr>
          <w:p>
            <w:pPr>
              <w:ind w:left="3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John Wagner</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04/27/2011</w:t>
            </w:r>
          </w:p>
        </w:tc>
      </w:tr>
      <w:tr>
        <w:trPr>
          <w:trHeight w:val="20"/>
        </w:trPr>
        <w:tc>
          <w:tcPr>
            <w:tcW w:w="6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John Wagner,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25, 2011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WAGNER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JOHN WAGNER</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19204"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2019-12-16T05:14:03Z</dcterms:created>
  <dcterms:modified xsi:type="dcterms:W3CDTF">2019-12-16T05:14:03Z</dcterms:modified>
</cp:coreProperties>
</file>