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4852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85267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MESDAG WILLEM</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60"/>
        <w:spacing w:after="0" w:line="276" w:lineRule="auto"/>
        <w:rPr>
          <w:sz w:val="20"/>
          <w:szCs w:val="20"/>
          <w:color w:val="auto"/>
        </w:rPr>
      </w:pPr>
      <w:r>
        <w:rPr>
          <w:rFonts w:ascii="Times New Roman" w:cs="Times New Roman" w:eastAsia="Times New Roman" w:hAnsi="Times New Roman"/>
          <w:sz w:val="17"/>
          <w:szCs w:val="17"/>
          <w:color w:val="0000FF"/>
        </w:rPr>
        <w:t>C/O RED MOUNTAIN CAPITAL MANAGEMENT INC</w:t>
      </w:r>
    </w:p>
    <w:p>
      <w:pPr>
        <w:spacing w:after="0" w:line="1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1999 AVENUE OF THE STARS, STE 1100</w:t>
      </w:r>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LOS ANGELES 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90067</w:t>
            </w:r>
          </w:p>
        </w:tc>
      </w:tr>
      <w:tr>
        <w:trPr>
          <w:trHeight w:val="147"/>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0"/>
        </w:trPr>
        <w:tc>
          <w:tcPr>
            <w:tcW w:w="3820" w:type="dxa"/>
            <w:vAlign w:val="bottom"/>
            <w:gridSpan w:val="4"/>
          </w:tcPr>
          <w:p>
            <w:pPr>
              <w:ind w:left="60"/>
              <w:spacing w:after="0" w:line="205"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r>
      <w:tr>
        <w:trPr>
          <w:trHeight w:val="133"/>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2760" w:type="dxa"/>
            <w:vAlign w:val="bottom"/>
            <w:tcBorders>
              <w:top w:val="single" w:sz="8" w:color="0000EE"/>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80"/>
              <w:spacing w:after="0" w:line="108"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20"/>
              <w:spacing w:after="0" w:line="108" w:lineRule="exact"/>
              <w:rPr>
                <w:sz w:val="20"/>
                <w:szCs w:val="20"/>
                <w:color w:val="auto"/>
              </w:rPr>
            </w:pPr>
            <w:r>
              <w:rPr>
                <w:rFonts w:ascii="Arial" w:cs="Arial" w:eastAsia="Arial" w:hAnsi="Arial"/>
                <w:sz w:val="12"/>
                <w:szCs w:val="12"/>
                <w:color w:val="auto"/>
              </w:rPr>
              <w:t>10% Owner</w:t>
            </w: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05/06/2024</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60"/>
        <w:spacing w:after="0" w:line="28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2,593,758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40"/>
              <w:spacing w:after="0" w:line="306"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tcBorders>
              <w:right w:val="single" w:sz="8" w:color="2C2C2C"/>
            </w:tcBorders>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3.24</w:t>
            </w:r>
            <w:r>
              <w:rPr>
                <w:rFonts w:ascii="Times New Roman" w:cs="Times New Roman" w:eastAsia="Times New Roman" w:hAnsi="Times New Roman"/>
                <w:sz w:val="21"/>
                <w:szCs w:val="21"/>
                <w:color w:val="008000"/>
                <w:vertAlign w:val="superscript"/>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11,188</w:t>
            </w:r>
            <w:r>
              <w:rPr>
                <w:rFonts w:ascii="Times New Roman" w:cs="Times New Roman" w:eastAsia="Times New Roman" w:hAnsi="Times New Roman"/>
                <w:sz w:val="21"/>
                <w:szCs w:val="21"/>
                <w:color w:val="008000"/>
                <w:vertAlign w:val="superscript"/>
              </w:rPr>
              <w:t>(4)</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11,188</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3"/>
                <w:szCs w:val="13"/>
                <w:color w:val="auto"/>
              </w:rPr>
            </w:pP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05/06/2024</w:t>
            </w:r>
          </w:p>
        </w:tc>
        <w:tc>
          <w:tcPr>
            <w:tcW w:w="1100" w:type="dxa"/>
            <w:vAlign w:val="bottom"/>
          </w:tcPr>
          <w:p>
            <w:pPr>
              <w:spacing w:after="0"/>
              <w:rPr>
                <w:sz w:val="13"/>
                <w:szCs w:val="13"/>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ind w:left="2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455,469</w:t>
            </w: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line="21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-1845945</wp:posOffset>
            </wp:positionV>
            <wp:extent cx="29210" cy="1851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851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jc w:val="both"/>
        <w:ind w:left="40" w:right="300" w:firstLine="1"/>
        <w:spacing w:after="0" w:line="235"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ownership includes (i) 420,286 shares held by the Mesdag Family Limited Partnership, (ii) 97,529 shares held by the Mesdag Family Foundation, (iii) 44,746 shares held by the 2012 Mesdag Trust, (iv) 1,763,373 shares held by Red Mountain Capital Partners LLC, and (v) 267,824 shares held by Red Mountain Capital Management Inc. The Reporting Person is the president, sole executive officer, sole director and sole shareholder of Red Mountain Capital Management Inc. The Reporting Person disclaims beneficial ownership of the reported securities, except to the extent of his pecuniary interest therein. The filing system would not permit the filer to report his ownership as indirect.</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Units (DSUs) issued pursuant to the Director's elected form of compensation for quarterly annual retainer and committee chairperson fee.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 share value is determined by the closing price of the Company's common stock on May 3, 2024.</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DSU is credited to the Reporting Person under the Company's Director Plan (the "Director Plan"). Each DSU represents ownership equivalent to one share of the Company's common stock.</w:t>
      </w:r>
    </w:p>
    <w:p>
      <w:pPr>
        <w:spacing w:after="0" w:line="42" w:lineRule="exact"/>
        <w:rPr>
          <w:rFonts w:ascii="Times New Roman" w:cs="Times New Roman" w:eastAsia="Times New Roman" w:hAnsi="Times New Roman"/>
          <w:sz w:val="13"/>
          <w:szCs w:val="13"/>
          <w:color w:val="008000"/>
        </w:rPr>
      </w:pPr>
    </w:p>
    <w:p>
      <w:pPr>
        <w:ind w:left="40" w:right="56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DSUs credited under the Director Plan are payable in the form elected or provided under the Director Plan on the earlier of (i) The Reporting Person's date of separation of service, or (ii) upon death, disability or change in control as defined under the Director Plan.</w:t>
      </w:r>
    </w:p>
    <w:p>
      <w:pPr>
        <w:spacing w:after="0" w:line="4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Willem Mesdag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-10160</wp:posOffset>
            </wp:positionV>
            <wp:extent cx="12553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of himself and the other</w:t>
      </w:r>
      <w:r>
        <w:rPr>
          <w:sz w:val="20"/>
          <w:szCs w:val="20"/>
          <w:color w:val="auto"/>
        </w:rPr>
        <w:tab/>
      </w:r>
      <w:r>
        <w:rPr>
          <w:rFonts w:ascii="Times New Roman" w:cs="Times New Roman" w:eastAsia="Times New Roman" w:hAnsi="Times New Roman"/>
          <w:sz w:val="16"/>
          <w:szCs w:val="16"/>
          <w:color w:val="0000FF"/>
        </w:rPr>
        <w:t>05/08/2024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-17145</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-17145</wp:posOffset>
            </wp:positionV>
            <wp:extent cx="81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11530"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2024-05-08T15:25:00Z</dcterms:created>
  <dcterms:modified xsi:type="dcterms:W3CDTF">2024-05-08T15:25:00Z</dcterms:modified>
</cp:coreProperties>
</file>