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Exchange Act of 1934</w:t>
      </w:r>
    </w:p>
    <w:p>
      <w:pPr>
        <w:spacing w:after="0" w:line="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93"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DESTINATION XL GROUP, INC.</w:t>
      </w:r>
    </w:p>
    <w:p>
      <w:pPr>
        <w:spacing w:after="0" w:line="4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760" w:hanging="253"/>
        <w:spacing w:after="0" w:line="277" w:lineRule="auto"/>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260" w:right="240" w:hanging="252"/>
        <w:spacing w:after="0" w:line="306" w:lineRule="auto"/>
        <w:tabs>
          <w:tab w:leader="none" w:pos="2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98" w:lineRule="exact"/>
        <w:rPr>
          <w:rFonts w:ascii="Arial" w:cs="Arial" w:eastAsia="Arial" w:hAnsi="Arial"/>
          <w:sz w:val="18"/>
          <w:szCs w:val="18"/>
          <w:color w:val="auto"/>
        </w:rPr>
      </w:pPr>
    </w:p>
    <w:p>
      <w:pPr>
        <w:ind w:left="760" w:hanging="253"/>
        <w:spacing w:after="0"/>
        <w:tabs>
          <w:tab w:leader="none" w:pos="7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493395</wp:posOffset>
            </wp:positionH>
            <wp:positionV relativeFrom="paragraph">
              <wp:posOffset>-3019425</wp:posOffset>
            </wp:positionV>
            <wp:extent cx="6643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-2676525</wp:posOffset>
            </wp:positionV>
            <wp:extent cx="6643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-2204720</wp:posOffset>
            </wp:positionV>
            <wp:extent cx="6643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-1870710</wp:posOffset>
            </wp:positionV>
            <wp:extent cx="6643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-1527810</wp:posOffset>
            </wp:positionV>
            <wp:extent cx="6643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-739140</wp:posOffset>
            </wp:positionV>
            <wp:extent cx="6643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-438785</wp:posOffset>
            </wp:positionV>
            <wp:extent cx="6643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-130175</wp:posOffset>
            </wp:positionV>
            <wp:extent cx="66433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422" w:right="5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DESTINATION XL GROUP,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to be held on August 12, 2020</w:t>
      </w:r>
    </w:p>
    <w:p>
      <w:pPr>
        <w:spacing w:after="0" w:line="171" w:lineRule="exact"/>
        <w:rPr>
          <w:sz w:val="20"/>
          <w:szCs w:val="20"/>
          <w:color w:val="auto"/>
        </w:rPr>
      </w:pPr>
    </w:p>
    <w:p>
      <w:pPr>
        <w:jc w:val="both"/>
        <w:ind w:right="60"/>
        <w:spacing w:after="0" w:line="307" w:lineRule="auto"/>
        <w:rPr>
          <w:sz w:val="20"/>
          <w:szCs w:val="20"/>
          <w:color w:val="auto"/>
        </w:rPr>
      </w:pPr>
      <w:r>
        <w:rPr>
          <w:rFonts w:ascii="Arial" w:cs="Arial" w:eastAsia="Arial" w:hAnsi="Arial"/>
          <w:sz w:val="16"/>
          <w:szCs w:val="16"/>
          <w:color w:val="auto"/>
        </w:rPr>
        <w:t>Notice is hereby given that the 2020 Annual Meeting of Stockholders of Destination XL Group, Inc. (the “Company”) will be held at the corporate offices of the Company, 555 Turnpike Street, Canton, Massachusetts 02021 at 11:30 A.M., local time, on Wednesday, August 12, 2020 for the following purposes:</w:t>
      </w:r>
    </w:p>
    <w:p>
      <w:pPr>
        <w:spacing w:after="0" w:line="15" w:lineRule="exact"/>
        <w:rPr>
          <w:sz w:val="20"/>
          <w:szCs w:val="20"/>
          <w:color w:val="auto"/>
        </w:rPr>
      </w:pPr>
    </w:p>
    <w:p>
      <w:pPr>
        <w:ind w:left="740" w:right="380" w:hanging="368"/>
        <w:spacing w:after="0" w:line="24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six directors to serve until the next Annual Meeting of Stockholders and until their respective successors have been duly elected and qualified.</w:t>
      </w:r>
    </w:p>
    <w:p>
      <w:pPr>
        <w:spacing w:after="0" w:line="61"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90" w:lineRule="exact"/>
        <w:rPr>
          <w:rFonts w:ascii="Arial" w:cs="Arial" w:eastAsia="Arial" w:hAnsi="Arial"/>
          <w:sz w:val="18"/>
          <w:szCs w:val="18"/>
          <w:color w:val="auto"/>
        </w:rPr>
      </w:pPr>
    </w:p>
    <w:p>
      <w:pPr>
        <w:ind w:left="740" w:hanging="368"/>
        <w:spacing w:after="0" w:line="235"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Restated Certificate of Incorporation, as amended to effect a reverse stock split of the Company’s issued and outstanding common stock at a ratio of not less than 1-for-2 and not more than 1-for-15, such ratio, and the implementation and timing of such reverse stock split, to be determined in the sole discretion of the Company’s Board of Directors.</w:t>
      </w:r>
    </w:p>
    <w:p>
      <w:pPr>
        <w:spacing w:after="0" w:line="66" w:lineRule="exact"/>
        <w:rPr>
          <w:rFonts w:ascii="Arial" w:cs="Arial" w:eastAsia="Arial" w:hAnsi="Arial"/>
          <w:sz w:val="18"/>
          <w:szCs w:val="18"/>
          <w:color w:val="auto"/>
        </w:rPr>
      </w:pPr>
    </w:p>
    <w:p>
      <w:pPr>
        <w:ind w:left="740" w:right="620" w:hanging="368"/>
        <w:spacing w:after="0" w:line="24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amendments to our 2016 Incentive Compensation Plan to increase the total number of shares of common stock authorized for issuance under the plan by 1,740,000 shares.</w:t>
      </w:r>
    </w:p>
    <w:p>
      <w:pPr>
        <w:spacing w:after="0" w:line="61"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January 30, 2021.</w:t>
      </w:r>
    </w:p>
    <w:p>
      <w:pPr>
        <w:spacing w:after="0" w:line="101" w:lineRule="exact"/>
        <w:rPr>
          <w:rFonts w:ascii="Arial" w:cs="Arial" w:eastAsia="Arial" w:hAnsi="Arial"/>
          <w:sz w:val="17"/>
          <w:szCs w:val="17"/>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9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Board of Directors recommends that you vote FOR the election of all six nominees to serve as directors of the Company and FOR the approval of all other Proposals being presented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Along with the attached Proxy Statement, we are sending you a copy of our Annual Report on Form 10-K for the fiscal year ended February 1, 2020.</w:t>
      </w:r>
    </w:p>
    <w:p>
      <w:pPr>
        <w:spacing w:after="0" w:line="210"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The Board of Directors has fixed the close of business on June 19, 2020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19, 2020 will be available for inspection by any of our stockholders for any purpose germane to the Annual Meeting during normal business hours at our principal executive offices, 555 Turnpike Street, Canton, Massachusetts 02021, beginning on July 31, 2020 and at the Annual Meeting.</w:t>
      </w:r>
    </w:p>
    <w:p>
      <w:pPr>
        <w:spacing w:after="0" w:line="17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170"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b w:val="1"/>
          <w:bCs w:val="1"/>
          <w:i w:val="1"/>
          <w:iCs w:val="1"/>
          <w:color w:val="auto"/>
        </w:rPr>
        <w:t>Special Note Regarding COVID-19</w:t>
      </w:r>
      <w:r>
        <w:rPr>
          <w:rFonts w:ascii="Arial" w:cs="Arial" w:eastAsia="Arial" w:hAnsi="Arial"/>
          <w:sz w:val="17"/>
          <w:szCs w:val="17"/>
          <w:color w:val="auto"/>
        </w:rPr>
        <w:t>: Given the public health and safety concerns related to COVID-19, we ask that each stockholder evaluate the relative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benefits to them personally of in-person attendance at the Annual Meeting and take advantage of the ability to vote by proxy, as instructed on the proxy card or voting instructions that have been provided to you. If you elect to attend the Annual Meeting in person, we ask that you follow recommended guidance, mandates, and applicable executive orders from federal and state authorities, particularly as they relate to social distancing and attendance at public gatherings. If you are not feeling well or think you may have been exposed to COVID-19, we ask that you vote by proxy for the meeting. </w:t>
      </w:r>
      <w:r>
        <w:rPr>
          <w:rFonts w:ascii="Arial" w:cs="Arial" w:eastAsia="Arial" w:hAnsi="Arial"/>
          <w:sz w:val="17"/>
          <w:szCs w:val="17"/>
          <w:color w:val="212121"/>
        </w:rPr>
        <w:t>Please be</w:t>
      </w:r>
      <w:r>
        <w:rPr>
          <w:rFonts w:ascii="Arial" w:cs="Arial" w:eastAsia="Arial" w:hAnsi="Arial"/>
          <w:sz w:val="17"/>
          <w:szCs w:val="17"/>
          <w:color w:val="auto"/>
        </w:rPr>
        <w:t xml:space="preserve"> </w:t>
      </w:r>
      <w:r>
        <w:rPr>
          <w:rFonts w:ascii="Arial" w:cs="Arial" w:eastAsia="Arial" w:hAnsi="Arial"/>
          <w:sz w:val="17"/>
          <w:szCs w:val="17"/>
          <w:color w:val="212121"/>
        </w:rPr>
        <w:t xml:space="preserve">advised that the Company will monitor any further developments with </w:t>
      </w:r>
      <w:r>
        <w:rPr>
          <w:rFonts w:ascii="Arial" w:cs="Arial" w:eastAsia="Arial" w:hAnsi="Arial"/>
          <w:sz w:val="17"/>
          <w:szCs w:val="17"/>
          <w:color w:val="252525"/>
        </w:rPr>
        <w:t>COVID</w:t>
      </w:r>
      <w:r>
        <w:rPr>
          <w:rFonts w:ascii="Arial" w:cs="Arial" w:eastAsia="Arial" w:hAnsi="Arial"/>
          <w:sz w:val="17"/>
          <w:szCs w:val="17"/>
          <w:color w:val="212121"/>
        </w:rPr>
        <w:t>-19 and the impact on the Annual Meeting. If the Company determines that it is not advisable to hold the Annual Meeting in person, the Company will, as promptly as possible, announce details on changes to the Annual Meeting, including by issuing a press release and posting such information on our website.</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order of the Board of Directors,</w:t>
      </w:r>
    </w:p>
    <w:p>
      <w:pPr>
        <w:spacing w:after="0" w:line="3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 ROBERT S. MOLLOY</w:t>
      </w:r>
    </w:p>
    <w:p>
      <w:pPr>
        <w:spacing w:after="0" w:line="3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ROBERT S. MOLLOY</w:t>
      </w:r>
    </w:p>
    <w:p>
      <w:pPr>
        <w:ind w:left="4600"/>
        <w:spacing w:after="0"/>
        <w:rPr>
          <w:sz w:val="20"/>
          <w:szCs w:val="20"/>
          <w:color w:val="auto"/>
        </w:rPr>
      </w:pPr>
      <w:r>
        <w:rPr>
          <w:rFonts w:ascii="Arial" w:cs="Arial" w:eastAsia="Arial" w:hAnsi="Arial"/>
          <w:sz w:val="18"/>
          <w:szCs w:val="18"/>
          <w:color w:val="auto"/>
        </w:rPr>
        <w:t>Secretary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July [2], 2020</w:t>
      </w:r>
    </w:p>
    <w:p>
      <w:pPr>
        <w:spacing w:after="0" w:line="12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12, 2020: The Proxy Statement and 2020 Annual Report to Stockholders are available at: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https://investor.dxl.com/financial-information/annual-reports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760" w:type="dxa"/>
            <w:vAlign w:val="bottom"/>
          </w:tcPr>
          <w:p>
            <w:pPr>
              <w:ind w:left="4720"/>
              <w:spacing w:after="0"/>
              <w:rPr>
                <w:sz w:val="20"/>
                <w:szCs w:val="20"/>
                <w:color w:val="auto"/>
              </w:rPr>
            </w:pPr>
            <w:r>
              <w:rPr>
                <w:rFonts w:ascii="Arial" w:cs="Arial" w:eastAsia="Arial" w:hAnsi="Arial"/>
                <w:sz w:val="18"/>
                <w:szCs w:val="18"/>
                <w:color w:val="auto"/>
              </w:rPr>
              <w:t>TABLE OF CONTENTS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0760" w:type="dxa"/>
            <w:vAlign w:val="bottom"/>
            <w:vMerge w:val="restart"/>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Information About the Annual Meeting and Voting</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760" w:type="dxa"/>
            <w:vAlign w:val="bottom"/>
            <w:vMerge w:val="continue"/>
          </w:tcPr>
          <w:p>
            <w:pPr>
              <w:spacing w:after="0"/>
              <w:rPr>
                <w:sz w:val="16"/>
                <w:szCs w:val="16"/>
                <w:color w:val="auto"/>
              </w:rPr>
            </w:pP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Proposal 1: Election of Directors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Director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Compensation Discussion and Analysis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Compensation Committee Report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Summary Compensation Table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2019 Grants of Plan-Based Awards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2019 Outstanding Equity Awards at Fiscal Year End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2019 Option Exercises and Stock Vested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Proposal 2: Advisory Vote to Approve Named Executive Officer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Proposal 3: Approval of Amendment to Certificate of Incorporation to Effect a Reverse Stock Split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Proposal 4: Approval of Amendments to the 2016 Incentive Compensation Plan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Proposal 5: Ratification of Appointment of Independent Registered Public Accounting Firm</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Report of the Audit Committee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Security Ownership of Certain Beneficial Owners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Security Ownership of Management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Where You Can Find More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Solicitation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Delivery of Documents to Stockholders Sharing an Address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Stockholder Proposals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Stockholder Communications with the Board of Directors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Other Matters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Appendix A – Certificate of Amendment to Restated Certificate of Incorporation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A-1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60" w:type="dxa"/>
            <w:vAlign w:val="bottom"/>
          </w:tcPr>
          <w:p>
            <w:pPr>
              <w:ind w:left="6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Appendix B – 2016 Incentive Compensation Plan, as proposed to be amended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B-1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60" w:type="dxa"/>
            <w:vAlign w:val="bottom"/>
          </w:tcPr>
          <w:p>
            <w:pPr>
              <w:ind w:left="6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Appendix C – Non-GAAP Financial Measure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C-1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5"/>
        </w:trPr>
        <w:tc>
          <w:tcPr>
            <w:tcW w:w="10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(781) 828-9300</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August 12, 2020</w:t>
      </w:r>
    </w:p>
    <w:p>
      <w:pPr>
        <w:spacing w:after="0" w:line="20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and Distribution of Proxy Materials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Proxy Statement and the enclosed form of proxy are being mailed to our stockholders on or about July 2, 2020,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11:30 A.M., local time, on Wednesday, August 12, 2020 and at any and all adjournments thereof (the “Annual Meeting”). This Proxy Statement describes the matters to be voted on at the Annual Meeting and contains other required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Entitled to Vote</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19, 2020, the record date for the Annual Meeting, will be entitled to notice of, and to vote at, the Annual Meeting. On that date, there were [51,078,020] shares of common stock issued and outstanding. Each share is entitled to one vote at the Annual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When a proxy is returned properly executed, the shares represented will be voted in accordance with the stockholder’s instructions.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Stockholders are encouraged to vote on the matters to be considered. If no instructions have been specified by a stockholder, however, the shares covered by an executed proxy will be voted (i) FOR the election of all six nominees to serve as directors of the Company, (ii) FOR the approval of all other Proposals described in this Proxy Statement and being presented at the Annual Meeting, and (iii) in the discretion of the proxies serving at the Annual Meeting with respect to any other matters properly brought before the Annual Meeting. We are not aware of any other matter that may be properly presented at the Annual Meeting.</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3 to approve an amendment to our certificate of incorporation to effect a reverse stock split and Proposal 5 to ratify the appointment of our independent registered public accounting firm, each of which is considered a “routine” proposal. A broker “non-vote” occurs when the broker or bank who is the record holder of the shares does not vote on a particular proposal, either because it does not have discretionary voting power to vote the shares or has not received voting instructions from the beneficial owner.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As a result, if you are not the record holder of your shares, it is critical that you provide instructions to your broker or bank if you want your vote to count.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Revoking Your Proxy or Changing Your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has been exercised as follows:</w:t>
      </w:r>
    </w:p>
    <w:p>
      <w:pPr>
        <w:spacing w:after="0" w:line="117"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attending the Annual Meeting and voting in person; or</w:t>
      </w:r>
    </w:p>
    <w:p>
      <w:pPr>
        <w:spacing w:after="0" w:line="117"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 Proposal</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majority of the votes properly cast “FOR” a matter is required for approval of all matters except Proposal 3 to approve an amendment to our certificate of incorporation to effect a reverse stock split. With respect to Proposal 3, to be approved a majority of the shares of common stock outstanding on the record date must vote “FOR” the proposal. In addition, as described in more detail in Proposal 2 below, Proposal 2 is an advisory vote and non-binding.</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Votes cast means the votes actually cast “FOR” or “AGAINST” a particular proposal, whether in person or by proxy. With respect to all matters presented at the Annual Meeting except Proposal 3, abstentions and non-votes will not be deemed to be votes “cast” with respect to such matters and will not count as votes “FOR” or “AGAINST” such matter. With respect to Proposal 3, abstentions and non-votes will have the effect of an “AGAINST” vote with respect to that proposal. Votes will be tabulated by our transfer agent subject to the supervision of the person designated by the Board of Directors as an inspector.</w:t>
      </w:r>
    </w:p>
    <w:p>
      <w:pPr>
        <w:spacing w:after="0" w:line="18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i w:val="1"/>
          <w:iCs w:val="1"/>
          <w:color w:val="auto"/>
        </w:rPr>
        <w:t>Special Note Regarding COVID-19</w:t>
      </w:r>
      <w:r>
        <w:rPr>
          <w:rFonts w:ascii="Arial" w:cs="Arial" w:eastAsia="Arial" w:hAnsi="Arial"/>
          <w:sz w:val="17"/>
          <w:szCs w:val="17"/>
          <w:color w:val="auto"/>
        </w:rPr>
        <w:t>: Given the public health and safety concerns related to COVID-19, we ask that each stockholder evaluate the relative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benefits to them personally of in-person attendance at the Annual Meeting and take advantage of the ability to vote by proxy, as instructed on the proxy card or voting instructions that have been provided to you. If you elect to attend the Annual Meeting in person, we ask that you follow recommended guidance, mandates, and applicable executive orders from federal and state authorities, particularly as they relate to social distancing and attendance at public gatherings. If you are not feeling well or think you may have been exposed to COVID-19, we ask that you vote by proxy for the meeting. </w:t>
      </w:r>
      <w:r>
        <w:rPr>
          <w:rFonts w:ascii="Arial" w:cs="Arial" w:eastAsia="Arial" w:hAnsi="Arial"/>
          <w:sz w:val="17"/>
          <w:szCs w:val="17"/>
          <w:color w:val="212121"/>
        </w:rPr>
        <w:t>Please be</w:t>
      </w:r>
      <w:r>
        <w:rPr>
          <w:rFonts w:ascii="Arial" w:cs="Arial" w:eastAsia="Arial" w:hAnsi="Arial"/>
          <w:sz w:val="17"/>
          <w:szCs w:val="17"/>
          <w:color w:val="auto"/>
        </w:rPr>
        <w:t xml:space="preserve"> </w:t>
      </w:r>
      <w:r>
        <w:rPr>
          <w:rFonts w:ascii="Arial" w:cs="Arial" w:eastAsia="Arial" w:hAnsi="Arial"/>
          <w:sz w:val="17"/>
          <w:szCs w:val="17"/>
          <w:color w:val="212121"/>
        </w:rPr>
        <w:t xml:space="preserve">advised that the Company will monitor any further developments with </w:t>
      </w:r>
      <w:r>
        <w:rPr>
          <w:rFonts w:ascii="Arial" w:cs="Arial" w:eastAsia="Arial" w:hAnsi="Arial"/>
          <w:sz w:val="17"/>
          <w:szCs w:val="17"/>
          <w:color w:val="252525"/>
        </w:rPr>
        <w:t>COVID</w:t>
      </w:r>
      <w:r>
        <w:rPr>
          <w:rFonts w:ascii="Arial" w:cs="Arial" w:eastAsia="Arial" w:hAnsi="Arial"/>
          <w:sz w:val="17"/>
          <w:szCs w:val="17"/>
          <w:color w:val="212121"/>
        </w:rPr>
        <w:t>-19 and the impact on the Annual Meeting. If the Company determines that it is not advisable to hold the Annual Meeting in person, the Company will, as promptly as possible, announce details on changes to the Annual Meeting, including by issuing a press release and posting such information on our website.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February 2020, in accordance with our Fourth Amended and Restated By-Laws (the “By-Laws”), our Board of Directors (“Board”) voted to reduce the number of members of our Board to no more than seven directors at the next annual meeting. In May 2020, the Board of Directors, at the recommendation of the Nominating and Corporate Governance Committee, set the board size to six, effective as of the Annual Meeting.</w:t>
      </w:r>
    </w:p>
    <w:p>
      <w:pPr>
        <w:spacing w:after="0" w:line="16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At the Annual Meeting, six nominees will be elected to serve on the Board until the 2021 Annual Meeting of Stockholders and until their respective successors have been duly elected and qualified. Accordingly, the Nominating and Corporate Governance Committee has recommended, and our Board has nominated, Harvey S. Kanter, Jack Boyle, Lionel F. Conacher, Willem Mesdag, Mitchell S. Presser and Ivy Ross as nominees, all of whom currently serve as members of our Board. Effective immediately following the Annual Meeting, the terms of Messrs. Kyees, Holtzman and Mooney as directors will expire. The Company gratefully acknowledges and thanks each of them for their years of service and dedication to our Board and to our Company.</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Unless a proxy shall specify that it is not to be voted for a nominee, it is intended that the shares represented by each duly executed and returned proxy will be voted in favor of the election as directors of Harvey S. Kanter, Jack Boyle, Lionel F. Conacher, Willem Mesdag, Mitchell S. Presser and Ivy</w:t>
      </w:r>
    </w:p>
    <w:p>
      <w:pPr>
        <w:ind w:right="280"/>
        <w:spacing w:after="0" w:line="260" w:lineRule="auto"/>
        <w:rPr>
          <w:sz w:val="20"/>
          <w:szCs w:val="20"/>
          <w:color w:val="auto"/>
        </w:rPr>
      </w:pPr>
      <w:r>
        <w:rPr>
          <w:rFonts w:ascii="Arial" w:cs="Arial" w:eastAsia="Arial" w:hAnsi="Arial"/>
          <w:sz w:val="18"/>
          <w:szCs w:val="18"/>
          <w:color w:val="auto"/>
        </w:rPr>
        <w:t>Ross. Although management expects all nominees to serve if elected, proxies will be voted for a substitute if a nominee is unable or unwilling to accept nomination or election. Cumulative voting is not permitted.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the election of each of the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six individuals named above as directors of our Company.</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sets forth the names, ages as of June 19, 2020, and certain other information for each of our current directors, all terms expiring at the Annual Meeting.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Nominating and</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2"/>
              </w:rPr>
              <w:t>Cybersecurity</w:t>
            </w:r>
          </w:p>
        </w:tc>
      </w:tr>
      <w:tr>
        <w:trPr>
          <w:trHeight w:val="148"/>
        </w:trPr>
        <w:tc>
          <w:tcPr>
            <w:tcW w:w="4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Director</w:t>
            </w: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Corporate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4"/>
              </w:rPr>
              <w:t>and</w:t>
            </w:r>
          </w:p>
        </w:tc>
      </w:tr>
      <w:tr>
        <w:trPr>
          <w:trHeight w:val="161"/>
        </w:trPr>
        <w:tc>
          <w:tcPr>
            <w:tcW w:w="4840" w:type="dxa"/>
            <w:vAlign w:val="bottom"/>
            <w:gridSpan w:val="2"/>
          </w:tcPr>
          <w:p>
            <w:pPr>
              <w:spacing w:after="0"/>
              <w:rPr>
                <w:sz w:val="20"/>
                <w:szCs w:val="20"/>
                <w:color w:val="auto"/>
              </w:rPr>
            </w:pPr>
            <w:r>
              <w:rPr>
                <w:rFonts w:ascii="Arial" w:cs="Arial" w:eastAsia="Arial" w:hAnsi="Arial"/>
                <w:sz w:val="13"/>
                <w:szCs w:val="13"/>
                <w:b w:val="1"/>
                <w:bCs w:val="1"/>
                <w:color w:val="auto"/>
              </w:rPr>
              <w:t>Name (1)</w:t>
            </w:r>
          </w:p>
        </w:tc>
        <w:tc>
          <w:tcPr>
            <w:tcW w:w="660" w:type="dxa"/>
            <w:vAlign w:val="bottom"/>
            <w:gridSpan w:val="2"/>
          </w:tcPr>
          <w:p>
            <w:pPr>
              <w:ind w:left="180"/>
              <w:spacing w:after="0"/>
              <w:rPr>
                <w:sz w:val="20"/>
                <w:szCs w:val="20"/>
                <w:color w:val="auto"/>
              </w:rPr>
            </w:pPr>
            <w:r>
              <w:rPr>
                <w:rFonts w:ascii="Arial" w:cs="Arial" w:eastAsia="Arial" w:hAnsi="Arial"/>
                <w:sz w:val="13"/>
                <w:szCs w:val="13"/>
                <w:b w:val="1"/>
                <w:bCs w:val="1"/>
                <w:color w:val="auto"/>
              </w:rPr>
              <w:t>Age</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Since</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Audit</w:t>
            </w: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Compensation</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Governance</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7"/>
              </w:rPr>
              <w:t>Data Privacy</w:t>
            </w:r>
          </w:p>
        </w:tc>
      </w:tr>
      <w:tr>
        <w:trPr>
          <w:trHeight w:val="223"/>
        </w:trPr>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Kyees, Chairman of the Board and Director</w:t>
            </w:r>
          </w:p>
        </w:tc>
        <w:tc>
          <w:tcPr>
            <w:tcW w:w="6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73</w:t>
            </w:r>
          </w:p>
        </w:tc>
        <w:tc>
          <w:tcPr>
            <w:tcW w:w="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2010</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C</w:t>
            </w: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rPr>
              <w:t>Harvey S. Kanter, President and Chief Executive Officer and</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X</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Lionel F. Conacher, 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Seymour Holtzman,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2000</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71</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2006</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1"/>
              </w:rPr>
              <w:t>C</w:t>
            </w:r>
          </w:p>
        </w:tc>
        <w:tc>
          <w:tcPr>
            <w:tcW w:w="138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rPr>
              <w:t>X</w:t>
            </w:r>
          </w:p>
        </w:tc>
        <w:tc>
          <w:tcPr>
            <w:tcW w:w="1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600" w:type="dxa"/>
            <w:vAlign w:val="bottom"/>
          </w:tcPr>
          <w:p>
            <w:pPr>
              <w:ind w:left="20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8"/>
                <w:szCs w:val="18"/>
                <w:color w:val="auto"/>
              </w:rPr>
              <w:t>X</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w:t>
            </w:r>
          </w:p>
        </w:tc>
        <w:tc>
          <w:tcPr>
            <w:tcW w:w="1300" w:type="dxa"/>
            <w:vAlign w:val="bottom"/>
          </w:tcPr>
          <w:p>
            <w:pPr>
              <w:spacing w:after="0"/>
              <w:rPr>
                <w:sz w:val="19"/>
                <w:szCs w:val="19"/>
                <w:color w:val="auto"/>
              </w:rPr>
            </w:pPr>
          </w:p>
        </w:tc>
      </w:tr>
      <w:tr>
        <w:trPr>
          <w:trHeight w:val="229"/>
        </w:trPr>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center"/>
              <w:ind w:right="80"/>
              <w:spacing w:after="0"/>
              <w:rPr>
                <w:sz w:val="20"/>
                <w:szCs w:val="20"/>
                <w:color w:val="auto"/>
              </w:rPr>
            </w:pPr>
            <w:r>
              <w:rPr>
                <w:rFonts w:ascii="Arial" w:cs="Arial" w:eastAsia="Arial" w:hAnsi="Arial"/>
                <w:sz w:val="18"/>
                <w:szCs w:val="18"/>
                <w:color w:val="auto"/>
                <w:w w:val="99"/>
              </w:rPr>
              <w:t>X</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223" w:lineRule="exact"/>
        <w:rPr>
          <w:sz w:val="20"/>
          <w:szCs w:val="20"/>
          <w:color w:val="auto"/>
        </w:rPr>
      </w:pPr>
    </w:p>
    <w:p>
      <w:pPr>
        <w:ind w:left="740" w:right="140" w:hanging="368"/>
        <w:spacing w:after="0" w:line="25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result of the decrease in the size of the Board, the terms of Messrs. Kyees, Holtzman and Mooney as directors will end at the Annual Meeting. Immediately after the Annual Meeting, the size of the Audit Committee will be reduced to three directors and the Board will appoint a new Chairperson and a new member. The Compensation Committee will also be reduced to three directors. The Board will also appoint a new Non-Executive Chairperson of the Board and Chairperson for the Cybersecurity and Data Privacy Committee immediately after the Annual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Current Board Nominees</w:t>
      </w:r>
    </w:p>
    <w:p>
      <w:pPr>
        <w:spacing w:after="0" w:line="117"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Set forth below is certain information regarding our current board members being nominated for re-election at the Annual Meeting, and includes information furnished by them as to their principal occupations and business experience for the past five years and certain directorships held by each director within the past five years: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Harvey S. Kanter </w:t>
      </w:r>
      <w:r>
        <w:rPr>
          <w:rFonts w:ascii="Arial" w:cs="Arial" w:eastAsia="Arial" w:hAnsi="Arial"/>
          <w:sz w:val="17"/>
          <w:szCs w:val="17"/>
          <w:color w:val="auto"/>
        </w:rPr>
        <w:t>is the President, Chief Executive Officer and a director of the Company. Mr. Kanter joined the Company in February 2019 in a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role as Advisor to the Acting CEO and assumed the role of President and Chief Executive Officer and a director of the Company in April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From March 2012 until February 2020, Mr. Kanter also served as a member of the board of directors of Blue Nile, Inc. and, from January 2014 until February 2020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Mr. Kanter served as a director and a member of the compensation committee of Potbelly Corporation, a publicly-traded company, from August 2015 until May 2019. He is also a brand ambassador for the Fred Hutch Cancer Research Institute, and is an advisory member to the Seattle University Executive MBA Program. Mr. Kanter brings an extensive knowledge of omni-channel retailing, with strong strategic and operational expertise.</w:t>
      </w:r>
    </w:p>
    <w:p>
      <w:pPr>
        <w:spacing w:after="0" w:line="18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 xml:space="preserve">Jack Boyle </w:t>
      </w:r>
      <w:r>
        <w:rPr>
          <w:rFonts w:ascii="Arial" w:cs="Arial" w:eastAsia="Arial" w:hAnsi="Arial"/>
          <w:sz w:val="17"/>
          <w:szCs w:val="17"/>
          <w:color w:val="auto"/>
        </w:rPr>
        <w:t>has been a director since August 2017. Since February 2019, Mr. Boyle has been the global co-president of direct to consumer/omni channel</w:t>
      </w:r>
      <w:r>
        <w:rPr>
          <w:rFonts w:ascii="Arial" w:cs="Arial" w:eastAsia="Arial" w:hAnsi="Arial"/>
          <w:sz w:val="17"/>
          <w:szCs w:val="17"/>
          <w:i w:val="1"/>
          <w:iCs w:val="1"/>
          <w:color w:val="auto"/>
        </w:rPr>
        <w:t xml:space="preserve"> </w:t>
      </w:r>
      <w:r>
        <w:rPr>
          <w:rFonts w:ascii="Arial" w:cs="Arial" w:eastAsia="Arial" w:hAnsi="Arial"/>
          <w:sz w:val="17"/>
          <w:szCs w:val="17"/>
          <w:color w:val="auto"/>
        </w:rPr>
        <w:t>for Fanatics, Inc., a market leader for officially licensed sports merchandise. Prior to that, from December 2017 to February 2019, Mr. Boyle was the co-president of North America direct to consumer/omni channel. He originally joined the company as president of merchandising in June 2012.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8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Lionel F. Conacher </w:t>
      </w:r>
      <w:r>
        <w:rPr>
          <w:rFonts w:ascii="Arial" w:cs="Arial" w:eastAsia="Arial" w:hAnsi="Arial"/>
          <w:sz w:val="16"/>
          <w:szCs w:val="16"/>
          <w:color w:val="auto"/>
        </w:rPr>
        <w:t>has been a director since June 2018. From January 2011 to June 2018, Mr. Conacher was a senior advisor for Altamont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(“ACP”), a private equity firm. Mr. Conacher left ACP on June 30, 2018 to pursue the development of a new venture capital fund, Next Ventures Management, LLC. Mr. Conacher became managing partner of Next Ventures, GP in August 2018. Prior to joining ACP, from April 2008 until July 2010, Mr. Conacher was the president and chief operating officer of Thomas Weisel Partners, an investment bank. Additionally, Mr. Conacher served as the chairman of Wunderlich Securities, an investee company of ACP, from December 2013 until July 2017. Mr. Conacher currently serves as a member of the board of directors for AmpHP Inc., a venture-backed human performance company. He formerly served as a member of the board of directors of Mervin Manufacturing, a leading designer and manufacturer of snow boards and other board sports equipment and PowerDot, Inc., a consumer electronics company that markets a muscle recovery and performance tool. Mr. Conacher brings extensive financial and operational experience to the Board.</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Willem Mesdag </w:t>
      </w:r>
      <w:r>
        <w:rPr>
          <w:rFonts w:ascii="Arial" w:cs="Arial" w:eastAsia="Arial" w:hAnsi="Arial"/>
          <w:sz w:val="16"/>
          <w:szCs w:val="16"/>
          <w:color w:val="auto"/>
        </w:rPr>
        <w:t>has been a director since January 2014. Since January 2005, Mr. Mesdag has been the managing partner of Red Mountain Capital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Cost Plus, Inc., Encore Capital Group, Inc., Nature’s Sunshine Products, Inc. and Yuma Energy, Inc., all of which are or were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16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Mitchell S. Presser </w:t>
      </w:r>
      <w:r>
        <w:rPr>
          <w:rFonts w:ascii="Arial" w:cs="Arial" w:eastAsia="Arial" w:hAnsi="Arial"/>
          <w:sz w:val="16"/>
          <w:szCs w:val="16"/>
          <w:color w:val="auto"/>
        </w:rPr>
        <w:t>has been a director since May 2007. Since April 2020, Mr. Presser has been a partner of Mergers + Acquisitions and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at Morrison &amp; Foerster and also serves as co-chair of the firm’s Global Corporate Department. From July 2014 until April 2020, Mr. Presser was a partner and the head of U.S. Global Transactions at Freshfields Bruckhaus Deringer LLP. From January 2014 until July 2014, Mr. Presser was a senior advisor to Paine Schwartz Partners (formerly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Presser’s extensive experience in private equity and strategic planning provides valuable insight to the Board.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design for</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products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Board is currently comprised of nine members. In May 2020, at the recommendation of the Nominating and Corporate Governance Committee, the Board set the board size to six, effective as of the Annual Meeting, and nominated six of our current directors to serve as directors.</w:t>
      </w:r>
    </w:p>
    <w:p>
      <w:pPr>
        <w:spacing w:after="0" w:line="12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Board met six times during our fiscal year ended February 1, 2020 (“fiscal 2019”). All directors attended at least 75% of the Board meetings and meetings of the committees of the Board on which each director served. We believe that it is important for the members of the Board to attend our annual stockholder meetings. All members of the Board then in office attended our 2019 Annual Meeting of Stockholders.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72" w:lineRule="exact"/>
        <w:rPr>
          <w:sz w:val="20"/>
          <w:szCs w:val="20"/>
          <w:color w:val="auto"/>
        </w:rPr>
      </w:pPr>
    </w:p>
    <w:p>
      <w:pPr>
        <w:ind w:left="740" w:right="54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and qualification of their successors).</w:t>
      </w:r>
    </w:p>
    <w:p>
      <w:pPr>
        <w:spacing w:after="0" w:line="53" w:lineRule="exact"/>
        <w:rPr>
          <w:rFonts w:ascii="Arial" w:cs="Arial" w:eastAsia="Arial" w:hAnsi="Arial"/>
          <w:sz w:val="18"/>
          <w:szCs w:val="18"/>
          <w:color w:val="auto"/>
        </w:rPr>
      </w:pPr>
    </w:p>
    <w:p>
      <w:pPr>
        <w:ind w:left="740" w:right="4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Board Size</w:t>
      </w:r>
      <w:r>
        <w:rPr>
          <w:rFonts w:ascii="Arial" w:cs="Arial" w:eastAsia="Arial" w:hAnsi="Arial"/>
          <w:sz w:val="18"/>
          <w:szCs w:val="18"/>
          <w:color w:val="auto"/>
        </w:rPr>
        <w:t>. In February 2020, the Board</w:t>
      </w:r>
      <w:r>
        <w:rPr>
          <w:rFonts w:ascii="Arial" w:cs="Arial" w:eastAsia="Arial" w:hAnsi="Arial"/>
          <w:sz w:val="18"/>
          <w:szCs w:val="18"/>
          <w:b w:val="1"/>
          <w:bCs w:val="1"/>
          <w:color w:val="auto"/>
        </w:rPr>
        <w:t xml:space="preserve"> </w:t>
      </w:r>
      <w:r>
        <w:rPr>
          <w:rFonts w:ascii="Arial" w:cs="Arial" w:eastAsia="Arial" w:hAnsi="Arial"/>
          <w:sz w:val="18"/>
          <w:szCs w:val="18"/>
          <w:color w:val="2E2E2E"/>
        </w:rPr>
        <w:t>determined that it would be in the best interests of the Company and its shareholders to reduce the size</w:t>
      </w:r>
      <w:r>
        <w:rPr>
          <w:rFonts w:ascii="Arial" w:cs="Arial" w:eastAsia="Arial" w:hAnsi="Arial"/>
          <w:sz w:val="18"/>
          <w:szCs w:val="18"/>
          <w:b w:val="1"/>
          <w:bCs w:val="1"/>
          <w:color w:val="auto"/>
        </w:rPr>
        <w:t xml:space="preserve"> </w:t>
      </w:r>
      <w:r>
        <w:rPr>
          <w:rFonts w:ascii="Arial" w:cs="Arial" w:eastAsia="Arial" w:hAnsi="Arial"/>
          <w:sz w:val="18"/>
          <w:szCs w:val="18"/>
          <w:color w:val="2E2E2E"/>
        </w:rPr>
        <w:t>of the Board to no more than seven directors effective with the 2020 annual meeting of stockholders</w:t>
      </w:r>
      <w:r>
        <w:rPr>
          <w:rFonts w:ascii="Arial" w:cs="Arial" w:eastAsia="Arial" w:hAnsi="Arial"/>
          <w:sz w:val="18"/>
          <w:szCs w:val="18"/>
          <w:color w:val="000000"/>
        </w:rPr>
        <w:t>.</w:t>
      </w:r>
    </w:p>
    <w:p>
      <w:pPr>
        <w:spacing w:after="0" w:line="53" w:lineRule="exact"/>
        <w:rPr>
          <w:rFonts w:ascii="Arial" w:cs="Arial" w:eastAsia="Arial" w:hAnsi="Arial"/>
          <w:sz w:val="18"/>
          <w:szCs w:val="18"/>
          <w:color w:val="auto"/>
        </w:rPr>
      </w:pPr>
    </w:p>
    <w:p>
      <w:pPr>
        <w:ind w:left="740" w:hanging="368"/>
        <w:spacing w:after="0" w:line="298"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Majority Vote for Uncontested Director Elections. </w:t>
      </w:r>
      <w:r>
        <w:rPr>
          <w:rFonts w:ascii="Arial" w:cs="Arial" w:eastAsia="Arial" w:hAnsi="Arial"/>
          <w:sz w:val="16"/>
          <w:szCs w:val="16"/>
          <w:color w:val="auto"/>
        </w:rPr>
        <w:t>Under our By-Laws, in an uncontested election, a majority of the votes properly cast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45" w:lineRule="exact"/>
        <w:rPr>
          <w:rFonts w:ascii="Arial" w:cs="Arial" w:eastAsia="Arial" w:hAnsi="Arial"/>
          <w:sz w:val="16"/>
          <w:szCs w:val="16"/>
          <w:color w:val="auto"/>
        </w:rPr>
      </w:pPr>
    </w:p>
    <w:p>
      <w:pPr>
        <w:ind w:left="740" w:right="80" w:hanging="368"/>
        <w:spacing w:after="0" w:line="266"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and Committees. </w:t>
      </w:r>
      <w:r>
        <w:rPr>
          <w:rFonts w:ascii="Arial" w:cs="Arial" w:eastAsia="Arial" w:hAnsi="Arial"/>
          <w:sz w:val="18"/>
          <w:szCs w:val="18"/>
          <w:color w:val="auto"/>
        </w:rPr>
        <w:t>The majority of our Board is comprised of independent directors. All members of our Board’s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Nominating and Corporate Governance committees are independent directors, and none receives compensation from us other than for service on our Board or its committees.</w:t>
      </w:r>
    </w:p>
    <w:p>
      <w:pPr>
        <w:spacing w:after="0" w:line="67" w:lineRule="exact"/>
        <w:rPr>
          <w:rFonts w:ascii="Arial" w:cs="Arial" w:eastAsia="Arial" w:hAnsi="Arial"/>
          <w:sz w:val="18"/>
          <w:szCs w:val="18"/>
          <w:color w:val="auto"/>
        </w:rPr>
      </w:pPr>
    </w:p>
    <w:p>
      <w:pPr>
        <w:ind w:left="740" w:right="260" w:hanging="368"/>
        <w:spacing w:after="0" w:line="261"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Independent Chairperson/Independent Lead Director. </w:t>
      </w:r>
      <w:r>
        <w:rPr>
          <w:rFonts w:ascii="Arial" w:cs="Arial" w:eastAsia="Arial" w:hAnsi="Arial"/>
          <w:sz w:val="18"/>
          <w:szCs w:val="18"/>
          <w:color w:val="auto"/>
        </w:rPr>
        <w:t>From February 2, 2017 until January 24, 2019, Mr. Kyees served as our Lead</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 On January 24, 2019, Mr. Kyees was appointed Non-Executive Chairman of the Board, replacing our Executive Chairman. Mr. Kyees will continue to serve in that position until our Annual Meeting, at which time Mr. Kyees with retire and the Board will select a new Non-Executive Chairperson immediately after the Annual Meeting.</w:t>
      </w:r>
    </w:p>
    <w:p>
      <w:pPr>
        <w:spacing w:after="0" w:line="71" w:lineRule="exact"/>
        <w:rPr>
          <w:rFonts w:ascii="Arial" w:cs="Arial" w:eastAsia="Arial" w:hAnsi="Arial"/>
          <w:sz w:val="18"/>
          <w:szCs w:val="18"/>
          <w:color w:val="auto"/>
        </w:rPr>
      </w:pPr>
    </w:p>
    <w:p>
      <w:pPr>
        <w:ind w:left="740" w:right="60" w:hanging="368"/>
        <w:spacing w:after="0" w:line="266"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Independent Executive Sessions. </w:t>
      </w:r>
      <w:r>
        <w:rPr>
          <w:rFonts w:ascii="Arial" w:cs="Arial" w:eastAsia="Arial" w:hAnsi="Arial"/>
          <w:sz w:val="18"/>
          <w:szCs w:val="18"/>
          <w:color w:val="auto"/>
        </w:rPr>
        <w:t>Our Board holds independent executive sessions on at least a semi-annual basis, where independent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meet. In addition to the independent executive sessions, periodically throughout 2019, the full Board, including the Chief Executive Officer and the former Executive Chairman, would meet without management participation.</w:t>
      </w:r>
    </w:p>
    <w:p>
      <w:pPr>
        <w:spacing w:after="0" w:line="67" w:lineRule="exact"/>
        <w:rPr>
          <w:rFonts w:ascii="Arial" w:cs="Arial" w:eastAsia="Arial" w:hAnsi="Arial"/>
          <w:sz w:val="18"/>
          <w:szCs w:val="18"/>
          <w:color w:val="auto"/>
        </w:rPr>
      </w:pPr>
    </w:p>
    <w:p>
      <w:pPr>
        <w:ind w:left="740" w:right="200" w:hanging="368"/>
        <w:spacing w:after="0" w:line="273"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Stock Ownership Guidelines. </w:t>
      </w:r>
      <w:r>
        <w:rPr>
          <w:rFonts w:ascii="Arial" w:cs="Arial" w:eastAsia="Arial" w:hAnsi="Arial"/>
          <w:sz w:val="17"/>
          <w:szCs w:val="17"/>
          <w:color w:val="auto"/>
        </w:rPr>
        <w:t>Each non-employee director is required to receive at least 50% of his or her retainer in equity,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shares or deferred stock or any combination thereof. The directors may also elect to receive any or all of the other 50% of his or her compensation in equity as described in this paragraph. Pursuant to the Company’s Fourth Amended and Restated Non-Employee Director Compensation Plan, effective December 31, 2018, a director may not sell any equity received under the plan while each director is still serving on the Board without the approval of the Board. We encourage our senior management to have meaningful ownership in our Company. However, given that management ownership is typically measured as a multiple of salary and our current low stock price, we do not currently have any required stock ownership guidelines for members of senior management.</w:t>
      </w:r>
    </w:p>
    <w:p>
      <w:pPr>
        <w:spacing w:after="0" w:line="63" w:lineRule="exact"/>
        <w:rPr>
          <w:rFonts w:ascii="Arial" w:cs="Arial" w:eastAsia="Arial" w:hAnsi="Arial"/>
          <w:sz w:val="17"/>
          <w:szCs w:val="17"/>
          <w:color w:val="auto"/>
        </w:rPr>
      </w:pPr>
    </w:p>
    <w:p>
      <w:pPr>
        <w:ind w:left="740" w:right="160" w:hanging="368"/>
        <w:spacing w:after="0" w:line="282"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COVID-19 Measures</w:t>
      </w:r>
      <w:r>
        <w:rPr>
          <w:rFonts w:ascii="Arial" w:cs="Arial" w:eastAsia="Arial" w:hAnsi="Arial"/>
          <w:sz w:val="18"/>
          <w:szCs w:val="18"/>
          <w:color w:val="auto"/>
        </w:rPr>
        <w:t>. Due to the impact of the COVID-19 pandemic, which included temporarily closing all of our stores on March 17, 2020,</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all of our independent directors elected to suspend their director compensation for the second quarter.</w:t>
      </w:r>
    </w:p>
    <w:p>
      <w:pPr>
        <w:spacing w:after="0" w:line="53" w:lineRule="exact"/>
        <w:rPr>
          <w:rFonts w:ascii="Arial" w:cs="Arial" w:eastAsia="Arial" w:hAnsi="Arial"/>
          <w:sz w:val="18"/>
          <w:szCs w:val="18"/>
          <w:color w:val="auto"/>
        </w:rPr>
      </w:pPr>
    </w:p>
    <w:p>
      <w:pPr>
        <w:ind w:left="740" w:right="300" w:hanging="368"/>
        <w:spacing w:after="0" w:line="266"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activities with Company securities, including short sales and any transaction involving a publicly traded option, such as a put, call or other derivative security.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 w:name="page10"/>
    <w:bookmarkEnd w:id="9"/>
    <w:p>
      <w:pPr>
        <w:ind w:left="740" w:hanging="368"/>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No Stockholder Rights Plan. </w:t>
      </w:r>
      <w:r>
        <w:rPr>
          <w:rFonts w:ascii="Arial" w:cs="Arial" w:eastAsia="Arial" w:hAnsi="Arial"/>
          <w:sz w:val="17"/>
          <w:szCs w:val="17"/>
          <w:color w:val="auto"/>
        </w:rPr>
        <w:t>We do not currently have a stockholder rights plan in effect and are not currently considering adopting one.</w:t>
      </w:r>
    </w:p>
    <w:p>
      <w:pPr>
        <w:spacing w:after="0" w:line="128" w:lineRule="exact"/>
        <w:rPr>
          <w:rFonts w:ascii="Arial" w:cs="Arial" w:eastAsia="Arial" w:hAnsi="Arial"/>
          <w:sz w:val="17"/>
          <w:szCs w:val="17"/>
          <w:color w:val="auto"/>
        </w:rPr>
      </w:pPr>
    </w:p>
    <w:p>
      <w:pPr>
        <w:ind w:left="740" w:right="80" w:hanging="368"/>
        <w:spacing w:after="0" w:line="282"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Vote Required for Merger or Business Combination</w:t>
      </w:r>
      <w:r>
        <w:rPr>
          <w:rFonts w:ascii="Arial" w:cs="Arial" w:eastAsia="Arial" w:hAnsi="Arial"/>
          <w:sz w:val="18"/>
          <w:szCs w:val="18"/>
          <w:color w:val="auto"/>
        </w:rPr>
        <w:t>. A majority vote of the outstanding shares entitled to vote is needed for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to approve a merger or business combination.</w:t>
      </w:r>
    </w:p>
    <w:p>
      <w:pPr>
        <w:spacing w:after="0" w:line="53" w:lineRule="exact"/>
        <w:rPr>
          <w:rFonts w:ascii="Arial" w:cs="Arial" w:eastAsia="Arial" w:hAnsi="Arial"/>
          <w:sz w:val="18"/>
          <w:szCs w:val="18"/>
          <w:color w:val="auto"/>
        </w:rPr>
      </w:pPr>
    </w:p>
    <w:p>
      <w:pPr>
        <w:ind w:left="740" w:hanging="368"/>
        <w:spacing w:after="0" w:line="303"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members of our senior management and our long-term incentive plans contain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that provide for remedies in the event we learn, after the senior executive is terminated by us other than for “justifiable cause,” that the senior executive could have been terminated for “justifiable cause.” Since August 2018, we have had an Executive Incentive Pay Clawback Policy (“Clawback Policy”) that permits the Company to recover incentive-based compensation (cash and/or equity) in certain circumstances.</w:t>
      </w:r>
    </w:p>
    <w:p>
      <w:pPr>
        <w:spacing w:after="0" w:line="42" w:lineRule="exact"/>
        <w:rPr>
          <w:rFonts w:ascii="Arial" w:cs="Arial" w:eastAsia="Arial" w:hAnsi="Arial"/>
          <w:sz w:val="16"/>
          <w:szCs w:val="16"/>
          <w:color w:val="auto"/>
        </w:rPr>
      </w:pPr>
    </w:p>
    <w:p>
      <w:pPr>
        <w:ind w:left="740" w:right="540" w:hanging="368"/>
        <w:spacing w:after="0" w:line="282"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Directors Overboarding Policy. </w:t>
      </w:r>
      <w:r>
        <w:rPr>
          <w:rFonts w:ascii="Arial" w:cs="Arial" w:eastAsia="Arial" w:hAnsi="Arial"/>
          <w:sz w:val="18"/>
          <w:szCs w:val="18"/>
          <w:color w:val="auto"/>
        </w:rPr>
        <w:t>No director can serve on more than five public company boards. In addition, no director who is a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can serve on more than one public company board besides that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Members of our Board and senior management regularly engage with our shareholders throughout the year and welcome their feedback on our practices and policies.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majority of the members of the Board are “independent” under the rules of the Nasdaq Global Select Market (“Nasdaq”). The Board has determined that the following current directors are independent: Messrs. Kyees, Boyle, Conacher, Mesdag, Mooney, Presser and Ross.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Board has four standing committees: the Nominating and Corporate Governance Committee, the Audit Committee, the Compensation Committee and the Cybersecurity and Data Privacy Committee. Each committee is comprised of directors who are “independent” under the rules of Nasdaq.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Arial" w:cs="Arial" w:eastAsia="Arial" w:hAnsi="Arial"/>
          <w:sz w:val="17"/>
          <w:szCs w:val="17"/>
          <w:i w:val="1"/>
          <w:iCs w:val="1"/>
          <w:color w:val="auto"/>
        </w:rPr>
        <w:t>https://investor.dxl.com</w:t>
      </w:r>
      <w:r>
        <w:rPr>
          <w:rFonts w:ascii="Arial" w:cs="Arial" w:eastAsia="Arial" w:hAnsi="Arial"/>
          <w:sz w:val="17"/>
          <w:szCs w:val="17"/>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Messrs. Presser and Boyle and Ms. Ross, each of whom is “independent” under the rules of Nasdaq. The Nominating Committee met five times during fiscal 2019.</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right="620"/>
        <w:spacing w:after="0" w:line="277" w:lineRule="auto"/>
        <w:rPr>
          <w:sz w:val="20"/>
          <w:szCs w:val="20"/>
          <w:color w:val="auto"/>
        </w:rPr>
      </w:pPr>
      <w:r>
        <w:rPr>
          <w:rFonts w:ascii="Arial" w:cs="Arial" w:eastAsia="Arial" w:hAnsi="Arial"/>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62"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17" w:lineRule="exact"/>
        <w:rPr>
          <w:rFonts w:ascii="Arial" w:cs="Arial" w:eastAsia="Arial" w:hAnsi="Arial"/>
          <w:sz w:val="18"/>
          <w:szCs w:val="18"/>
          <w:color w:val="auto"/>
        </w:rPr>
      </w:pPr>
    </w:p>
    <w:p>
      <w:pPr>
        <w:ind w:left="740" w:right="40" w:hanging="368"/>
        <w:spacing w:after="0" w:line="308"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8" w:lineRule="exact"/>
        <w:rPr>
          <w:rFonts w:ascii="Arial" w:cs="Arial" w:eastAsia="Arial" w:hAnsi="Arial"/>
          <w:sz w:val="17"/>
          <w:szCs w:val="17"/>
          <w:color w:val="auto"/>
        </w:rPr>
      </w:pPr>
    </w:p>
    <w:p>
      <w:pPr>
        <w:ind w:left="740" w:right="16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62" w:lineRule="exact"/>
        <w:rPr>
          <w:rFonts w:ascii="Arial" w:cs="Arial" w:eastAsia="Arial" w:hAnsi="Arial"/>
          <w:sz w:val="18"/>
          <w:szCs w:val="18"/>
          <w:color w:val="auto"/>
        </w:rPr>
      </w:pPr>
    </w:p>
    <w:p>
      <w:pPr>
        <w:ind w:left="740" w:right="240" w:hanging="368"/>
        <w:spacing w:after="0" w:line="263"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75"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current procedures to be followed by stockholders in submitting recommendations for director candidates can be found in Section 4.15 of our By-Laws.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 separately-designated standing Audit Committee established in accordance with section 3(a)(58)(A) of the Exchange Act. The Audit Committee is currently comprised of Messrs. Mooney, Conacher, Kyees and Mesdag. Each of the members of the Audit Committee is independent, as independence for Audit Committee members is defined under the rules of Nasdaq. Messrs. Mooney, Conacher, Kyees and Mesdag each qualifies as an audit committee financial expert under the rules of the SEC. With the retirement of Messrs. Mooney and Kyees, immediately following the Annual Meeting, the Board is expected to reduce the size of the audit committee to three directors and will add a new member and appoint a Chairperson of the committee.</w:t>
      </w:r>
    </w:p>
    <w:p>
      <w:pPr>
        <w:spacing w:after="0" w:line="1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2019, the Audit Committee met eight times.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the Audit Committee, see the “</w:t>
      </w:r>
      <w:r>
        <w:rPr>
          <w:rFonts w:ascii="Arial" w:cs="Arial" w:eastAsia="Arial" w:hAnsi="Arial"/>
          <w:sz w:val="17"/>
          <w:szCs w:val="17"/>
          <w:i w:val="1"/>
          <w:iCs w:val="1"/>
          <w:color w:val="auto"/>
        </w:rPr>
        <w:t>Report of the Audit Committee</w:t>
      </w:r>
      <w:r>
        <w:rPr>
          <w:rFonts w:ascii="Arial" w:cs="Arial" w:eastAsia="Arial" w:hAnsi="Arial"/>
          <w:sz w:val="17"/>
          <w:szCs w:val="17"/>
          <w:color w:val="auto"/>
        </w:rPr>
        <w:t>” included elsewhere in this Proxy Statement.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eight times during fiscal 2019. The current members of the Compensation Committee are Messrs. Mesdag, Conacher, Mooney and Presser, each of whom is “independent” under the rules of the Nasdaq. With the retirement of Mr. Mooney, the size of the Compensation Committee will be reduced to three members immediately after the Annual Meeting.</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Cybersecurity and Data Privacy Committee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Cybersecurity and Data Privacy Committee (the “Cybersecurity Committee”) oversees the monitoring and management of cyber risk and data privacy in the Company. The Cybersecurity Committee has the authority to retain independent advisors, with all fees and expenses to be paid by the Company. The current members of the Cybersecurity Committee are Messrs. Kyees and Boyle and Ms. Ross. The Cybersecurity Committee met four times during fiscal 2019.</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Cybersecurity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Board believes that the Company and its stockholders are best served by maintaining flexibility to have any director serve as Chairperson of the Board. Under our Corporate Governance Guidelines, if the Chairperson is not independent, the Board appoints an independent Lead Director.</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2019, the Board voted to implement an independent Chairperson and elected Mr. Kyees, who had previously served as independent Lead Director, and replaced Mr. Holtzman, who served as our Executive Chairman from August 2014 and as our Chairman since April 2000. With the retirement of Mr. Kyees from the Board at the Annual Meeting, the Board is expected to appoint a new independent Chairperson immediately following the Annual Meeting.</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Board delegates substantial responsibility to its committees, including as described below. We believe that the independent committees of our Board and their chairpersons are an important aspect of the leadership structure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Board, as a whole and through its committees, has responsibility for the oversight of enterprise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Corporate Social Responsibility</w:t>
      </w:r>
    </w:p>
    <w:p>
      <w:pPr>
        <w:spacing w:after="0" w:line="12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At DXL, Corporate Social Compliance and Responsibility has been a focus for many years. We recognize the importance of environmental, social and governance (ES&amp;G) issues and are diligently working to enhance and develop a platform that we can share with our stakeholders and consumers. Our board is directly involved in the oversight of these initiatives.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Capital Management</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associates are our greatest asset and we are committed to providing them a safe and healthy work environment. We are committed to inclusivity, acceptance, and equality. Since 2017, we have had a diversity and inclusion initiative called “Normalizing the Brand.” The program brings awareness to unconscious bias and focuses on ensuring the composition of our organization looks and feels like the world we live in and serve. We have policies and training in place with respect to anti-discrimination and anti-harassment, among others, and provide our associates with access to an anonymous hot-line for reporting any concerns.</w:t>
      </w:r>
    </w:p>
    <w:p>
      <w:pPr>
        <w:spacing w:after="0" w:line="188"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Each associate is required to sign a set of policies that include, among other policies, the code of ethics, anti-harassment and procedures for raising a complaint. Our policies also contain protection of human rights and prohibit, among other things, the use of child labor or forced, bonded or indentured labor. We aim to provide a healthy-work environment for our associates. Our corporate office is equipped with a gym and an on-site cafeteria.</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Perhaps most importantly, we promote professional and career development and mentorship programs. In 2014, our Associate Engagement &amp; Development Committee implemented the DXLG Mentor Program, which pairs up to 20 mentees with mentors for one-year periods. In April 2016, the DXL Women’s Leadership Group was formed with a mission of “Women supporting, educating and empowering each other @ DXLG”. It started as a pilot program and quickly expanded to now include 43 female leaders, all people managers, in the corporate office and field. In addition, for the past two years, we have presented Leadercast, a platform for leadership development content (held annually in May) and Leadercast Women (held annually in October) as a host site at our corporate headquarters.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Responsible Sourcing</w:t>
      </w:r>
    </w:p>
    <w:p>
      <w:pPr>
        <w:spacing w:after="0" w:line="11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We expect our values and principles to be maintained throughout our business, including our supply chain. Our Vendor Code of Conduct defines our expectations of our suppliers, and all of our suppliers are required to agree to this code of conduct to do business with us.</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With the addition of our Wholesale Business and the increase in demand on our supply chain, in fiscal 2019 we became a member of Sedex Global, a leading ethical trade service provider, to increase our social, environmental and ethical sustainability. In fiscal 2019, we started to participate in the Sedex Ethical Trade Audit, which evaluates suppliers against a common set of Corporate Social Responsibility standards and, by the end of fiscal 2020, we expect the majority of our suppliers to have completed the audit. In addition, we are requiring our vendors to move from a “Pillar 2” audit to a “Pillar 4” level audit. Pillar 4 audits add more extensive environmental management and business practice requirements to the existing audit.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Involvement</w:t>
      </w:r>
    </w:p>
    <w:p>
      <w:pPr>
        <w:spacing w:after="0" w:line="11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 xml:space="preserve">Community engagement is a key part of our culture. Since 2005, we have been a partner with St. Jude and have raised over $13 million through their </w:t>
      </w:r>
      <w:r>
        <w:rPr>
          <w:rFonts w:ascii="Arial" w:cs="Arial" w:eastAsia="Arial" w:hAnsi="Arial"/>
          <w:sz w:val="17"/>
          <w:szCs w:val="17"/>
          <w:i w:val="1"/>
          <w:iCs w:val="1"/>
          <w:color w:val="auto"/>
        </w:rPr>
        <w:t xml:space="preserve">Thanks and Giving </w:t>
      </w:r>
      <w:r>
        <w:rPr>
          <w:rFonts w:ascii="Arial" w:cs="Arial" w:eastAsia="Arial" w:hAnsi="Arial"/>
          <w:sz w:val="17"/>
          <w:szCs w:val="17"/>
          <w:color w:val="auto"/>
        </w:rPr>
        <w:t>program, the St. Jude Walk/Run to End Childhood Cancer as well as other campaigns that run throughout the year. We consistently</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the families of St. Jude year-round as we help St. Jude fund the “Light Microscopy Center presented by DXL”, a shared resource lab on the St. Jude campus that allows doctors and researchers to study cells within an extremely close view.</w:t>
      </w:r>
    </w:p>
    <w:p>
      <w:pPr>
        <w:spacing w:after="0" w:line="17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Our Workplace Environment and Community Outreach Committee administers our Volunteer Service Program and sponsors the events throughout the year, such as, clothing drives, food drives, electronics recycling event, Earth Day event. For the past 20 years, we have supported a local center for the prevention of child abuse and neglect by running an annual holiday toy drive.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Every year, we offer paid internships in our corporate office to college students providing them relevant work experience in their chosen career paths.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Unfortunately, due to the COVID-19 pandemic, we had to suspend this program for the summer of 2020 but look forward to offering it again in 2021.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Environment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seek to minimize the impact on the environment by reducing the waste we produce in connection with the manufacture, distribution and sale of our products to our customers. We also look for ways in which our stores and our corporate office can operate in a more environmentally friendly way. In fiscal 2019, we completed the conversion of all lighting in our corporate headquarters and distribution center to dimmable LED fixtures. We recycle metal, plastic and white paper and approximately 95% of our corrugated material is recycled as well. Miscellaneous trash is hauled to a “trash to energy” plant located near our corporate office. As we replace aging HVAC or other motor-driven equipment, such as conveyors, we install energy-efficient equipment, equipped with variable frequency drives.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two largest freight providers have implemented proactive environmental policy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060"/>
        <w:spacing w:after="0" w:line="308" w:lineRule="auto"/>
        <w:rPr>
          <w:sz w:val="20"/>
          <w:szCs w:val="20"/>
          <w:color w:val="auto"/>
        </w:rPr>
      </w:pPr>
      <w:r>
        <w:rPr>
          <w:rFonts w:ascii="Arial" w:cs="Arial" w:eastAsia="Arial" w:hAnsi="Arial"/>
          <w:sz w:val="17"/>
          <w:szCs w:val="17"/>
          <w:color w:val="auto"/>
        </w:rPr>
        <w:t>The Board has adopted Corporate Governance Guidelines, which set forth our governance principles relating to, among other things, director independence, director qualifications and responsibilities, board structure and meetings, and management succession.</w:t>
      </w:r>
    </w:p>
    <w:p>
      <w:pPr>
        <w:spacing w:after="0" w:line="14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A copy of the Governance Guidelines can be found under “Corporate Governance –Charters &amp; Policies” on the Investor Relations page of our corporate website, which is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None of the members of the Compensation Committee who served on the Compensation Committee during fiscal 2019 was at any time during fiscal 2019 or at any other time an officer or employee of our Company. During fiscal 2019, none of our executive officers served as a member of the board of directors or compensation committee of any other entity that had one or more executive officers serving as a member of our Board or Compensation Committee.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Compensation Committee is responsible for reviewing and making recommendations to our Board with respect to the compensation paid to our non-employee directors. Pursuant to the Company’s Fourth Amended and Restated Non-Employee Director Compensation Plan (the “Non-Employee Director Compensation Plan”), non-employee directors are compensated as follows:</w:t>
      </w:r>
    </w:p>
    <w:p>
      <w:pPr>
        <w:spacing w:after="0" w:line="76"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independent director receives a quarterly retainer of $30,000;</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Chairperson of the Board or Lead Director, as applicable, will receive a quarterly retainer of $5,000;</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 quarterly retainer of $2,500;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Chairperson of each other Board committee will receive a quarterly retainer of $1,250.</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Directors will be required to hold equity until their termination from board service, unless an extenuating circumstance exists and the Board, in its sole discretion, approves the sale of such equity.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Non-Employee Director Compensation Plan. There are 500,000 shares authorized for issuance under this plan for the sole purpose of satisfying elections to receive shares of common stock in lieu of cash for service as a director, of which 187,897 shares remain available for future issuances at February 1, 2020.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Each non-employee director is required to receive 50% of his or her annual retainer in equity, in the form of stock options, stock or deferred</w:t>
      </w:r>
    </w:p>
    <w:p>
      <w:pPr>
        <w:spacing w:after="0" w:line="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shares. Because the Non-Employee Director Compensation Plan is not a shareholder-approved plan and the acquisition of equity must be voluntary under Nasdaq rules, we cannot utilize shares under this plan to satisfy this mandated election. Therefore, in fiscal 2019 any grants of equity to satisfy this required election were issued from the 2016 Plan. Any voluntary election of shares, above this 50% retainer requirement, was issued from the Non-Employee Director Compensation Plan. Stock options and deferred shares were issued from the 2016 Plan.</w:t>
      </w:r>
    </w:p>
    <w:p>
      <w:pPr>
        <w:spacing w:after="0" w:line="17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connection with the COVID-19 pandemic, in March 2020, all non-employee directors agreed temporarily to suspend all compensation for the second quarter of fiscal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table sets forth the compensation paid to our directors during fiscal 2019. Harvey S. Kanter is not included in the following table as he is a Named Executive Officer and, accordingly, received no compensation for his services as a director. Compensation earned by Mr. Kanter is included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DIRECTOR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Fees Earned or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36"/>
              <w:spacing w:after="0"/>
              <w:rPr>
                <w:sz w:val="20"/>
                <w:szCs w:val="20"/>
                <w:color w:val="auto"/>
              </w:rPr>
            </w:pPr>
            <w:r>
              <w:rPr>
                <w:rFonts w:ascii="Arial" w:cs="Arial" w:eastAsia="Arial" w:hAnsi="Arial"/>
                <w:sz w:val="13"/>
                <w:szCs w:val="13"/>
                <w:b w:val="1"/>
                <w:bCs w:val="1"/>
                <w:color w:val="auto"/>
                <w:w w:val="90"/>
              </w:rPr>
              <w:t>Stock</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center"/>
              <w:ind w:right="76"/>
              <w:spacing w:after="0"/>
              <w:rPr>
                <w:sz w:val="20"/>
                <w:szCs w:val="20"/>
                <w:color w:val="auto"/>
              </w:rPr>
            </w:pPr>
            <w:r>
              <w:rPr>
                <w:rFonts w:ascii="Arial" w:cs="Arial" w:eastAsia="Arial" w:hAnsi="Arial"/>
                <w:sz w:val="13"/>
                <w:szCs w:val="13"/>
                <w:b w:val="1"/>
                <w:bCs w:val="1"/>
                <w:color w:val="auto"/>
                <w:w w:val="95"/>
              </w:rPr>
              <w:t>Option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36"/>
              <w:spacing w:after="0"/>
              <w:rPr>
                <w:sz w:val="20"/>
                <w:szCs w:val="20"/>
                <w:color w:val="auto"/>
              </w:rPr>
            </w:pPr>
            <w:r>
              <w:rPr>
                <w:rFonts w:ascii="Arial" w:cs="Arial" w:eastAsia="Arial" w:hAnsi="Arial"/>
                <w:sz w:val="13"/>
                <w:szCs w:val="13"/>
                <w:b w:val="1"/>
                <w:bCs w:val="1"/>
                <w:color w:val="auto"/>
                <w:w w:val="98"/>
              </w:rPr>
              <w:t>All Other</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4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Paid in Cash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36"/>
              <w:spacing w:after="0"/>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76"/>
              <w:spacing w:after="0"/>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6"/>
              <w:spacing w:after="0"/>
              <w:rPr>
                <w:sz w:val="20"/>
                <w:szCs w:val="20"/>
                <w:color w:val="auto"/>
              </w:rPr>
            </w:pPr>
            <w:r>
              <w:rPr>
                <w:rFonts w:ascii="Arial" w:cs="Arial" w:eastAsia="Arial" w:hAnsi="Arial"/>
                <w:sz w:val="13"/>
                <w:szCs w:val="13"/>
                <w:b w:val="1"/>
                <w:bCs w:val="1"/>
                <w:color w:val="auto"/>
                <w:w w:val="92"/>
              </w:rPr>
              <w:t>Compensation</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3"/>
                <w:szCs w:val="13"/>
                <w:b w:val="1"/>
                <w:bCs w:val="1"/>
                <w:color w:val="auto"/>
              </w:rPr>
              <w:t>Total</w:t>
            </w:r>
          </w:p>
        </w:tc>
      </w:tr>
      <w:tr>
        <w:trPr>
          <w:trHeight w:val="161"/>
        </w:trPr>
        <w:tc>
          <w:tcPr>
            <w:tcW w:w="47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313"/>
              <w:spacing w:after="0"/>
              <w:rPr>
                <w:sz w:val="20"/>
                <w:szCs w:val="20"/>
                <w:color w:val="auto"/>
              </w:rPr>
            </w:pPr>
            <w:r>
              <w:rPr>
                <w:rFonts w:ascii="Arial" w:cs="Arial" w:eastAsia="Arial" w:hAnsi="Arial"/>
                <w:sz w:val="13"/>
                <w:szCs w:val="13"/>
                <w:b w:val="1"/>
                <w:bCs w:val="1"/>
                <w:color w:val="auto"/>
                <w:w w:val="88"/>
              </w:rPr>
              <w:t>)(1)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136"/>
              <w:spacing w:after="0"/>
              <w:rPr>
                <w:sz w:val="20"/>
                <w:szCs w:val="20"/>
                <w:color w:val="auto"/>
              </w:rPr>
            </w:pPr>
            <w:r>
              <w:rPr>
                <w:rFonts w:ascii="Arial" w:cs="Arial" w:eastAsia="Arial" w:hAnsi="Arial"/>
                <w:sz w:val="13"/>
                <w:szCs w:val="13"/>
                <w:b w:val="1"/>
                <w:bCs w:val="1"/>
                <w:color w:val="auto"/>
              </w:rPr>
              <w:t>($)(2)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6"/>
              <w:spacing w:after="0"/>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6"/>
              <w:spacing w:after="0"/>
              <w:rPr>
                <w:sz w:val="20"/>
                <w:szCs w:val="20"/>
                <w:color w:val="auto"/>
              </w:rPr>
            </w:pPr>
            <w:r>
              <w:rPr>
                <w:rFonts w:ascii="Arial" w:cs="Arial" w:eastAsia="Arial" w:hAnsi="Arial"/>
                <w:sz w:val="13"/>
                <w:szCs w:val="13"/>
                <w:b w:val="1"/>
                <w:bCs w:val="1"/>
                <w:color w:val="auto"/>
              </w:rPr>
              <w:t>($)(4)</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75"/>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r>
      <w:tr>
        <w:trPr>
          <w:trHeight w:val="223"/>
        </w:trPr>
        <w:tc>
          <w:tcPr>
            <w:tcW w:w="4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 Kyees, Chairman</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72,491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Jack Boyle</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59,997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119,997</w:t>
            </w:r>
          </w:p>
        </w:tc>
        <w:tc>
          <w:tcPr>
            <w:tcW w:w="120" w:type="dxa"/>
            <w:vAlign w:val="bottom"/>
          </w:tcPr>
          <w:p>
            <w:pPr>
              <w:spacing w:after="0"/>
              <w:rPr>
                <w:sz w:val="19"/>
                <w:szCs w:val="19"/>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Lionel F. Conacher</w:t>
            </w:r>
          </w:p>
        </w:tc>
        <w:tc>
          <w:tcPr>
            <w:tcW w:w="6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59,997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119,997</w:t>
            </w:r>
          </w:p>
        </w:tc>
        <w:tc>
          <w:tcPr>
            <w:tcW w:w="12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Seymour Holtzman, former Executive Chairman</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200,000</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Willem Mesdag</w:t>
            </w:r>
          </w:p>
        </w:tc>
        <w:tc>
          <w:tcPr>
            <w:tcW w:w="6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124,992</w:t>
            </w:r>
          </w:p>
        </w:tc>
        <w:tc>
          <w:tcPr>
            <w:tcW w:w="120" w:type="dxa"/>
            <w:vAlign w:val="bottom"/>
            <w:shd w:val="clear" w:color="auto" w:fill="CFF0FC"/>
          </w:tcPr>
          <w:p>
            <w:pPr>
              <w:spacing w:after="0"/>
              <w:rPr>
                <w:sz w:val="19"/>
                <w:szCs w:val="19"/>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Ward K. Mooney</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65,000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64,993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129,993</w:t>
            </w:r>
          </w:p>
        </w:tc>
        <w:tc>
          <w:tcPr>
            <w:tcW w:w="120" w:type="dxa"/>
            <w:vAlign w:val="bottom"/>
          </w:tcPr>
          <w:p>
            <w:pPr>
              <w:spacing w:after="0"/>
              <w:rPr>
                <w:sz w:val="19"/>
                <w:szCs w:val="19"/>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Mitchell S. Presser</w:t>
            </w:r>
          </w:p>
        </w:tc>
        <w:tc>
          <w:tcPr>
            <w:tcW w:w="640" w:type="dxa"/>
            <w:vAlign w:val="bottom"/>
            <w:gridSpan w:val="2"/>
            <w:shd w:val="clear" w:color="auto" w:fill="CFF0FC"/>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124,992</w:t>
            </w:r>
          </w:p>
        </w:tc>
        <w:tc>
          <w:tcPr>
            <w:tcW w:w="120" w:type="dxa"/>
            <w:vAlign w:val="bottom"/>
            <w:shd w:val="clear" w:color="auto" w:fill="CFF0FC"/>
          </w:tcPr>
          <w:p>
            <w:pPr>
              <w:spacing w:after="0"/>
              <w:rPr>
                <w:sz w:val="19"/>
                <w:szCs w:val="19"/>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Ivy Ross</w:t>
            </w:r>
          </w:p>
        </w:tc>
        <w:tc>
          <w:tcPr>
            <w:tcW w:w="64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61,250</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59,997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121,247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ind w:left="740" w:right="80" w:hanging="368"/>
        <w:spacing w:after="0" w:line="290" w:lineRule="auto"/>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non-employee directors are required to receive at least 50% of their annual retainer in the form of equity. For fiscal 2019, Mr. Presser elected to receive all compensation, including his retainer and chair fees, in unrestricted shares of our common stock and Mr. Mesdag elected to receive all compensation, including his retainer and chair fees, in deferred stock. Mr. Kyees elected to receive his compensation, including his retainer, Chairman of the Board and chair fees, in a combination of 50% deferred stock and 50% cash. Messrs. Boyle, Conacher, Mooney and Ms. Ross elected to receive 50% of their retainer in unrestricted shares of our common stock and 50% in cash. With respect to chairperson fees, Ms. Ross elected cash and Mr. Mooney elected a combination of 50% cash and 50% unrestricted shares. The number of shares issued as payment for an earned director fee is determined by taking the director fee earned and dividing by the consolidated closing price of our common stock on the grant date. Payments are made at the beginning of each quarter, with the grant date being the first business day of each respective quarter.</w:t>
      </w:r>
    </w:p>
    <w:p>
      <w:pPr>
        <w:spacing w:after="0" w:line="57" w:lineRule="exact"/>
        <w:rPr>
          <w:rFonts w:ascii="Arial" w:cs="Arial" w:eastAsia="Arial" w:hAnsi="Arial"/>
          <w:sz w:val="16"/>
          <w:szCs w:val="16"/>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portion of each director’s compensation that was paid in the form of equity.</w:t>
      </w:r>
    </w:p>
    <w:p>
      <w:pPr>
        <w:spacing w:after="0" w:line="117" w:lineRule="exact"/>
        <w:rPr>
          <w:rFonts w:ascii="Arial" w:cs="Arial" w:eastAsia="Arial" w:hAnsi="Arial"/>
          <w:sz w:val="18"/>
          <w:szCs w:val="18"/>
          <w:color w:val="auto"/>
        </w:rPr>
      </w:pPr>
    </w:p>
    <w:p>
      <w:pPr>
        <w:ind w:left="740" w:right="140" w:hanging="368"/>
        <w:spacing w:after="0" w:line="308"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There were no stock option grants to any of the directors in fiscal 2019. Each director had the following number of stock options outstanding at February 1, 2020: Mr. Kyees: 43,648; Mr. Boyle: 15,000; Mr. Conacher: 15,000; Mr. Mesdag: 15,000; Ms. Ross: 15,000.</w:t>
      </w:r>
    </w:p>
    <w:p>
      <w:pPr>
        <w:spacing w:after="0" w:line="38" w:lineRule="exact"/>
        <w:rPr>
          <w:rFonts w:ascii="Arial" w:cs="Arial" w:eastAsia="Arial" w:hAnsi="Arial"/>
          <w:sz w:val="17"/>
          <w:szCs w:val="17"/>
          <w:color w:val="auto"/>
        </w:rPr>
      </w:pPr>
    </w:p>
    <w:p>
      <w:pPr>
        <w:ind w:left="740" w:right="30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the Employment and Chairman Compensation Agreement. See “</w:t>
      </w:r>
      <w:r>
        <w:rPr>
          <w:rFonts w:ascii="Arial" w:cs="Arial" w:eastAsia="Arial" w:hAnsi="Arial"/>
          <w:sz w:val="18"/>
          <w:szCs w:val="18"/>
          <w:i w:val="1"/>
          <w:iCs w:val="1"/>
          <w:color w:val="auto"/>
        </w:rPr>
        <w:t>Former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Chairman Compensation</w:t>
      </w:r>
      <w:r>
        <w:rPr>
          <w:rFonts w:ascii="Arial" w:cs="Arial" w:eastAsia="Arial" w:hAnsi="Arial"/>
          <w:sz w:val="18"/>
          <w:szCs w:val="18"/>
          <w:color w:val="auto"/>
        </w:rPr>
        <w:t>” below for additional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Former Executive Chairman Compensation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August 7, 2014, Mr. Holtzman has been compensated for his services pursuant to an Employment and Chairman Compensation Agreement (“Compensation Agreement”). Pursuant to that agreement, Mr. Holtzman has served as both an employee of the Company, reporting to the Board, and as Executive Chairman, with the duties of the Chairperson of the Board set forth in the Company’s Fourth Amended and Restated By-Laws. The initial term of the agreement was for two years and was automatically extended for additional one-year terms.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Pursuant to the agreement, initially Mr. Holtzman was entitled to receive an annual base salary of $24,000 for his employment services and an annual compensation of $372,750 for his services as Executive Chairman. The agreement was amended on May 25, 2017 to reduce his Executive Chairman compensation to $200,000. On August 9, 2018, the agreement was further amended to reduce his Executive Chairman compensation to $176,000 and to provide written notification to Mr. Holtzman that the Company would not be extending the term of the agreement and, as a result, the agreement will terminate on August 7, 2020.</w:t>
      </w:r>
    </w:p>
    <w:p>
      <w:pPr>
        <w:spacing w:after="0" w:line="18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On January 24, 2019, the Board voted to adopt an independent Board chairperson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14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2019.</w:t>
      </w: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Chief Executive Officer (“CEO”), our Chief Financial Officer (“CFO”) and other current and former executive officers who served in fiscal 2019 (collectively,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2019 were:</w:t>
      </w:r>
    </w:p>
    <w:p>
      <w:pPr>
        <w:spacing w:after="0" w:line="131" w:lineRule="exact"/>
        <w:rPr>
          <w:sz w:val="20"/>
          <w:szCs w:val="20"/>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Harvey S. Kanter, President, CEO and Director</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David A. Levin, former Acting CEO</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Peter H. Stratton, Jr., Executive Vice President, CFO and Treasurer</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Robert S. Molloy, Chief Administrative Officer, General Counsel and Secretary</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Francis C. Chane, Senior Vice President, Supply Chain and Customer Fulfillment</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Anthony J. Gaeta, Senior Vice President of Store Sales and Operations</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Brian S. Reaves, former Executive Vice President and Chief Operating Officer</w:t>
      </w:r>
    </w:p>
    <w:p>
      <w:pPr>
        <w:spacing w:after="0" w:line="117" w:lineRule="exact"/>
        <w:rPr>
          <w:rFonts w:ascii="MS PGothic" w:cs="MS PGothic" w:eastAsia="MS PGothic" w:hAnsi="MS PGothic"/>
          <w:sz w:val="18"/>
          <w:szCs w:val="18"/>
          <w:color w:val="auto"/>
        </w:rPr>
      </w:pPr>
    </w:p>
    <w:p>
      <w:pPr>
        <w:ind w:left="1120" w:hanging="370"/>
        <w:spacing w:after="0"/>
        <w:tabs>
          <w:tab w:leader="none" w:pos="112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James S. Davey, former Executive Vice President and Chief Marketing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Changes in 2019</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CEO was initially hired on February 19, 2019 in a transition role as Advisor to the Acting CEO, and was appointed President, CEO and a director of the Company on April 1, 2019. Prior to Mr. Kanter’s appointment, Mr. Levin served as Acting CEO from January 1, 2019 until April 1, 2019. See “</w:t>
      </w:r>
      <w:r>
        <w:rPr>
          <w:rFonts w:ascii="Arial" w:cs="Arial" w:eastAsia="Arial" w:hAnsi="Arial"/>
          <w:sz w:val="16"/>
          <w:szCs w:val="16"/>
          <w:i w:val="1"/>
          <w:iCs w:val="1"/>
          <w:color w:val="auto"/>
        </w:rPr>
        <w:t>Employment Agreements</w:t>
      </w:r>
      <w:r>
        <w:rPr>
          <w:rFonts w:ascii="Arial" w:cs="Arial" w:eastAsia="Arial" w:hAnsi="Arial"/>
          <w:sz w:val="16"/>
          <w:szCs w:val="16"/>
          <w:color w:val="auto"/>
        </w:rPr>
        <w:t>” below for discussion regarding Mr. Kanter’s employment agreement and the terms of Mr. Levin’s service as Acting CEO.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COVID-19 Update</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this CD&amp;A discussion primarily relates to compensation paid to our executives during fiscal 2019, the COVID-19 pandemic has impacted recent decision-making by the Compensation Committee. As part of our commitment to cost containment in mitigation of the COVID-19 pandemic impact on our business, in April 2020, Messrs. Kanter, Stratton, Molloy, Chane and Gaeta each took a temporary 20% reduction in their respective base salaries. Each of the other members of the management team, down to the director level, took a temporary reduction in their base salaries ranging from 10% to 20%. The Compensation Committee approved the payout of awards in March 2020 for amounts earned under the 2019 AIP. Because of the COVID-19 pandemic, the closure of all of our stores on March 17, 2020 and the uncertainty regarding the recovery period, the Compensation Committee has not yet established an AIP for fiscal 2020. The Compensation Committee has not made any adjustments to any existing targets under the 2018-2020 LTIP or 2019-2021 LTIP.</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June 2020, the Compensation Committee approved the 2020-2022 LTIP and granted time-based compensation in a combination of 50% cash and 50% stock options, to be earned through April 1, 2024. Given the continued uncertainty regarding the COVID-19 pandemic and the short-term and long-term impact it may have on consumer spending, the Compensation Committee established one performance metric for the 2020-2022 LTIP: “Three-Year Relative Total Shareholder Return” as compared to the Company’s 2020 proxy peer group as discussed below. The Compensation Committee believes this performance metric, which is consistent with our 2018-2020 LTIP, and the issuance of stock options under the time-based portion of the 2020-2022 LTIP, appropriately aligns management with the interests of our stockholders. The Compensation Committee also granted Mr. Kanter a stock option to purchase up to 450,000 shares of common stock, at an exercise price of $0.64 per share, which will vest in three equal installments, with the first tranche vesting on June 10, 2021, the second tranche on April 1, 2022 and remaining tranche on April 1, 2023. In approving the award, the Compensation Committee, in consultation with Segal Consulting, determined that it was important to preserve continuity of leadership through the COVID-19 pandemic and the uncertain recovery period, and accordingly to provide Mr. Kanter with a long-term equity incentive that aligns his interests with those of our stockholders. The Compensation Committee will continue to evaluate the impact of COVID-19 in relation to the financial performance of the Company and therefore on executive compensation, during this unprecedented time.</w:t>
      </w:r>
    </w:p>
    <w:p>
      <w:pPr>
        <w:spacing w:after="0" w:line="1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in March 2020, the non-employee directors suspended their compensation for the second quarter of fiscal 2020. The Board of Directors met telephonically with management on a weekly basis as we continued to navigate through this pandemic. As of June, these meetings have transitioned to bi-weekly.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u w:val="single" w:color="auto"/>
          <w:color w:val="auto"/>
        </w:rPr>
        <w:t>Fiscal 2019 Financial Highlights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Fiscal 2019 was a year of significant transformation for the Company. The Company realigned its management team and exited an unprofitable line of business with the closure of the Company’s Rochester division. The Company also completed its first full year with our new wholesale business, invested in new CRM and data analytics capabilities, and converted 14 Casual Male stores to the DXL format.</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Company’s performance in fiscal 2019 resulted in an improved balance sheet, with reduced inventory and a reduction in our total debt. Total sales for fiscal 2019 increased slightly to $474.0 million, principally driven by the growth from the Company’s wholesale business. Our retail segment had a comparable sales increase of 0.1%, driven primarily by the growth in our direct business, and offset by a decrease in store sales from a decline in traffic as well as from the closing of our Rochester Clothing stores.</w:t>
      </w:r>
    </w:p>
    <w:p>
      <w:pPr>
        <w:spacing w:after="0" w:line="18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Although our total sales from our retail segment were less than expected during fiscal 2019, we effectively managed our gross margin and reduced our selling, general and administrative (SG&amp;A) expenses, which contributed to our improved operating results. Our net loss for fiscal 2019 was $(0.16) per diluted share as compared to a net loss of $(0.28) per diluted share in fiscal 2018. Adjusted EBITDA, which is defined as earnings before interest, taxes, depreciation and amortization, impairment charges, exit costs associated with London operations, CEO transition costs and corporate restructuring, was $23.5 million in fiscal 2019 as compared to $27.4 million in fiscal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-Non-GAAP Financial Measure” for a reconciliation of adjusted EBITDA to its GAAP measure.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2019 Executive Compensation Highlights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the compensation earned by our Named Executive Officers in fiscal 2019 is aligned with the performance of the Company, and reflects that, although there was improvement in the financial results of the Company, overall results for the year were below expectations. As a result, total compensation earned by our Named Executive Officers in fiscal 2019 decreased when compared to fiscal 2018. The decrease in compensation reflects a reduced payout under the Company’s 2019 AIP and a shift in the time-based compensation under the 2019-2021 LTIP from 100% equity to a combination of 50% equity and 50% cash. In addition, because of the switch in fiscal 2018 from a two-year LTIP to a three-year LTIP, there was no opportunity in fiscal 2019 to receive any performance-based LTIP payouts.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total compensation earned for those Named Executive Officers who were serving at the end of fiscal 2019 as compared to fiscal 2018, as applicable: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0"/>
              </w:rPr>
              <w:t xml:space="preserve">Total Compensation </w:t>
            </w:r>
            <w:r>
              <w:rPr>
                <w:rFonts w:ascii="Arial" w:cs="Arial" w:eastAsia="Arial" w:hAnsi="Arial"/>
                <w:sz w:val="15"/>
                <w:szCs w:val="15"/>
                <w:b w:val="1"/>
                <w:bCs w:val="1"/>
                <w:color w:val="auto"/>
                <w:w w:val="90"/>
              </w:rPr>
              <w:t>(1)</w:t>
            </w:r>
          </w:p>
        </w:tc>
        <w:tc>
          <w:tcPr>
            <w:tcW w:w="11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780"/>
              <w:spacing w:after="0"/>
              <w:rPr>
                <w:sz w:val="20"/>
                <w:szCs w:val="20"/>
                <w:color w:val="auto"/>
              </w:rPr>
            </w:pPr>
            <w:r>
              <w:rPr>
                <w:rFonts w:ascii="Arial" w:cs="Arial" w:eastAsia="Arial" w:hAnsi="Arial"/>
                <w:sz w:val="18"/>
                <w:szCs w:val="18"/>
                <w:b w:val="1"/>
                <w:bCs w:val="1"/>
                <w:color w:val="auto"/>
                <w:w w:val="95"/>
              </w:rPr>
              <w:t xml:space="preserve">Total Realized Pay </w:t>
            </w:r>
            <w:r>
              <w:rPr>
                <w:rFonts w:ascii="Arial" w:cs="Arial" w:eastAsia="Arial" w:hAnsi="Arial"/>
                <w:sz w:val="15"/>
                <w:szCs w:val="15"/>
                <w:b w:val="1"/>
                <w:bCs w:val="1"/>
                <w:color w:val="auto"/>
                <w:w w:val="95"/>
              </w:rPr>
              <w:t>(2)</w:t>
            </w:r>
          </w:p>
        </w:tc>
        <w:tc>
          <w:tcPr>
            <w:tcW w:w="9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32"/>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Fiscal 2019</w:t>
            </w:r>
          </w:p>
        </w:tc>
        <w:tc>
          <w:tcPr>
            <w:tcW w:w="100" w:type="dxa"/>
            <w:vAlign w:val="bottom"/>
          </w:tcPr>
          <w:p>
            <w:pPr>
              <w:spacing w:after="0"/>
              <w:rPr>
                <w:sz w:val="20"/>
                <w:szCs w:val="20"/>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Fiscal 2018 </w:t>
            </w:r>
            <w:r>
              <w:rPr>
                <w:rFonts w:ascii="Arial" w:cs="Arial" w:eastAsia="Arial" w:hAnsi="Arial"/>
                <w:sz w:val="15"/>
                <w:szCs w:val="15"/>
                <w:b w:val="1"/>
                <w:bCs w:val="1"/>
                <w:color w:val="auto"/>
              </w:rPr>
              <w:t>(3)</w:t>
            </w: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2019</w:t>
            </w:r>
          </w:p>
        </w:tc>
        <w:tc>
          <w:tcPr>
            <w:tcW w:w="1360" w:type="dxa"/>
            <w:vAlign w:val="bottom"/>
            <w:gridSpan w:val="3"/>
          </w:tcPr>
          <w:p>
            <w:pPr>
              <w:ind w:left="60"/>
              <w:spacing w:after="0"/>
              <w:rPr>
                <w:sz w:val="20"/>
                <w:szCs w:val="20"/>
                <w:color w:val="auto"/>
              </w:rPr>
            </w:pPr>
            <w:r>
              <w:rPr>
                <w:rFonts w:ascii="Arial" w:cs="Arial" w:eastAsia="Arial" w:hAnsi="Arial"/>
                <w:sz w:val="18"/>
                <w:szCs w:val="18"/>
                <w:b w:val="1"/>
                <w:bCs w:val="1"/>
                <w:color w:val="auto"/>
              </w:rPr>
              <w:t xml:space="preserve">Fiscal 2018 </w:t>
            </w:r>
            <w:r>
              <w:rPr>
                <w:rFonts w:ascii="Arial" w:cs="Arial" w:eastAsia="Arial" w:hAnsi="Arial"/>
                <w:sz w:val="15"/>
                <w:szCs w:val="15"/>
                <w:b w:val="1"/>
                <w:bCs w:val="1"/>
                <w:color w:val="auto"/>
              </w:rPr>
              <w:t>(3)</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380" w:type="dxa"/>
            <w:vAlign w:val="bottom"/>
          </w:tcPr>
          <w:p>
            <w:pPr>
              <w:spacing w:after="0"/>
              <w:rPr>
                <w:sz w:val="20"/>
                <w:szCs w:val="20"/>
                <w:color w:val="auto"/>
              </w:rPr>
            </w:pPr>
          </w:p>
        </w:tc>
      </w:tr>
      <w:tr>
        <w:trPr>
          <w:trHeight w:val="227"/>
        </w:trPr>
        <w:tc>
          <w:tcPr>
            <w:tcW w:w="2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3,164,067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1,222,093</w:t>
            </w:r>
          </w:p>
        </w:tc>
        <w:tc>
          <w:tcPr>
            <w:tcW w:w="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588,245</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821,669</w:t>
            </w: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639,910</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728,432</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533,245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711,069</w:t>
            </w: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583,951</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622,366</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(6.2)%</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Francis C. Chane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419,423</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452,612</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r>
      <w:tr>
        <w:trPr>
          <w:trHeight w:val="230"/>
        </w:trPr>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Gaeta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408,405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433,128</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740" w:right="40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compensation reflects amounts as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which for Mr. Kanter includes the fair value of $1.6 million for one-time, sign-on awards granted in connection with his hiring.</w:t>
      </w:r>
    </w:p>
    <w:p>
      <w:pPr>
        <w:spacing w:after="0" w:line="62" w:lineRule="exact"/>
        <w:rPr>
          <w:rFonts w:ascii="Arial" w:cs="Arial" w:eastAsia="Arial" w:hAnsi="Arial"/>
          <w:sz w:val="18"/>
          <w:szCs w:val="18"/>
          <w:color w:val="auto"/>
        </w:rPr>
      </w:pPr>
    </w:p>
    <w:p>
      <w:pPr>
        <w:ind w:left="740" w:right="520" w:hanging="368"/>
        <w:spacing w:after="0" w:line="279"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Total realized pay is calculated as total compensation per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minus the value of equity awards granted, as reported in the “</w:t>
      </w:r>
      <w:r>
        <w:rPr>
          <w:rFonts w:ascii="Arial" w:cs="Arial" w:eastAsia="Arial" w:hAnsi="Arial"/>
          <w:sz w:val="17"/>
          <w:szCs w:val="17"/>
          <w:i w:val="1"/>
          <w:iCs w:val="1"/>
          <w:color w:val="auto"/>
        </w:rPr>
        <w:t>Stock Awards</w:t>
      </w:r>
      <w:r>
        <w:rPr>
          <w:rFonts w:ascii="Arial" w:cs="Arial" w:eastAsia="Arial" w:hAnsi="Arial"/>
          <w:sz w:val="17"/>
          <w:szCs w:val="17"/>
          <w:color w:val="auto"/>
        </w:rPr>
        <w:t>” column of that table, plus the value of any options exercised or stock awards that vested, as reflected in the “</w:t>
      </w:r>
      <w:r>
        <w:rPr>
          <w:rFonts w:ascii="Arial" w:cs="Arial" w:eastAsia="Arial" w:hAnsi="Arial"/>
          <w:sz w:val="17"/>
          <w:szCs w:val="17"/>
          <w:i w:val="1"/>
          <w:iCs w:val="1"/>
          <w:color w:val="auto"/>
        </w:rPr>
        <w:t>Option Exercises and Stock Vested</w:t>
      </w:r>
      <w:r>
        <w:rPr>
          <w:rFonts w:ascii="Arial" w:cs="Arial" w:eastAsia="Arial" w:hAnsi="Arial"/>
          <w:sz w:val="17"/>
          <w:szCs w:val="17"/>
          <w:color w:val="auto"/>
        </w:rPr>
        <w:t>” table for each of the respective years. For fiscal 2019 realized pay, the vested stock awards which are included related to the 2016-2017 LTIP, 2017-2018 LTIP and 2018-2020 LTIP.</w:t>
      </w:r>
    </w:p>
    <w:p>
      <w:pPr>
        <w:spacing w:after="0" w:line="63" w:lineRule="exact"/>
        <w:rPr>
          <w:rFonts w:ascii="Arial" w:cs="Arial" w:eastAsia="Arial" w:hAnsi="Arial"/>
          <w:sz w:val="17"/>
          <w:szCs w:val="17"/>
          <w:color w:val="auto"/>
        </w:rPr>
      </w:pPr>
    </w:p>
    <w:p>
      <w:pPr>
        <w:ind w:left="740" w:right="8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Kanter joined the Company on February 19, 2019 and therefore had no fiscal 2018 compensation. There is no comparable salary information for Messrs. Chane and Gaeta because they only became named executive officers in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80"/>
          </w:cols>
          <w:pgMar w:left="320" w:top="557"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40" w:right="48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goals through a combination of cash and stock-based compensation; and</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reviewing compensation, the Compensation Committee emphasizes Direct Compensation. Direct Compensation consists of total cash compensation (base salary and annual performance-based cash incentive awards) plus long-term incentive awards, which are primarily stock-based. Every year, we assess the effectiveness of our compensation plans with the goal of strengthening our overall compensation program as appropriate, including by adjusting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our executive officers with the interests of our stockholders.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What We Do</w:t>
            </w:r>
          </w:p>
        </w:tc>
        <w:tc>
          <w:tcPr>
            <w:tcW w:w="6300" w:type="dxa"/>
            <w:vAlign w:val="bottom"/>
            <w:gridSpan w:val="3"/>
          </w:tcPr>
          <w:p>
            <w:pPr>
              <w:ind w:left="2820"/>
              <w:spacing w:after="0"/>
              <w:rPr>
                <w:sz w:val="20"/>
                <w:szCs w:val="20"/>
                <w:color w:val="auto"/>
              </w:rPr>
            </w:pPr>
            <w:r>
              <w:rPr>
                <w:rFonts w:ascii="Arial" w:cs="Arial" w:eastAsia="Arial" w:hAnsi="Arial"/>
                <w:sz w:val="18"/>
                <w:szCs w:val="18"/>
                <w:i w:val="1"/>
                <w:iCs w:val="1"/>
                <w:color w:val="auto"/>
              </w:rPr>
              <w:t>What We Don’t Do</w:t>
            </w:r>
          </w:p>
        </w:tc>
      </w:tr>
      <w:tr>
        <w:trPr>
          <w:trHeight w:val="21"/>
        </w:trPr>
        <w:tc>
          <w:tcPr>
            <w:tcW w:w="238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4"/>
        </w:trPr>
        <w:tc>
          <w:tcPr>
            <w:tcW w:w="494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300" w:type="dxa"/>
            <w:vAlign w:val="bottom"/>
            <w:gridSpan w:val="3"/>
            <w:shd w:val="clear" w:color="auto" w:fill="CFF0FC"/>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 on severance payments</w:t>
            </w:r>
          </w:p>
        </w:tc>
      </w:tr>
      <w:tr>
        <w:trPr>
          <w:trHeight w:val="344"/>
        </w:trPr>
        <w:tc>
          <w:tcPr>
            <w:tcW w:w="494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executives with very limited perquisites</w:t>
            </w:r>
          </w:p>
        </w:tc>
        <w:tc>
          <w:tcPr>
            <w:tcW w:w="6300" w:type="dxa"/>
            <w:vAlign w:val="bottom"/>
            <w:gridSpan w:val="3"/>
          </w:tcPr>
          <w:p>
            <w:pPr>
              <w:ind w:left="10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54" w:lineRule="exact"/>
        <w:rPr>
          <w:sz w:val="20"/>
          <w:szCs w:val="20"/>
          <w:color w:val="auto"/>
        </w:rPr>
      </w:pPr>
    </w:p>
    <w:p>
      <w:pPr>
        <w:ind w:left="460" w:hanging="284"/>
        <w:spacing w:after="0"/>
        <w:tabs>
          <w:tab w:leader="none" w:pos="4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Require “double-trigger” change-in-control provisions</w:t>
      </w:r>
    </w:p>
    <w:p>
      <w:pPr>
        <w:spacing w:after="0" w:line="117" w:lineRule="exact"/>
        <w:rPr>
          <w:rFonts w:ascii="MS PGothic" w:cs="MS PGothic" w:eastAsia="MS PGothic" w:hAnsi="MS PGothic"/>
          <w:sz w:val="18"/>
          <w:szCs w:val="18"/>
          <w:color w:val="auto"/>
        </w:rPr>
      </w:pPr>
    </w:p>
    <w:p>
      <w:pPr>
        <w:ind w:left="500" w:right="6080" w:hanging="324"/>
        <w:spacing w:after="0" w:line="277" w:lineRule="auto"/>
        <w:tabs>
          <w:tab w:leader="none" w:pos="459"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Maintain a “clawback” policy covering incentive cash and equity programs</w:t>
      </w:r>
    </w:p>
    <w:p>
      <w:pPr>
        <w:spacing w:after="0" w:line="62" w:lineRule="exact"/>
        <w:rPr>
          <w:rFonts w:ascii="MS PGothic" w:cs="MS PGothic" w:eastAsia="MS PGothic" w:hAnsi="MS PGothic"/>
          <w:sz w:val="18"/>
          <w:szCs w:val="18"/>
          <w:color w:val="auto"/>
        </w:rPr>
      </w:pPr>
    </w:p>
    <w:p>
      <w:pPr>
        <w:ind w:left="460" w:hanging="284"/>
        <w:spacing w:after="0"/>
        <w:tabs>
          <w:tab w:leader="none" w:pos="4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Utilize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review of compensation of our Named Executive Officers. The Compensation Committee may accept, reject or modify any recommendations by compensation consultants or other outside advisors.</w:t>
      </w:r>
    </w:p>
    <w:p>
      <w:pPr>
        <w:spacing w:after="0" w:line="18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Compensation Committee periodically consults with Segal, formerly Sibson Consulting, an independent firm that specializes in benefits and compensation, with respect to the structure and competitiveness of the Company’s executive compensation program compared to its proxy peer group. The Compensation Committee has assessed Segal’s independence, and has concluded that no conflict of interest exists with respect to the services that it performs. In early fiscal 2018, the Compensation Committee engaged Segal to evaluate CEO compensation in connection with its search for a new CEO and in early 2019 to evaluate the compensation of our other NEOs in comparison to the same proxy peer group. The Compensation Committee also consulted with Segal in August 2019 to evaluate the Company’s long-term incentive program, including its mix of equity and cash.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Target Compensation</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Working with Segal,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compared each element of the CEO’s Direct Compensation (base salary, annual incentive plan and long-term incentive compensation) to published survey data and data from the Company’s peer group. The Compensation Committee’s objective is that total target compensation should approximate the median target compensation of the Company’s peer group. In developing the compensation package for our current CEO, the Compensation Committee placed additional weight on the performance pay, by increasing the participation rate in the long-term incentive plan, and, as part of his compensation package, Mr. Kanter received a significant, sign-on performance stock unit award (“PSU”) tied directly to the Company’s stock price.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40"/>
        <w:spacing w:after="0" w:line="275" w:lineRule="auto"/>
        <w:rPr>
          <w:sz w:val="20"/>
          <w:szCs w:val="20"/>
          <w:color w:val="auto"/>
        </w:rPr>
      </w:pPr>
      <w:r>
        <w:rPr>
          <w:rFonts w:ascii="Arial" w:cs="Arial" w:eastAsia="Arial" w:hAnsi="Arial"/>
          <w:sz w:val="17"/>
          <w:szCs w:val="17"/>
          <w:i w:val="1"/>
          <w:iCs w:val="1"/>
          <w:color w:val="auto"/>
        </w:rPr>
        <w:t xml:space="preserve">Other Named Executive Officers. </w:t>
      </w:r>
      <w:r>
        <w:rPr>
          <w:rFonts w:ascii="Arial" w:cs="Arial" w:eastAsia="Arial" w:hAnsi="Arial"/>
          <w:sz w:val="17"/>
          <w:szCs w:val="17"/>
          <w:color w:val="auto"/>
        </w:rPr>
        <w:t>Our CEO is primarily responsible for determining the compensation paid to our other Named Executive Officers,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review and approval of the Compensation Committee. Our other Named Executive Officers are provided with a competitive base salary and an opportunity to earn performance awards each year, which are driven by our overall financial targets. In May 2019, Segal completed a review of the compensation paid to our other Named Executive Officers, and reported that compensation was within the median (or 50% percentile) of the Company’s 2018 proxy peer group. See “</w:t>
      </w:r>
      <w:r>
        <w:rPr>
          <w:rFonts w:ascii="Arial" w:cs="Arial" w:eastAsia="Arial" w:hAnsi="Arial"/>
          <w:sz w:val="17"/>
          <w:szCs w:val="17"/>
          <w:i w:val="1"/>
          <w:iCs w:val="1"/>
          <w:color w:val="auto"/>
        </w:rPr>
        <w:t>Compensation Components and Fiscal 2019 Compensation Decisions</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2019 peer group were:</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Boot Barn Holding, Inc.</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Duluth Holding, Inc.</w:t>
            </w:r>
          </w:p>
        </w:tc>
        <w:tc>
          <w:tcPr>
            <w:tcW w:w="820" w:type="dxa"/>
            <w:vAlign w:val="bottom"/>
          </w:tcPr>
          <w:p>
            <w:pPr>
              <w:ind w:left="660"/>
              <w:spacing w:after="0"/>
              <w:rPr>
                <w:sz w:val="20"/>
                <w:szCs w:val="20"/>
                <w:color w:val="auto"/>
              </w:rPr>
            </w:pPr>
            <w:r>
              <w:rPr>
                <w:rFonts w:ascii="Arial" w:cs="Arial" w:eastAsia="Arial" w:hAnsi="Arial"/>
                <w:sz w:val="14"/>
                <w:szCs w:val="14"/>
                <w:color w:val="auto"/>
              </w:rPr>
              <w:t>•</w:t>
            </w:r>
          </w:p>
        </w:tc>
        <w:tc>
          <w:tcPr>
            <w:tcW w:w="1300" w:type="dxa"/>
            <w:vAlign w:val="bottom"/>
          </w:tcPr>
          <w:p>
            <w:pPr>
              <w:ind w:left="100"/>
              <w:spacing w:after="0"/>
              <w:rPr>
                <w:sz w:val="20"/>
                <w:szCs w:val="20"/>
                <w:color w:val="auto"/>
              </w:rPr>
            </w:pPr>
            <w:r>
              <w:rPr>
                <w:rFonts w:ascii="Arial" w:cs="Arial" w:eastAsia="Arial" w:hAnsi="Arial"/>
                <w:sz w:val="14"/>
                <w:szCs w:val="14"/>
                <w:color w:val="auto"/>
              </w:rPr>
              <w:t>Tilly’s Inc.</w:t>
            </w:r>
          </w:p>
        </w:tc>
      </w:tr>
      <w:tr>
        <w:trPr>
          <w:trHeight w:val="257"/>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Build-A-Bear Workshop, Inc.</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Francesca’s Holding Corp.</w:t>
            </w:r>
          </w:p>
        </w:tc>
        <w:tc>
          <w:tcPr>
            <w:tcW w:w="820" w:type="dxa"/>
            <w:vAlign w:val="bottom"/>
          </w:tcPr>
          <w:p>
            <w:pPr>
              <w:ind w:left="660"/>
              <w:spacing w:after="0"/>
              <w:rPr>
                <w:sz w:val="20"/>
                <w:szCs w:val="20"/>
                <w:color w:val="auto"/>
              </w:rPr>
            </w:pPr>
            <w:r>
              <w:rPr>
                <w:rFonts w:ascii="Arial" w:cs="Arial" w:eastAsia="Arial" w:hAnsi="Arial"/>
                <w:sz w:val="14"/>
                <w:szCs w:val="14"/>
                <w:color w:val="auto"/>
              </w:rPr>
              <w:t>•</w:t>
            </w:r>
          </w:p>
        </w:tc>
        <w:tc>
          <w:tcPr>
            <w:tcW w:w="1300" w:type="dxa"/>
            <w:vAlign w:val="bottom"/>
          </w:tcPr>
          <w:p>
            <w:pPr>
              <w:ind w:left="100"/>
              <w:spacing w:after="0"/>
              <w:rPr>
                <w:sz w:val="20"/>
                <w:szCs w:val="20"/>
                <w:color w:val="auto"/>
              </w:rPr>
            </w:pPr>
            <w:r>
              <w:rPr>
                <w:rFonts w:ascii="Arial" w:cs="Arial" w:eastAsia="Arial" w:hAnsi="Arial"/>
                <w:sz w:val="14"/>
                <w:szCs w:val="14"/>
                <w:color w:val="auto"/>
              </w:rPr>
              <w:t>Vera Bradley</w:t>
            </w:r>
          </w:p>
        </w:tc>
      </w:tr>
      <w:tr>
        <w:trPr>
          <w:trHeight w:val="257"/>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Cato Group</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Kirkland’s, Inc.</w:t>
            </w:r>
          </w:p>
        </w:tc>
        <w:tc>
          <w:tcPr>
            <w:tcW w:w="820" w:type="dxa"/>
            <w:vAlign w:val="bottom"/>
          </w:tcPr>
          <w:p>
            <w:pPr>
              <w:ind w:left="660"/>
              <w:spacing w:after="0"/>
              <w:rPr>
                <w:sz w:val="20"/>
                <w:szCs w:val="20"/>
                <w:color w:val="auto"/>
              </w:rPr>
            </w:pPr>
            <w:r>
              <w:rPr>
                <w:rFonts w:ascii="Arial" w:cs="Arial" w:eastAsia="Arial" w:hAnsi="Arial"/>
                <w:sz w:val="14"/>
                <w:szCs w:val="14"/>
                <w:color w:val="auto"/>
              </w:rPr>
              <w:t>•</w:t>
            </w:r>
          </w:p>
        </w:tc>
        <w:tc>
          <w:tcPr>
            <w:tcW w:w="1300" w:type="dxa"/>
            <w:vAlign w:val="bottom"/>
          </w:tcPr>
          <w:p>
            <w:pPr>
              <w:ind w:left="100"/>
              <w:spacing w:after="0"/>
              <w:rPr>
                <w:sz w:val="20"/>
                <w:szCs w:val="20"/>
                <w:color w:val="auto"/>
              </w:rPr>
            </w:pPr>
            <w:r>
              <w:rPr>
                <w:rFonts w:ascii="Arial" w:cs="Arial" w:eastAsia="Arial" w:hAnsi="Arial"/>
                <w:sz w:val="14"/>
                <w:szCs w:val="14"/>
                <w:color w:val="auto"/>
                <w:w w:val="94"/>
              </w:rPr>
              <w:t>Vince Holding Corp.</w:t>
            </w:r>
          </w:p>
        </w:tc>
      </w:tr>
      <w:tr>
        <w:trPr>
          <w:trHeight w:val="257"/>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Christopher &amp; Banks</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Movado Group</w:t>
            </w:r>
          </w:p>
        </w:tc>
        <w:tc>
          <w:tcPr>
            <w:tcW w:w="820" w:type="dxa"/>
            <w:vAlign w:val="bottom"/>
          </w:tcPr>
          <w:p>
            <w:pPr>
              <w:ind w:left="660"/>
              <w:spacing w:after="0"/>
              <w:rPr>
                <w:sz w:val="20"/>
                <w:szCs w:val="20"/>
                <w:color w:val="auto"/>
              </w:rPr>
            </w:pPr>
            <w:r>
              <w:rPr>
                <w:rFonts w:ascii="Arial" w:cs="Arial" w:eastAsia="Arial" w:hAnsi="Arial"/>
                <w:sz w:val="14"/>
                <w:szCs w:val="14"/>
                <w:color w:val="auto"/>
              </w:rPr>
              <w:t>•</w:t>
            </w:r>
          </w:p>
        </w:tc>
        <w:tc>
          <w:tcPr>
            <w:tcW w:w="1300" w:type="dxa"/>
            <w:vAlign w:val="bottom"/>
          </w:tcPr>
          <w:p>
            <w:pPr>
              <w:ind w:left="100"/>
              <w:spacing w:after="0"/>
              <w:rPr>
                <w:sz w:val="20"/>
                <w:szCs w:val="20"/>
                <w:color w:val="auto"/>
              </w:rPr>
            </w:pPr>
            <w:r>
              <w:rPr>
                <w:rFonts w:ascii="Arial" w:cs="Arial" w:eastAsia="Arial" w:hAnsi="Arial"/>
                <w:sz w:val="14"/>
                <w:szCs w:val="14"/>
                <w:color w:val="auto"/>
              </w:rPr>
              <w:t>Zumiez, Inc.</w:t>
            </w:r>
          </w:p>
        </w:tc>
      </w:tr>
      <w:tr>
        <w:trPr>
          <w:trHeight w:val="256"/>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Citi Trends</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Sportsman’s Warehouse</w:t>
            </w:r>
          </w:p>
        </w:tc>
        <w:tc>
          <w:tcPr>
            <w:tcW w:w="8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520" w:type="dxa"/>
            <w:vAlign w:val="bottom"/>
          </w:tcPr>
          <w:p>
            <w:pPr>
              <w:spacing w:after="0"/>
              <w:rPr>
                <w:sz w:val="20"/>
                <w:szCs w:val="20"/>
                <w:color w:val="auto"/>
              </w:rPr>
            </w:pPr>
            <w:r>
              <w:rPr>
                <w:rFonts w:ascii="Arial" w:cs="Arial" w:eastAsia="Arial" w:hAnsi="Arial"/>
                <w:sz w:val="14"/>
                <w:szCs w:val="14"/>
                <w:color w:val="auto"/>
              </w:rPr>
              <w:t>•</w:t>
            </w:r>
          </w:p>
        </w:tc>
        <w:tc>
          <w:tcPr>
            <w:tcW w:w="2760" w:type="dxa"/>
            <w:vAlign w:val="bottom"/>
          </w:tcPr>
          <w:p>
            <w:pPr>
              <w:ind w:left="460"/>
              <w:spacing w:after="0"/>
              <w:rPr>
                <w:sz w:val="20"/>
                <w:szCs w:val="20"/>
                <w:color w:val="auto"/>
              </w:rPr>
            </w:pPr>
            <w:r>
              <w:rPr>
                <w:rFonts w:ascii="Arial" w:cs="Arial" w:eastAsia="Arial" w:hAnsi="Arial"/>
                <w:sz w:val="14"/>
                <w:szCs w:val="14"/>
                <w:color w:val="auto"/>
              </w:rPr>
              <w:t>Destination Maternity</w:t>
            </w:r>
          </w:p>
        </w:tc>
        <w:tc>
          <w:tcPr>
            <w:tcW w:w="720" w:type="dxa"/>
            <w:vAlign w:val="bottom"/>
          </w:tcPr>
          <w:p>
            <w:pPr>
              <w:ind w:left="580"/>
              <w:spacing w:after="0"/>
              <w:rPr>
                <w:sz w:val="20"/>
                <w:szCs w:val="20"/>
                <w:color w:val="auto"/>
              </w:rPr>
            </w:pPr>
            <w:r>
              <w:rPr>
                <w:rFonts w:ascii="Arial" w:cs="Arial" w:eastAsia="Arial" w:hAnsi="Arial"/>
                <w:sz w:val="14"/>
                <w:szCs w:val="14"/>
                <w:color w:val="auto"/>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Tile Shop Holdings</w:t>
            </w:r>
          </w:p>
        </w:tc>
        <w:tc>
          <w:tcPr>
            <w:tcW w:w="820" w:type="dxa"/>
            <w:vAlign w:val="bottom"/>
          </w:tcPr>
          <w:p>
            <w:pPr>
              <w:spacing w:after="0"/>
              <w:rPr>
                <w:sz w:val="22"/>
                <w:szCs w:val="22"/>
                <w:color w:val="auto"/>
              </w:rPr>
            </w:pPr>
          </w:p>
        </w:tc>
        <w:tc>
          <w:tcPr>
            <w:tcW w:w="1300" w:type="dxa"/>
            <w:vAlign w:val="bottom"/>
          </w:tcPr>
          <w:p>
            <w:pPr>
              <w:spacing w:after="0"/>
              <w:rPr>
                <w:sz w:val="22"/>
                <w:szCs w:val="22"/>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For fiscal 2020, we updated our peer group to remove Destination Maternity, due to bankruptcy, and add Retailwinds, Inc.</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develop an appropriate peer group, we consider companies with a range of revenues, assets and market capitalizations that may differ from those included by independent analysts such as Institutional Shareholder Services (ISS). When we reviewed our 2019 peers, we fell just below the median of the revenues and assets of our peer group. Our market capitalization was considered in developing our peer group, but due to the fact that our stock is so thinly traded, more weight was given to the revenue and assets.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our 2019 Annual Meeting, stockholders had an opportunity to cast a non-binding advisory vote on executive compensation as disclosed in the 2019 Proxy Statement. Of the votes cast on the say-on-pay proposal, 91.7% voted in favor of the proposal. The Compensation Committee considered the results of the 2019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results in a financial restatement. Incentive-Based Compensation includes all cash and equity awards.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20"/>
        <w:spacing w:after="0" w:line="263" w:lineRule="auto"/>
        <w:rPr>
          <w:sz w:val="20"/>
          <w:szCs w:val="20"/>
          <w:color w:val="auto"/>
        </w:rPr>
      </w:pPr>
      <w:r>
        <w:rPr>
          <w:rFonts w:ascii="Arial" w:cs="Arial" w:eastAsia="Arial" w:hAnsi="Arial"/>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2019 Compensation Decisions</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125730</wp:posOffset>
            </wp:positionV>
            <wp:extent cx="5991860" cy="1825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9186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0" w:firstLine="8"/>
        <w:spacing w:after="0" w:line="253" w:lineRule="auto"/>
        <w:tabs>
          <w:tab w:leader="none" w:pos="108"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above target compensation for the CEO does not reflect the value of Mr. Kanter’s sign-on awards granted in connection with his hiring, which included a PSU award aligned with long-term stockholder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225" w:lineRule="exact"/>
        <w:rPr>
          <w:sz w:val="20"/>
          <w:szCs w:val="20"/>
          <w:color w:val="auto"/>
        </w:rPr>
      </w:pPr>
    </w:p>
    <w:p>
      <w:pPr>
        <w:ind w:left="760" w:hanging="25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rFonts w:ascii="Arial" w:cs="Arial" w:eastAsia="Arial" w:hAnsi="Arial"/>
          <w:sz w:val="18"/>
          <w:szCs w:val="18"/>
          <w:color w:val="auto"/>
        </w:rPr>
      </w:pPr>
    </w:p>
    <w:p>
      <w:pPr>
        <w:ind w:left="760" w:right="60"/>
        <w:spacing w:after="0" w:line="277" w:lineRule="auto"/>
        <w:rPr>
          <w:rFonts w:ascii="Arial" w:cs="Arial" w:eastAsia="Arial" w:hAnsi="Arial"/>
          <w:sz w:val="18"/>
          <w:szCs w:val="18"/>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62" w:lineRule="exact"/>
        <w:rPr>
          <w:rFonts w:ascii="Arial" w:cs="Arial" w:eastAsia="Arial" w:hAnsi="Arial"/>
          <w:sz w:val="18"/>
          <w:szCs w:val="18"/>
          <w:color w:val="auto"/>
        </w:rPr>
      </w:pPr>
    </w:p>
    <w:p>
      <w:pPr>
        <w:ind w:left="760"/>
        <w:spacing w:after="0" w:line="259" w:lineRule="auto"/>
        <w:rPr>
          <w:rFonts w:ascii="Arial" w:cs="Arial" w:eastAsia="Arial" w:hAnsi="Arial"/>
          <w:sz w:val="18"/>
          <w:szCs w:val="18"/>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8" w:lineRule="exact"/>
        <w:rPr>
          <w:rFonts w:ascii="Arial" w:cs="Arial" w:eastAsia="Arial" w:hAnsi="Arial"/>
          <w:sz w:val="18"/>
          <w:szCs w:val="18"/>
          <w:color w:val="auto"/>
        </w:rPr>
      </w:pPr>
    </w:p>
    <w:p>
      <w:pPr>
        <w:ind w:left="760" w:right="140"/>
        <w:spacing w:after="0" w:line="286" w:lineRule="auto"/>
        <w:rPr>
          <w:rFonts w:ascii="Arial" w:cs="Arial" w:eastAsia="Arial" w:hAnsi="Arial"/>
          <w:sz w:val="18"/>
          <w:szCs w:val="18"/>
          <w:color w:val="auto"/>
        </w:rPr>
      </w:pPr>
      <w:r>
        <w:rPr>
          <w:rFonts w:ascii="Arial" w:cs="Arial" w:eastAsia="Arial" w:hAnsi="Arial"/>
          <w:sz w:val="17"/>
          <w:szCs w:val="17"/>
          <w:color w:val="auto"/>
        </w:rPr>
        <w:t>The Compensation Committee expects the CEO’s base salary to be at or near the peer group median, and to approximate 25%-33% of his target Direct Compensation. Our CEO determines the base salary of our other Named Executive Officers, subject to the review and approval of the Compensation Committee, and targets the median of the peer group and published industry compensation surveys.</w:t>
      </w:r>
    </w:p>
    <w:p>
      <w:pPr>
        <w:spacing w:after="0" w:line="57" w:lineRule="exact"/>
        <w:rPr>
          <w:rFonts w:ascii="Arial" w:cs="Arial" w:eastAsia="Arial" w:hAnsi="Arial"/>
          <w:sz w:val="18"/>
          <w:szCs w:val="18"/>
          <w:color w:val="auto"/>
        </w:rPr>
      </w:pPr>
    </w:p>
    <w:p>
      <w:pPr>
        <w:ind w:left="760" w:right="20"/>
        <w:spacing w:after="0" w:line="263" w:lineRule="auto"/>
        <w:rPr>
          <w:rFonts w:ascii="Arial" w:cs="Arial" w:eastAsia="Arial" w:hAnsi="Arial"/>
          <w:sz w:val="18"/>
          <w:szCs w:val="18"/>
          <w:color w:val="auto"/>
        </w:rPr>
      </w:pPr>
      <w:r>
        <w:rPr>
          <w:rFonts w:ascii="Arial" w:cs="Arial" w:eastAsia="Arial" w:hAnsi="Arial"/>
          <w:sz w:val="18"/>
          <w:szCs w:val="18"/>
          <w:color w:val="auto"/>
        </w:rPr>
        <w:t>For fiscal 2019, Messrs. Chane and Gaeta received merit increases of 1.8% and 3.5%, respectively, to bring their base salaries to $290,000 and $295,000, respectively. There were no other adjustments to the base salaries of our other Named Executive Officers. Our CEO’s base salary was negotiated as part of his employment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left="260" w:hanging="253"/>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117" w:lineRule="exact"/>
        <w:rPr>
          <w:rFonts w:ascii="Arial" w:cs="Arial" w:eastAsia="Arial" w:hAnsi="Arial"/>
          <w:sz w:val="18"/>
          <w:szCs w:val="18"/>
          <w:color w:val="auto"/>
        </w:rPr>
      </w:pPr>
    </w:p>
    <w:p>
      <w:pPr>
        <w:ind w:left="260" w:right="20"/>
        <w:spacing w:after="0" w:line="263" w:lineRule="auto"/>
        <w:rPr>
          <w:rFonts w:ascii="Arial" w:cs="Arial" w:eastAsia="Arial" w:hAnsi="Arial"/>
          <w:sz w:val="18"/>
          <w:szCs w:val="18"/>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Fourth Amended and Restated Annual Incentive Plan (“AIP”) provides for an annual performance-based cash incentive for all executives as well as certain non-executive employees.</w:t>
      </w:r>
    </w:p>
    <w:p>
      <w:pPr>
        <w:spacing w:after="0" w:line="210"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u w:val="single" w:color="auto"/>
          <w:color w:val="auto"/>
        </w:rPr>
        <w:t>2019 AIP</w:t>
      </w:r>
    </w:p>
    <w:p>
      <w:pPr>
        <w:spacing w:after="0" w:line="130" w:lineRule="exact"/>
        <w:rPr>
          <w:rFonts w:ascii="Arial" w:cs="Arial" w:eastAsia="Arial" w:hAnsi="Arial"/>
          <w:sz w:val="18"/>
          <w:szCs w:val="18"/>
          <w:color w:val="auto"/>
        </w:rPr>
      </w:pPr>
    </w:p>
    <w:p>
      <w:pPr>
        <w:ind w:left="260"/>
        <w:spacing w:after="0" w:line="273" w:lineRule="auto"/>
        <w:rPr>
          <w:rFonts w:ascii="Arial" w:cs="Arial" w:eastAsia="Arial" w:hAnsi="Arial"/>
          <w:sz w:val="18"/>
          <w:szCs w:val="18"/>
          <w:color w:val="auto"/>
        </w:rPr>
      </w:pPr>
      <w:r>
        <w:rPr>
          <w:rFonts w:ascii="Arial" w:cs="Arial" w:eastAsia="Arial" w:hAnsi="Arial"/>
          <w:sz w:val="17"/>
          <w:szCs w:val="17"/>
          <w:color w:val="auto"/>
        </w:rPr>
        <w:t>On May 1, 2019, the Compensation Committee established financial and operating performance metrics for grants under the 2019 AIP. The performance targets included Corporate targets (Sales and Adjusted EBITDA), departmental targets for Store Operations, Marketing &amp; Digital, and Merchandise/Planning and Allocation, as well as discretionary personal goals. Because Mr. Kanter had only recently assumed the position of President and CEO, the Compensation Committee felt it was necessary to decrease the number of Corporate targets for fiscal 2019 as compared to previous years and to focus on Sales and Adjusted EBITDA to allow Mr. Kanter the flexibility to implement or modify any business initiatives without rendering other targets under the 2019 AIP irrelevant.</w:t>
      </w:r>
    </w:p>
    <w:p>
      <w:pPr>
        <w:spacing w:after="0" w:line="83" w:lineRule="exact"/>
        <w:rPr>
          <w:rFonts w:ascii="Arial" w:cs="Arial" w:eastAsia="Arial" w:hAnsi="Arial"/>
          <w:sz w:val="18"/>
          <w:szCs w:val="18"/>
          <w:color w:val="auto"/>
        </w:rPr>
      </w:pPr>
    </w:p>
    <w:p>
      <w:pPr>
        <w:ind w:left="260" w:right="40"/>
        <w:spacing w:after="0" w:line="283" w:lineRule="auto"/>
        <w:rPr>
          <w:rFonts w:ascii="Arial" w:cs="Arial" w:eastAsia="Arial" w:hAnsi="Arial"/>
          <w:sz w:val="18"/>
          <w:szCs w:val="18"/>
          <w:color w:val="auto"/>
        </w:rPr>
      </w:pPr>
      <w:r>
        <w:rPr>
          <w:rFonts w:ascii="Arial" w:cs="Arial" w:eastAsia="Arial" w:hAnsi="Arial"/>
          <w:sz w:val="16"/>
          <w:szCs w:val="16"/>
          <w:color w:val="auto"/>
        </w:rPr>
        <w:t>Shortly after assuming his position as President and CEO, Mr. Kanter, working with senior management, evaluated and developed a strategic plan, specifically focused on our marketing and digital platforms in driving greater customer engagement. Senior Management began to implement many initiatives, which included a realignment of the marketing team and a shift in our marketing and digital strategy, expecting much of the benefit of the restructuring to be recognized long-term. In light of the strategic plan developed by Mr. Kanter and the subsequent approval by the Board in August 2019 of the revised strategic plan, the Compensation Committee reconsidered the 2019 AIP and approved modifications to the previously-established targets to align with the revised strategic plan but did not change any of the metrics. In doing so, the Compensation Committee considered the Company’s performance through the end of the second quarter in relation to the previously-established targets and determined that, as of that date, no payout under the previously-established targets was probable. The Compensation Committee also modified the threshold and maximum limits in which the achievement of the financial metric targets would be met. In addition, because the</w:t>
      </w:r>
    </w:p>
    <w:p>
      <w:pPr>
        <w:spacing w:after="0" w:line="5" w:lineRule="exact"/>
        <w:rPr>
          <w:rFonts w:ascii="Arial" w:cs="Arial" w:eastAsia="Arial" w:hAnsi="Arial"/>
          <w:sz w:val="18"/>
          <w:szCs w:val="18"/>
          <w:color w:val="auto"/>
        </w:rPr>
      </w:pPr>
    </w:p>
    <w:p>
      <w:pPr>
        <w:ind w:left="260"/>
        <w:spacing w:after="0" w:line="302" w:lineRule="auto"/>
        <w:rPr>
          <w:rFonts w:ascii="Arial" w:cs="Arial" w:eastAsia="Arial" w:hAnsi="Arial"/>
          <w:sz w:val="18"/>
          <w:szCs w:val="18"/>
          <w:color w:val="auto"/>
        </w:rPr>
      </w:pPr>
      <w:r>
        <w:rPr>
          <w:rFonts w:ascii="Arial" w:cs="Arial" w:eastAsia="Arial" w:hAnsi="Arial"/>
          <w:sz w:val="16"/>
          <w:szCs w:val="16"/>
          <w:color w:val="auto"/>
        </w:rPr>
        <w:t>2019 AIP was being modified in August, the Compensation Committee determined that, solely with respect to the portion of any payout earned for achievement of the Corporate targets under the plan, including departmental goals, such portions of the payout would be reduced by 50%. The Compensation Committee believed that it was possible, with an approximate 50% probability, to meet or exceed each of the adjusted targets.</w:t>
      </w:r>
    </w:p>
    <w:p>
      <w:pPr>
        <w:spacing w:after="0" w:line="47" w:lineRule="exact"/>
        <w:rPr>
          <w:rFonts w:ascii="Arial" w:cs="Arial" w:eastAsia="Arial" w:hAnsi="Arial"/>
          <w:sz w:val="18"/>
          <w:szCs w:val="18"/>
          <w:color w:val="auto"/>
        </w:rPr>
      </w:pPr>
    </w:p>
    <w:p>
      <w:pPr>
        <w:ind w:left="260" w:right="140"/>
        <w:spacing w:after="0" w:line="293" w:lineRule="auto"/>
        <w:rPr>
          <w:rFonts w:ascii="Arial" w:cs="Arial" w:eastAsia="Arial" w:hAnsi="Arial"/>
          <w:sz w:val="18"/>
          <w:szCs w:val="18"/>
          <w:color w:val="auto"/>
        </w:rPr>
      </w:pPr>
      <w:r>
        <w:rPr>
          <w:rFonts w:ascii="Arial" w:cs="Arial" w:eastAsia="Arial" w:hAnsi="Arial"/>
          <w:sz w:val="16"/>
          <w:szCs w:val="16"/>
          <w:color w:val="auto"/>
        </w:rPr>
        <w:t>The Company’s Corporate metrics for the 2019 AIP included Sales and Adjusted EBITDA and represented 80% of the AIP for Messrs. Kanter, Stratton, Molloy, Chane, Levin and Reaves, and 40% of the AIP for Messrs. Gaeta and Davey. Messrs. Gaeta and Davey had specific departmental goals representing 40%. Discretionary personal goals represented the remaining 20% for each Named Executive Officer. These discretionary goals were pre-established and were an important component to the success of our strategic goals. For fiscal 2019, Mr. Kanter’s target participation in the AIP was at 100% of his annual salary, on a prorated basis, Messrs. Stratton, Reaves and Davey participated at 55% of their respective salaries, and Messrs. Molloy, Chane and Gaeta participated at 40% of their respective salaries.</w:t>
      </w:r>
    </w:p>
    <w:p>
      <w:pPr>
        <w:spacing w:after="0" w:line="16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20"/>
          </w:cols>
          <w:pgMar w:left="820" w:top="341" w:right="359" w:bottom="144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The 2019 AIP performance metrics and actual results against these metrics were as follows:</w:t>
      </w:r>
    </w:p>
    <w:p>
      <w:pPr>
        <w:sectPr>
          <w:pgSz w:w="11900" w:h="16838" w:orient="portrait"/>
          <w:cols w:equalWidth="0" w:num="1">
            <w:col w:w="11260"/>
          </w:cols>
          <w:pgMar w:left="320" w:top="557" w:right="319" w:bottom="1440" w:gutter="0" w:footer="0" w:header="0"/>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3"/>
          </w:tcPr>
          <w:p>
            <w:pPr>
              <w:jc w:val="center"/>
              <w:ind w:left="23"/>
              <w:spacing w:after="0"/>
              <w:rPr>
                <w:sz w:val="20"/>
                <w:szCs w:val="20"/>
                <w:color w:val="auto"/>
              </w:rPr>
            </w:pPr>
            <w:r>
              <w:rPr>
                <w:rFonts w:ascii="Arial" w:cs="Arial" w:eastAsia="Arial" w:hAnsi="Arial"/>
                <w:sz w:val="11"/>
                <w:szCs w:val="11"/>
                <w:b w:val="1"/>
                <w:bCs w:val="1"/>
                <w:color w:val="auto"/>
                <w:w w:val="98"/>
              </w:rPr>
              <w:t>Award %</w:t>
            </w:r>
          </w:p>
        </w:tc>
        <w:tc>
          <w:tcPr>
            <w:tcW w:w="180" w:type="dxa"/>
            <w:vAlign w:val="bottom"/>
          </w:tcPr>
          <w:p>
            <w:pPr>
              <w:spacing w:after="0"/>
              <w:rPr>
                <w:sz w:val="10"/>
                <w:szCs w:val="10"/>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Award %</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3"/>
          </w:tcPr>
          <w:p>
            <w:pPr>
              <w:jc w:val="center"/>
              <w:ind w:left="23"/>
              <w:spacing w:after="0" w:line="122" w:lineRule="exact"/>
              <w:rPr>
                <w:sz w:val="20"/>
                <w:szCs w:val="20"/>
                <w:color w:val="auto"/>
              </w:rPr>
            </w:pPr>
            <w:r>
              <w:rPr>
                <w:rFonts w:ascii="Arial" w:cs="Arial" w:eastAsia="Arial" w:hAnsi="Arial"/>
                <w:sz w:val="11"/>
                <w:szCs w:val="11"/>
                <w:b w:val="1"/>
                <w:bCs w:val="1"/>
                <w:color w:val="auto"/>
                <w:w w:val="93"/>
              </w:rPr>
              <w:t>Attributable to</w:t>
            </w:r>
          </w:p>
        </w:tc>
        <w:tc>
          <w:tcPr>
            <w:tcW w:w="7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3"/>
              </w:rPr>
              <w:t>Attributable to</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128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Metric</w:t>
            </w:r>
          </w:p>
        </w:tc>
        <w:tc>
          <w:tcPr>
            <w:tcW w:w="1020" w:type="dxa"/>
            <w:vAlign w:val="bottom"/>
            <w:gridSpan w:val="3"/>
          </w:tcPr>
          <w:p>
            <w:pPr>
              <w:jc w:val="center"/>
              <w:ind w:left="23"/>
              <w:spacing w:after="0" w:line="122" w:lineRule="exact"/>
              <w:rPr>
                <w:sz w:val="20"/>
                <w:szCs w:val="20"/>
                <w:color w:val="auto"/>
              </w:rPr>
            </w:pPr>
            <w:r>
              <w:rPr>
                <w:rFonts w:ascii="Arial" w:cs="Arial" w:eastAsia="Arial" w:hAnsi="Arial"/>
                <w:sz w:val="11"/>
                <w:szCs w:val="11"/>
                <w:b w:val="1"/>
                <w:bCs w:val="1"/>
                <w:color w:val="auto"/>
                <w:w w:val="92"/>
              </w:rPr>
              <w:t>Target for NEOs</w:t>
            </w:r>
          </w:p>
        </w:tc>
        <w:tc>
          <w:tcPr>
            <w:tcW w:w="18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Target for</w:t>
            </w:r>
          </w:p>
        </w:tc>
        <w:tc>
          <w:tcPr>
            <w:tcW w:w="0" w:type="dxa"/>
            <w:vAlign w:val="bottom"/>
          </w:tcPr>
          <w:p>
            <w:pPr>
              <w:spacing w:after="0"/>
              <w:rPr>
                <w:sz w:val="1"/>
                <w:szCs w:val="1"/>
                <w:color w:val="auto"/>
              </w:rPr>
            </w:pPr>
          </w:p>
        </w:tc>
      </w:tr>
      <w:tr>
        <w:trPr>
          <w:trHeight w:val="122"/>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Corporate</w:t>
            </w:r>
          </w:p>
        </w:tc>
        <w:tc>
          <w:tcPr>
            <w:tcW w:w="1280" w:type="dxa"/>
            <w:vAlign w:val="bottom"/>
            <w:gridSpan w:val="3"/>
            <w:vMerge w:val="continue"/>
          </w:tcPr>
          <w:p>
            <w:pPr>
              <w:spacing w:after="0"/>
              <w:rPr>
                <w:sz w:val="10"/>
                <w:szCs w:val="10"/>
                <w:color w:val="auto"/>
              </w:rPr>
            </w:pPr>
          </w:p>
        </w:tc>
        <w:tc>
          <w:tcPr>
            <w:tcW w:w="1020" w:type="dxa"/>
            <w:vAlign w:val="bottom"/>
            <w:gridSpan w:val="3"/>
          </w:tcPr>
          <w:p>
            <w:pPr>
              <w:jc w:val="center"/>
              <w:ind w:left="23"/>
              <w:spacing w:after="0" w:line="122" w:lineRule="exact"/>
              <w:rPr>
                <w:sz w:val="20"/>
                <w:szCs w:val="20"/>
                <w:color w:val="auto"/>
              </w:rPr>
            </w:pPr>
            <w:r>
              <w:rPr>
                <w:rFonts w:ascii="Arial" w:cs="Arial" w:eastAsia="Arial" w:hAnsi="Arial"/>
                <w:sz w:val="11"/>
                <w:szCs w:val="11"/>
                <w:b w:val="1"/>
                <w:bCs w:val="1"/>
                <w:color w:val="auto"/>
                <w:w w:val="88"/>
              </w:rPr>
              <w:t>except Mr. Gaeta</w:t>
            </w:r>
          </w:p>
        </w:tc>
        <w:tc>
          <w:tcPr>
            <w:tcW w:w="18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Mr. Gaeta</w:t>
            </w:r>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600" w:type="dxa"/>
            <w:vAlign w:val="bottom"/>
            <w:vMerge w:val="restart"/>
          </w:tcPr>
          <w:p>
            <w:pPr>
              <w:ind w:left="260"/>
              <w:spacing w:after="0" w:line="139" w:lineRule="exact"/>
              <w:rPr>
                <w:sz w:val="20"/>
                <w:szCs w:val="20"/>
                <w:color w:val="auto"/>
              </w:rPr>
            </w:pPr>
            <w:r>
              <w:rPr>
                <w:rFonts w:ascii="Arial" w:cs="Arial" w:eastAsia="Arial" w:hAnsi="Arial"/>
                <w:sz w:val="14"/>
                <w:szCs w:val="14"/>
                <w:color w:val="auto"/>
                <w:w w:val="91"/>
              </w:rPr>
              <w:t>Sales</w:t>
            </w: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9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20" w:type="dxa"/>
            <w:vAlign w:val="bottom"/>
          </w:tcPr>
          <w:p>
            <w:pPr>
              <w:spacing w:after="0" w:line="119" w:lineRule="exact"/>
              <w:rPr>
                <w:sz w:val="20"/>
                <w:szCs w:val="20"/>
                <w:color w:val="auto"/>
              </w:rPr>
            </w:pPr>
            <w:r>
              <w:rPr>
                <w:rFonts w:ascii="Arial" w:cs="Arial" w:eastAsia="Arial" w:hAnsi="Arial"/>
                <w:sz w:val="13"/>
                <w:szCs w:val="13"/>
                <w:color w:val="auto"/>
                <w:w w:val="71"/>
              </w:rPr>
              <w:t>(excludes</w:t>
            </w:r>
          </w:p>
        </w:tc>
        <w:tc>
          <w:tcPr>
            <w:tcW w:w="260" w:type="dxa"/>
            <w:vAlign w:val="bottom"/>
            <w:vMerge w:val="continue"/>
          </w:tcPr>
          <w:p>
            <w:pPr>
              <w:spacing w:after="0"/>
              <w:rPr>
                <w:sz w:val="10"/>
                <w:szCs w:val="10"/>
                <w:color w:val="auto"/>
              </w:rPr>
            </w:pPr>
          </w:p>
        </w:tc>
        <w:tc>
          <w:tcPr>
            <w:tcW w:w="940" w:type="dxa"/>
            <w:vAlign w:val="bottom"/>
            <w:gridSpan w:val="2"/>
          </w:tcPr>
          <w:p>
            <w:pPr>
              <w:jc w:val="center"/>
              <w:ind w:left="103"/>
              <w:spacing w:after="0" w:line="119" w:lineRule="exact"/>
              <w:rPr>
                <w:sz w:val="20"/>
                <w:szCs w:val="20"/>
                <w:color w:val="auto"/>
              </w:rPr>
            </w:pPr>
            <w:r>
              <w:rPr>
                <w:rFonts w:ascii="Arial" w:cs="Arial" w:eastAsia="Arial" w:hAnsi="Arial"/>
                <w:sz w:val="13"/>
                <w:szCs w:val="13"/>
                <w:color w:val="auto"/>
              </w:rPr>
              <w:t>40.0%</w:t>
            </w:r>
          </w:p>
        </w:tc>
        <w:tc>
          <w:tcPr>
            <w:tcW w:w="80" w:type="dxa"/>
            <w:vAlign w:val="bottom"/>
          </w:tcPr>
          <w:p>
            <w:pPr>
              <w:spacing w:after="0"/>
              <w:rPr>
                <w:sz w:val="10"/>
                <w:szCs w:val="10"/>
                <w:color w:val="auto"/>
              </w:rPr>
            </w:pPr>
          </w:p>
        </w:tc>
        <w:tc>
          <w:tcPr>
            <w:tcW w:w="640" w:type="dxa"/>
            <w:vAlign w:val="bottom"/>
            <w:gridSpan w:val="2"/>
          </w:tcPr>
          <w:p>
            <w:pPr>
              <w:jc w:val="center"/>
              <w:ind w:left="120"/>
              <w:spacing w:after="0" w:line="119" w:lineRule="exact"/>
              <w:rPr>
                <w:sz w:val="20"/>
                <w:szCs w:val="20"/>
                <w:color w:val="auto"/>
              </w:rPr>
            </w:pPr>
            <w:r>
              <w:rPr>
                <w:rFonts w:ascii="Arial" w:cs="Arial" w:eastAsia="Arial" w:hAnsi="Arial"/>
                <w:sz w:val="13"/>
                <w:szCs w:val="13"/>
                <w:color w:val="auto"/>
              </w:rPr>
              <w:t>20.0%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900" w:type="dxa"/>
            <w:vAlign w:val="bottom"/>
          </w:tcPr>
          <w:p>
            <w:pPr>
              <w:spacing w:after="0" w:line="153" w:lineRule="exact"/>
              <w:rPr>
                <w:sz w:val="20"/>
                <w:szCs w:val="20"/>
                <w:color w:val="auto"/>
              </w:rPr>
            </w:pPr>
            <w:r>
              <w:rPr>
                <w:rFonts w:ascii="Arial" w:cs="Arial" w:eastAsia="Arial" w:hAnsi="Arial"/>
                <w:sz w:val="14"/>
                <w:szCs w:val="14"/>
                <w:b w:val="1"/>
                <w:bCs w:val="1"/>
                <w:color w:val="auto"/>
              </w:rPr>
              <w:t>Target 1</w:t>
            </w:r>
          </w:p>
        </w:tc>
        <w:tc>
          <w:tcPr>
            <w:tcW w:w="1280" w:type="dxa"/>
            <w:vAlign w:val="bottom"/>
            <w:gridSpan w:val="3"/>
          </w:tcPr>
          <w:p>
            <w:pPr>
              <w:ind w:left="260"/>
              <w:spacing w:after="0" w:line="153" w:lineRule="exact"/>
              <w:rPr>
                <w:sz w:val="20"/>
                <w:szCs w:val="20"/>
                <w:color w:val="auto"/>
              </w:rPr>
            </w:pPr>
            <w:r>
              <w:rPr>
                <w:rFonts w:ascii="Arial" w:cs="Arial" w:eastAsia="Arial" w:hAnsi="Arial"/>
                <w:sz w:val="14"/>
                <w:szCs w:val="14"/>
                <w:color w:val="auto"/>
              </w:rPr>
              <w:t>wholesale</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1280" w:type="dxa"/>
            <w:vAlign w:val="bottom"/>
            <w:gridSpan w:val="3"/>
          </w:tcPr>
          <w:p>
            <w:pPr>
              <w:ind w:left="260"/>
              <w:spacing w:after="0"/>
              <w:rPr>
                <w:sz w:val="20"/>
                <w:szCs w:val="20"/>
                <w:color w:val="auto"/>
              </w:rPr>
            </w:pPr>
            <w:r>
              <w:rPr>
                <w:rFonts w:ascii="Arial" w:cs="Arial" w:eastAsia="Arial" w:hAnsi="Arial"/>
                <w:sz w:val="14"/>
                <w:szCs w:val="14"/>
                <w:color w:val="auto"/>
              </w:rPr>
              <w:t>segment)</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3"/>
          </w:tcPr>
          <w:p>
            <w:pPr>
              <w:ind w:left="860"/>
              <w:spacing w:after="0"/>
              <w:rPr>
                <w:sz w:val="20"/>
                <w:szCs w:val="20"/>
                <w:color w:val="auto"/>
              </w:rPr>
            </w:pPr>
            <w:r>
              <w:rPr>
                <w:rFonts w:ascii="Arial" w:cs="Arial" w:eastAsia="Arial" w:hAnsi="Arial"/>
                <w:sz w:val="14"/>
                <w:szCs w:val="14"/>
                <w:b w:val="1"/>
                <w:bCs w:val="1"/>
                <w:color w:val="auto"/>
              </w:rPr>
              <w:t>Minimum/Maximum</w:t>
            </w:r>
          </w:p>
        </w:tc>
        <w:tc>
          <w:tcPr>
            <w:tcW w:w="320" w:type="dxa"/>
            <w:vAlign w:val="bottom"/>
          </w:tcPr>
          <w:p>
            <w:pPr>
              <w:spacing w:after="0"/>
              <w:rPr>
                <w:sz w:val="14"/>
                <w:szCs w:val="14"/>
                <w:color w:val="auto"/>
              </w:rPr>
            </w:pPr>
          </w:p>
        </w:tc>
        <w:tc>
          <w:tcPr>
            <w:tcW w:w="112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w w:val="89"/>
              </w:rPr>
              <w:t>2019 Target</w:t>
            </w:r>
          </w:p>
        </w:tc>
        <w:tc>
          <w:tcPr>
            <w:tcW w:w="140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5"/>
              </w:rPr>
              <w:t>2019 Actual (1)</w:t>
            </w:r>
          </w:p>
        </w:tc>
        <w:tc>
          <w:tcPr>
            <w:tcW w:w="880" w:type="dxa"/>
            <w:vAlign w:val="bottom"/>
            <w:gridSpan w:val="3"/>
          </w:tcPr>
          <w:p>
            <w:pPr>
              <w:ind w:left="260"/>
              <w:spacing w:after="0"/>
              <w:rPr>
                <w:sz w:val="20"/>
                <w:szCs w:val="20"/>
                <w:color w:val="auto"/>
              </w:rPr>
            </w:pPr>
            <w:r>
              <w:rPr>
                <w:rFonts w:ascii="Arial" w:cs="Arial" w:eastAsia="Arial" w:hAnsi="Arial"/>
                <w:sz w:val="14"/>
                <w:szCs w:val="14"/>
                <w:b w:val="1"/>
                <w:bCs w:val="1"/>
                <w:color w:val="auto"/>
                <w:w w:val="95"/>
              </w:rPr>
              <w:t>Payout %</w:t>
            </w:r>
          </w:p>
        </w:tc>
        <w:tc>
          <w:tcPr>
            <w:tcW w:w="0" w:type="dxa"/>
            <w:vAlign w:val="bottom"/>
          </w:tcPr>
          <w:p>
            <w:pPr>
              <w:spacing w:after="0"/>
              <w:rPr>
                <w:sz w:val="1"/>
                <w:szCs w:val="1"/>
                <w:color w:val="auto"/>
              </w:rPr>
            </w:pPr>
          </w:p>
        </w:tc>
      </w:tr>
      <w:tr>
        <w:trPr>
          <w:trHeight w:val="158"/>
        </w:trPr>
        <w:tc>
          <w:tcPr>
            <w:tcW w:w="1000" w:type="dxa"/>
            <w:vAlign w:val="bottom"/>
          </w:tcPr>
          <w:p>
            <w:pPr>
              <w:spacing w:after="0"/>
              <w:rPr>
                <w:sz w:val="13"/>
                <w:szCs w:val="13"/>
                <w:color w:val="auto"/>
              </w:rPr>
            </w:pPr>
          </w:p>
        </w:tc>
        <w:tc>
          <w:tcPr>
            <w:tcW w:w="1020" w:type="dxa"/>
            <w:vAlign w:val="bottom"/>
          </w:tcPr>
          <w:p>
            <w:pPr>
              <w:spacing w:after="0" w:line="158" w:lineRule="exact"/>
              <w:rPr>
                <w:sz w:val="20"/>
                <w:szCs w:val="20"/>
                <w:color w:val="auto"/>
              </w:rPr>
            </w:pPr>
            <w:r>
              <w:rPr>
                <w:rFonts w:ascii="Arial" w:cs="Arial" w:eastAsia="Arial" w:hAnsi="Arial"/>
                <w:sz w:val="14"/>
                <w:szCs w:val="14"/>
                <w:b w:val="1"/>
                <w:bCs w:val="1"/>
                <w:color w:val="auto"/>
                <w:w w:val="91"/>
              </w:rPr>
              <w:t>Potential Payout</w:t>
            </w: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880" w:type="dxa"/>
            <w:vAlign w:val="bottom"/>
            <w:gridSpan w:val="3"/>
          </w:tcPr>
          <w:p>
            <w:pPr>
              <w:jc w:val="center"/>
              <w:ind w:left="188"/>
              <w:spacing w:after="0" w:line="158" w:lineRule="exact"/>
              <w:rPr>
                <w:sz w:val="20"/>
                <w:szCs w:val="20"/>
                <w:color w:val="auto"/>
              </w:rPr>
            </w:pPr>
            <w:r>
              <w:rPr>
                <w:rFonts w:ascii="Arial" w:cs="Arial" w:eastAsia="Arial" w:hAnsi="Arial"/>
                <w:sz w:val="14"/>
                <w:szCs w:val="14"/>
                <w:b w:val="1"/>
                <w:bCs w:val="1"/>
                <w:color w:val="auto"/>
                <w:w w:val="91"/>
              </w:rPr>
              <w:t>earned(2)</w:t>
            </w: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line="143" w:lineRule="exact"/>
              <w:rPr>
                <w:sz w:val="20"/>
                <w:szCs w:val="20"/>
                <w:color w:val="auto"/>
              </w:rPr>
            </w:pPr>
            <w:r>
              <w:rPr>
                <w:rFonts w:ascii="Arial" w:cs="Arial" w:eastAsia="Arial" w:hAnsi="Arial"/>
                <w:sz w:val="14"/>
                <w:szCs w:val="14"/>
                <w:color w:val="auto"/>
              </w:rPr>
              <w:t>100% payout at</w:t>
            </w:r>
          </w:p>
        </w:tc>
        <w:tc>
          <w:tcPr>
            <w:tcW w:w="102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143" w:lineRule="exact"/>
              <w:rPr>
                <w:sz w:val="20"/>
                <w:szCs w:val="20"/>
                <w:color w:val="auto"/>
              </w:rPr>
            </w:pPr>
            <w:r>
              <w:rPr>
                <w:rFonts w:ascii="Arial" w:cs="Arial" w:eastAsia="Arial" w:hAnsi="Arial"/>
                <w:sz w:val="14"/>
                <w:szCs w:val="14"/>
                <w:color w:val="auto"/>
              </w:rPr>
              <w:t>payout at 99.0%</w:t>
            </w: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168"/>
              <w:spacing w:after="0" w:line="143" w:lineRule="exact"/>
              <w:rPr>
                <w:sz w:val="20"/>
                <w:szCs w:val="20"/>
                <w:color w:val="auto"/>
              </w:rPr>
            </w:pPr>
            <w:r>
              <w:rPr>
                <w:rFonts w:ascii="Arial" w:cs="Arial" w:eastAsia="Arial" w:hAnsi="Arial"/>
                <w:sz w:val="14"/>
                <w:szCs w:val="14"/>
                <w:color w:val="auto"/>
                <w:w w:val="81"/>
              </w:rPr>
              <w:t>(3)</w:t>
            </w: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000" w:type="dxa"/>
            <w:vAlign w:val="bottom"/>
            <w:vMerge w:val="continue"/>
          </w:tcPr>
          <w:p>
            <w:pPr>
              <w:spacing w:after="0"/>
              <w:rPr>
                <w:sz w:val="10"/>
                <w:szCs w:val="10"/>
                <w:color w:val="auto"/>
              </w:rPr>
            </w:pPr>
          </w:p>
        </w:tc>
        <w:tc>
          <w:tcPr>
            <w:tcW w:w="1020" w:type="dxa"/>
            <w:vAlign w:val="bottom"/>
          </w:tcPr>
          <w:p>
            <w:pPr>
              <w:spacing w:after="0" w:line="123" w:lineRule="exact"/>
              <w:rPr>
                <w:sz w:val="20"/>
                <w:szCs w:val="20"/>
                <w:color w:val="auto"/>
              </w:rPr>
            </w:pPr>
            <w:r>
              <w:rPr>
                <w:rFonts w:ascii="Arial" w:cs="Arial" w:eastAsia="Arial" w:hAnsi="Arial"/>
                <w:sz w:val="14"/>
                <w:szCs w:val="14"/>
                <w:color w:val="auto"/>
                <w:w w:val="99"/>
              </w:rPr>
              <w:t>target, with 50%</w:t>
            </w:r>
          </w:p>
        </w:tc>
        <w:tc>
          <w:tcPr>
            <w:tcW w:w="1140" w:type="dxa"/>
            <w:vAlign w:val="bottom"/>
            <w:vMerge w:val="continue"/>
          </w:tcPr>
          <w:p>
            <w:pPr>
              <w:spacing w:after="0"/>
              <w:rPr>
                <w:sz w:val="10"/>
                <w:szCs w:val="10"/>
                <w:color w:val="auto"/>
              </w:rPr>
            </w:pPr>
          </w:p>
        </w:tc>
        <w:tc>
          <w:tcPr>
            <w:tcW w:w="1040" w:type="dxa"/>
            <w:vAlign w:val="bottom"/>
            <w:gridSpan w:val="2"/>
          </w:tcPr>
          <w:p>
            <w:pPr>
              <w:ind w:left="160"/>
              <w:spacing w:after="0" w:line="123" w:lineRule="exact"/>
              <w:rPr>
                <w:sz w:val="20"/>
                <w:szCs w:val="20"/>
                <w:color w:val="auto"/>
              </w:rPr>
            </w:pPr>
            <w:r>
              <w:rPr>
                <w:rFonts w:ascii="Arial" w:cs="Arial" w:eastAsia="Arial" w:hAnsi="Arial"/>
                <w:sz w:val="14"/>
                <w:szCs w:val="14"/>
                <w:color w:val="auto"/>
                <w:w w:val="99"/>
              </w:rPr>
              <w:t>$466.8 million</w:t>
            </w: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tcPr>
          <w:p>
            <w:pPr>
              <w:jc w:val="center"/>
              <w:ind w:right="240"/>
              <w:spacing w:after="0" w:line="123" w:lineRule="exact"/>
              <w:rPr>
                <w:sz w:val="20"/>
                <w:szCs w:val="20"/>
                <w:color w:val="auto"/>
              </w:rPr>
            </w:pPr>
            <w:r>
              <w:rPr>
                <w:rFonts w:ascii="Arial" w:cs="Arial" w:eastAsia="Arial" w:hAnsi="Arial"/>
                <w:sz w:val="14"/>
                <w:szCs w:val="14"/>
                <w:color w:val="auto"/>
                <w:w w:val="99"/>
              </w:rPr>
              <w:t>$461.5 million</w:t>
            </w:r>
          </w:p>
        </w:tc>
        <w:tc>
          <w:tcPr>
            <w:tcW w:w="86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w w:val="98"/>
              </w:rPr>
              <w:t>of target and 150% payout at 100.8% of target, with</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the exception of Mr. Kanter who was eligible for</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gridSpan w:val="3"/>
          </w:tcPr>
          <w:p>
            <w:pPr>
              <w:spacing w:after="0"/>
              <w:rPr>
                <w:sz w:val="20"/>
                <w:szCs w:val="20"/>
                <w:color w:val="auto"/>
              </w:rPr>
            </w:pPr>
            <w:r>
              <w:rPr>
                <w:rFonts w:ascii="Arial" w:cs="Arial" w:eastAsia="Arial" w:hAnsi="Arial"/>
                <w:sz w:val="14"/>
                <w:szCs w:val="14"/>
                <w:color w:val="auto"/>
              </w:rPr>
              <w:t>maximum payout of 200% at 100.8% of target.</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-386080</wp:posOffset>
            </wp:positionV>
            <wp:extent cx="7140575" cy="608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608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120"/>
            <w:col w:w="7180"/>
          </w:cols>
          <w:pgMar w:left="320" w:top="557" w:right="319" w:bottom="1440" w:gutter="0" w:footer="0" w:header="0"/>
          <w:type w:val="continuous"/>
        </w:sectPr>
      </w:pP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b w:val="1"/>
                <w:bCs w:val="1"/>
                <w:color w:val="auto"/>
              </w:rPr>
              <w:t>Corporate</w:t>
            </w:r>
          </w:p>
        </w:tc>
        <w:tc>
          <w:tcPr>
            <w:tcW w:w="1400" w:type="dxa"/>
            <w:vAlign w:val="bottom"/>
          </w:tcPr>
          <w:p>
            <w:pPr>
              <w:ind w:left="160"/>
              <w:spacing w:after="0"/>
              <w:rPr>
                <w:sz w:val="20"/>
                <w:szCs w:val="20"/>
                <w:color w:val="auto"/>
              </w:rPr>
            </w:pPr>
            <w:r>
              <w:rPr>
                <w:rFonts w:ascii="Arial" w:cs="Arial" w:eastAsia="Arial" w:hAnsi="Arial"/>
                <w:sz w:val="14"/>
                <w:szCs w:val="14"/>
                <w:color w:val="auto"/>
              </w:rPr>
              <w:t>Adjusted EBITDA</w:t>
            </w:r>
          </w:p>
        </w:tc>
        <w:tc>
          <w:tcPr>
            <w:tcW w:w="760" w:type="dxa"/>
            <w:vAlign w:val="bottom"/>
          </w:tcPr>
          <w:p>
            <w:pPr>
              <w:jc w:val="center"/>
              <w:ind w:right="28"/>
              <w:spacing w:after="0"/>
              <w:rPr>
                <w:sz w:val="20"/>
                <w:szCs w:val="20"/>
                <w:color w:val="auto"/>
              </w:rPr>
            </w:pPr>
            <w:r>
              <w:rPr>
                <w:rFonts w:ascii="Arial" w:cs="Arial" w:eastAsia="Arial" w:hAnsi="Arial"/>
                <w:sz w:val="14"/>
                <w:szCs w:val="14"/>
                <w:color w:val="auto"/>
                <w:w w:val="95"/>
              </w:rPr>
              <w:t>40.0%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20.0%</w:t>
            </w:r>
          </w:p>
        </w:tc>
        <w:tc>
          <w:tcPr>
            <w:tcW w:w="3220" w:type="dxa"/>
            <w:vAlign w:val="bottom"/>
          </w:tcPr>
          <w:p>
            <w:pPr>
              <w:ind w:left="140"/>
              <w:spacing w:after="0"/>
              <w:rPr>
                <w:sz w:val="20"/>
                <w:szCs w:val="20"/>
                <w:color w:val="auto"/>
              </w:rPr>
            </w:pPr>
            <w:r>
              <w:rPr>
                <w:rFonts w:ascii="Arial" w:cs="Arial" w:eastAsia="Arial" w:hAnsi="Arial"/>
                <w:sz w:val="14"/>
                <w:szCs w:val="14"/>
                <w:color w:val="auto"/>
                <w:w w:val="99"/>
              </w:rPr>
              <w:t>100% payout at target, with 50% payout at 96.0%</w:t>
            </w:r>
          </w:p>
        </w:tc>
        <w:tc>
          <w:tcPr>
            <w:tcW w:w="1560" w:type="dxa"/>
            <w:vAlign w:val="bottom"/>
          </w:tcPr>
          <w:p>
            <w:pPr>
              <w:jc w:val="center"/>
              <w:spacing w:after="0"/>
              <w:rPr>
                <w:sz w:val="20"/>
                <w:szCs w:val="20"/>
                <w:color w:val="auto"/>
              </w:rPr>
            </w:pPr>
            <w:r>
              <w:rPr>
                <w:rFonts w:ascii="Arial" w:cs="Arial" w:eastAsia="Arial" w:hAnsi="Arial"/>
                <w:sz w:val="14"/>
                <w:szCs w:val="14"/>
                <w:color w:val="auto"/>
                <w:w w:val="98"/>
              </w:rPr>
              <w:t>$22.4 million (4)</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$23.5 million</w:t>
            </w:r>
          </w:p>
        </w:tc>
        <w:tc>
          <w:tcPr>
            <w:tcW w:w="1300" w:type="dxa"/>
            <w:vAlign w:val="bottom"/>
          </w:tcPr>
          <w:p>
            <w:pPr>
              <w:jc w:val="right"/>
              <w:ind w:right="348"/>
              <w:spacing w:after="0"/>
              <w:rPr>
                <w:sz w:val="20"/>
                <w:szCs w:val="20"/>
                <w:color w:val="auto"/>
              </w:rPr>
            </w:pPr>
            <w:r>
              <w:rPr>
                <w:rFonts w:ascii="Arial" w:cs="Arial" w:eastAsia="Arial" w:hAnsi="Arial"/>
                <w:sz w:val="14"/>
                <w:szCs w:val="14"/>
                <w:color w:val="auto"/>
              </w:rPr>
              <w:t>30.0%</w:t>
            </w:r>
          </w:p>
        </w:tc>
      </w:tr>
      <w:tr>
        <w:trPr>
          <w:trHeight w:val="153"/>
        </w:trPr>
        <w:tc>
          <w:tcPr>
            <w:tcW w:w="1000" w:type="dxa"/>
            <w:vAlign w:val="bottom"/>
          </w:tcPr>
          <w:p>
            <w:pPr>
              <w:spacing w:after="0" w:line="153" w:lineRule="exact"/>
              <w:rPr>
                <w:sz w:val="20"/>
                <w:szCs w:val="20"/>
                <w:color w:val="auto"/>
              </w:rPr>
            </w:pPr>
            <w:r>
              <w:rPr>
                <w:rFonts w:ascii="Arial" w:cs="Arial" w:eastAsia="Arial" w:hAnsi="Arial"/>
                <w:sz w:val="14"/>
                <w:szCs w:val="14"/>
                <w:b w:val="1"/>
                <w:bCs w:val="1"/>
                <w:color w:val="auto"/>
              </w:rPr>
              <w:t>Target 2</w:t>
            </w:r>
          </w:p>
        </w:tc>
        <w:tc>
          <w:tcPr>
            <w:tcW w:w="1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20" w:type="dxa"/>
            <w:vAlign w:val="bottom"/>
          </w:tcPr>
          <w:p>
            <w:pPr>
              <w:ind w:left="140"/>
              <w:spacing w:after="0" w:line="153" w:lineRule="exact"/>
              <w:rPr>
                <w:sz w:val="20"/>
                <w:szCs w:val="20"/>
                <w:color w:val="auto"/>
              </w:rPr>
            </w:pPr>
            <w:r>
              <w:rPr>
                <w:rFonts w:ascii="Arial" w:cs="Arial" w:eastAsia="Arial" w:hAnsi="Arial"/>
                <w:sz w:val="14"/>
                <w:szCs w:val="14"/>
                <w:color w:val="auto"/>
                <w:w w:val="95"/>
              </w:rPr>
              <w:t>of target and 150% payout at 102.2% of target, with</w:t>
            </w:r>
          </w:p>
        </w:tc>
        <w:tc>
          <w:tcPr>
            <w:tcW w:w="1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jc w:val="center"/>
              <w:ind w:left="8"/>
              <w:spacing w:after="0" w:line="153" w:lineRule="exact"/>
              <w:rPr>
                <w:sz w:val="20"/>
                <w:szCs w:val="20"/>
                <w:color w:val="auto"/>
              </w:rPr>
            </w:pPr>
            <w:r>
              <w:rPr>
                <w:rFonts w:ascii="Arial" w:cs="Arial" w:eastAsia="Arial" w:hAnsi="Arial"/>
                <w:sz w:val="14"/>
                <w:szCs w:val="14"/>
                <w:color w:val="auto"/>
                <w:w w:val="96"/>
              </w:rPr>
              <w:t>(40% for Mr. Kanter</w:t>
            </w:r>
          </w:p>
        </w:tc>
      </w:tr>
      <w:tr>
        <w:trPr>
          <w:trHeight w:val="148"/>
        </w:trPr>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the exception of Mr. Kanter who was eligible for a</w:t>
            </w: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jc w:val="center"/>
              <w:ind w:left="8"/>
              <w:spacing w:after="0" w:line="149" w:lineRule="exact"/>
              <w:rPr>
                <w:sz w:val="20"/>
                <w:szCs w:val="20"/>
                <w:color w:val="auto"/>
              </w:rPr>
            </w:pPr>
            <w:r>
              <w:rPr>
                <w:rFonts w:ascii="Arial" w:cs="Arial" w:eastAsia="Arial" w:hAnsi="Arial"/>
                <w:sz w:val="14"/>
                <w:szCs w:val="14"/>
                <w:color w:val="auto"/>
                <w:w w:val="94"/>
              </w:rPr>
              <w:t>and 15% for Mr.</w:t>
            </w:r>
          </w:p>
        </w:tc>
      </w:tr>
      <w:tr>
        <w:trPr>
          <w:trHeight w:val="182"/>
        </w:trPr>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20" w:type="dxa"/>
            <w:vAlign w:val="bottom"/>
          </w:tcPr>
          <w:p>
            <w:pPr>
              <w:ind w:left="140"/>
              <w:spacing w:after="0"/>
              <w:rPr>
                <w:sz w:val="20"/>
                <w:szCs w:val="20"/>
                <w:color w:val="auto"/>
              </w:rPr>
            </w:pPr>
            <w:r>
              <w:rPr>
                <w:rFonts w:ascii="Arial" w:cs="Arial" w:eastAsia="Arial" w:hAnsi="Arial"/>
                <w:sz w:val="14"/>
                <w:szCs w:val="14"/>
                <w:color w:val="auto"/>
              </w:rPr>
              <w:t>maximum payout of 200% at 102.2% of target.</w:t>
            </w:r>
          </w:p>
        </w:tc>
        <w:tc>
          <w:tcPr>
            <w:tcW w:w="15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00" w:type="dxa"/>
            <w:vAlign w:val="bottom"/>
          </w:tcPr>
          <w:p>
            <w:pPr>
              <w:jc w:val="center"/>
              <w:ind w:left="8"/>
              <w:spacing w:after="0"/>
              <w:rPr>
                <w:sz w:val="20"/>
                <w:szCs w:val="20"/>
                <w:color w:val="auto"/>
              </w:rPr>
            </w:pPr>
            <w:r>
              <w:rPr>
                <w:rFonts w:ascii="Arial" w:cs="Arial" w:eastAsia="Arial" w:hAnsi="Arial"/>
                <w:sz w:val="14"/>
                <w:szCs w:val="14"/>
                <w:color w:val="auto"/>
                <w:w w:val="88"/>
              </w:rPr>
              <w:t>Gaeta)</w:t>
            </w:r>
          </w:p>
        </w:tc>
      </w:tr>
      <w:tr>
        <w:trPr>
          <w:trHeight w:val="134"/>
        </w:trPr>
        <w:tc>
          <w:tcPr>
            <w:tcW w:w="2400" w:type="dxa"/>
            <w:vAlign w:val="bottom"/>
            <w:gridSpan w:val="2"/>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30"/>
        </w:trPr>
        <w:tc>
          <w:tcPr>
            <w:tcW w:w="2400" w:type="dxa"/>
            <w:vAlign w:val="bottom"/>
            <w:gridSpan w:val="2"/>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 xml:space="preserve">Personal Target 3 </w:t>
            </w:r>
            <w:r>
              <w:rPr>
                <w:rFonts w:ascii="Arial" w:cs="Arial" w:eastAsia="Arial" w:hAnsi="Arial"/>
                <w:sz w:val="14"/>
                <w:szCs w:val="14"/>
                <w:color w:val="auto"/>
              </w:rPr>
              <w:t>Discretionary –</w:t>
            </w:r>
          </w:p>
        </w:tc>
        <w:tc>
          <w:tcPr>
            <w:tcW w:w="760" w:type="dxa"/>
            <w:vAlign w:val="bottom"/>
            <w:shd w:val="clear" w:color="auto" w:fill="CFF0FC"/>
          </w:tcPr>
          <w:p>
            <w:pPr>
              <w:jc w:val="center"/>
              <w:ind w:right="28"/>
              <w:spacing w:after="0" w:line="130" w:lineRule="exact"/>
              <w:rPr>
                <w:sz w:val="20"/>
                <w:szCs w:val="20"/>
                <w:color w:val="auto"/>
              </w:rPr>
            </w:pPr>
            <w:r>
              <w:rPr>
                <w:rFonts w:ascii="Arial" w:cs="Arial" w:eastAsia="Arial" w:hAnsi="Arial"/>
                <w:sz w:val="14"/>
                <w:szCs w:val="14"/>
                <w:color w:val="auto"/>
                <w:w w:val="95"/>
              </w:rPr>
              <w:t>20.0%</w:t>
            </w:r>
          </w:p>
        </w:tc>
        <w:tc>
          <w:tcPr>
            <w:tcW w:w="780" w:type="dxa"/>
            <w:vAlign w:val="bottom"/>
            <w:shd w:val="clear" w:color="auto" w:fill="CFF0FC"/>
          </w:tcPr>
          <w:p>
            <w:pPr>
              <w:jc w:val="right"/>
              <w:ind w:right="68"/>
              <w:spacing w:after="0" w:line="130" w:lineRule="exact"/>
              <w:rPr>
                <w:sz w:val="20"/>
                <w:szCs w:val="20"/>
                <w:color w:val="auto"/>
              </w:rPr>
            </w:pPr>
            <w:r>
              <w:rPr>
                <w:rFonts w:ascii="Arial" w:cs="Arial" w:eastAsia="Arial" w:hAnsi="Arial"/>
                <w:sz w:val="14"/>
                <w:szCs w:val="14"/>
                <w:color w:val="auto"/>
              </w:rPr>
              <w:t>20.0%</w:t>
            </w:r>
          </w:p>
        </w:tc>
        <w:tc>
          <w:tcPr>
            <w:tcW w:w="3220" w:type="dxa"/>
            <w:vAlign w:val="bottom"/>
            <w:shd w:val="clear" w:color="auto" w:fill="CFF0FC"/>
          </w:tcPr>
          <w:p>
            <w:pPr>
              <w:ind w:left="140"/>
              <w:spacing w:after="0" w:line="130" w:lineRule="exact"/>
              <w:rPr>
                <w:sz w:val="20"/>
                <w:szCs w:val="20"/>
                <w:color w:val="auto"/>
              </w:rPr>
            </w:pPr>
            <w:r>
              <w:rPr>
                <w:rFonts w:ascii="Arial" w:cs="Arial" w:eastAsia="Arial" w:hAnsi="Arial"/>
                <w:sz w:val="14"/>
                <w:szCs w:val="14"/>
                <w:color w:val="auto"/>
              </w:rPr>
              <w:t>Discretionary, at target, based upon individual</w:t>
            </w:r>
          </w:p>
        </w:tc>
        <w:tc>
          <w:tcPr>
            <w:tcW w:w="1560" w:type="dxa"/>
            <w:vAlign w:val="bottom"/>
            <w:shd w:val="clear" w:color="auto" w:fill="CFF0FC"/>
          </w:tcPr>
          <w:p>
            <w:pPr>
              <w:jc w:val="center"/>
              <w:spacing w:after="0" w:line="130" w:lineRule="exact"/>
              <w:rPr>
                <w:sz w:val="20"/>
                <w:szCs w:val="20"/>
                <w:color w:val="auto"/>
              </w:rPr>
            </w:pPr>
            <w:r>
              <w:rPr>
                <w:rFonts w:ascii="Arial" w:cs="Arial" w:eastAsia="Arial" w:hAnsi="Arial"/>
                <w:sz w:val="14"/>
                <w:szCs w:val="14"/>
                <w:color w:val="auto"/>
                <w:w w:val="94"/>
              </w:rPr>
              <w:t>Varies by NEO</w:t>
            </w:r>
          </w:p>
        </w:tc>
        <w:tc>
          <w:tcPr>
            <w:tcW w:w="1240" w:type="dxa"/>
            <w:vAlign w:val="bottom"/>
            <w:shd w:val="clear" w:color="auto" w:fill="CFF0FC"/>
          </w:tcPr>
          <w:p>
            <w:pPr>
              <w:jc w:val="center"/>
              <w:spacing w:after="0" w:line="130" w:lineRule="exact"/>
              <w:rPr>
                <w:sz w:val="20"/>
                <w:szCs w:val="20"/>
                <w:color w:val="auto"/>
              </w:rPr>
            </w:pPr>
            <w:r>
              <w:rPr>
                <w:rFonts w:ascii="Arial" w:cs="Arial" w:eastAsia="Arial" w:hAnsi="Arial"/>
                <w:sz w:val="14"/>
                <w:szCs w:val="14"/>
                <w:color w:val="auto"/>
                <w:w w:val="92"/>
              </w:rPr>
              <w:t>Varies by NEO</w:t>
            </w:r>
          </w:p>
        </w:tc>
        <w:tc>
          <w:tcPr>
            <w:tcW w:w="1300" w:type="dxa"/>
            <w:vAlign w:val="bottom"/>
            <w:shd w:val="clear" w:color="auto" w:fill="CFF0FC"/>
          </w:tcPr>
          <w:p>
            <w:pPr>
              <w:jc w:val="right"/>
              <w:ind w:right="148"/>
              <w:spacing w:after="0" w:line="130" w:lineRule="exact"/>
              <w:rPr>
                <w:sz w:val="20"/>
                <w:szCs w:val="20"/>
                <w:color w:val="auto"/>
              </w:rPr>
            </w:pPr>
            <w:r>
              <w:rPr>
                <w:rFonts w:ascii="Arial" w:cs="Arial" w:eastAsia="Arial" w:hAnsi="Arial"/>
                <w:sz w:val="14"/>
                <w:szCs w:val="14"/>
                <w:color w:val="auto"/>
              </w:rPr>
              <w:t>15.0%-30.0%</w:t>
            </w: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ind w:left="160"/>
              <w:spacing w:after="0" w:line="149" w:lineRule="exact"/>
              <w:rPr>
                <w:sz w:val="20"/>
                <w:szCs w:val="20"/>
                <w:color w:val="auto"/>
              </w:rPr>
            </w:pPr>
            <w:r>
              <w:rPr>
                <w:rFonts w:ascii="Arial" w:cs="Arial" w:eastAsia="Arial" w:hAnsi="Arial"/>
                <w:sz w:val="14"/>
                <w:szCs w:val="14"/>
                <w:color w:val="auto"/>
              </w:rPr>
              <w:t>Personal Goals</w:t>
            </w: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5"/>
              </w:rPr>
              <w:t>performance, as evaluated by the CEO (except with</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9"/>
              </w:rPr>
              <w:t>respect to the CEO whose individual performance</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will be evaluated by the Compensation</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8"/>
              </w:rPr>
              <w:t>Committee). Participants were eligible to receive a</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9"/>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w w:val="99"/>
              </w:rPr>
              <w:t>discretionary award up to 30%, with the exception</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48"/>
        </w:trPr>
        <w:tc>
          <w:tcPr>
            <w:tcW w:w="10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220" w:type="dxa"/>
            <w:vAlign w:val="bottom"/>
            <w:shd w:val="clear" w:color="auto" w:fill="CFF0FC"/>
          </w:tcPr>
          <w:p>
            <w:pPr>
              <w:ind w:left="140"/>
              <w:spacing w:after="0" w:line="149" w:lineRule="exact"/>
              <w:rPr>
                <w:sz w:val="20"/>
                <w:szCs w:val="20"/>
                <w:color w:val="auto"/>
              </w:rPr>
            </w:pPr>
            <w:r>
              <w:rPr>
                <w:rFonts w:ascii="Arial" w:cs="Arial" w:eastAsia="Arial" w:hAnsi="Arial"/>
                <w:sz w:val="14"/>
                <w:szCs w:val="14"/>
                <w:color w:val="auto"/>
              </w:rPr>
              <w:t>of Mr. Kanter who was eligible to receive a</w:t>
            </w:r>
          </w:p>
        </w:tc>
        <w:tc>
          <w:tcPr>
            <w:tcW w:w="15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r>
      <w:tr>
        <w:trPr>
          <w:trHeight w:val="167"/>
        </w:trPr>
        <w:tc>
          <w:tcPr>
            <w:tcW w:w="10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2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discretionary award up to 40%. (5)</w:t>
            </w:r>
          </w:p>
        </w:tc>
        <w:tc>
          <w:tcPr>
            <w:tcW w:w="15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126"/>
        </w:trPr>
        <w:tc>
          <w:tcPr>
            <w:tcW w:w="1000" w:type="dxa"/>
            <w:vAlign w:val="bottom"/>
          </w:tcPr>
          <w:p>
            <w:pPr>
              <w:spacing w:after="0" w:line="126" w:lineRule="exact"/>
              <w:rPr>
                <w:sz w:val="20"/>
                <w:szCs w:val="20"/>
                <w:color w:val="auto"/>
              </w:rPr>
            </w:pPr>
            <w:r>
              <w:rPr>
                <w:rFonts w:ascii="Arial" w:cs="Arial" w:eastAsia="Arial" w:hAnsi="Arial"/>
                <w:sz w:val="14"/>
                <w:szCs w:val="14"/>
                <w:b w:val="1"/>
                <w:bCs w:val="1"/>
                <w:color w:val="auto"/>
              </w:rPr>
              <w:t>Departmental</w:t>
            </w:r>
          </w:p>
        </w:tc>
        <w:tc>
          <w:tcPr>
            <w:tcW w:w="1400" w:type="dxa"/>
            <w:vAlign w:val="bottom"/>
          </w:tcPr>
          <w:p>
            <w:pPr>
              <w:ind w:left="160"/>
              <w:spacing w:after="0" w:line="126" w:lineRule="exact"/>
              <w:rPr>
                <w:sz w:val="20"/>
                <w:szCs w:val="20"/>
                <w:color w:val="auto"/>
              </w:rPr>
            </w:pPr>
            <w:r>
              <w:rPr>
                <w:rFonts w:ascii="Arial" w:cs="Arial" w:eastAsia="Arial" w:hAnsi="Arial"/>
                <w:sz w:val="14"/>
                <w:szCs w:val="14"/>
                <w:color w:val="auto"/>
              </w:rPr>
              <w:t>Store Operations</w:t>
            </w:r>
          </w:p>
        </w:tc>
        <w:tc>
          <w:tcPr>
            <w:tcW w:w="760" w:type="dxa"/>
            <w:vAlign w:val="bottom"/>
          </w:tcPr>
          <w:p>
            <w:pPr>
              <w:jc w:val="center"/>
              <w:ind w:right="28"/>
              <w:spacing w:after="0" w:line="126"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line="126" w:lineRule="exact"/>
              <w:rPr>
                <w:sz w:val="20"/>
                <w:szCs w:val="20"/>
                <w:color w:val="auto"/>
              </w:rPr>
            </w:pPr>
            <w:r>
              <w:rPr>
                <w:rFonts w:ascii="Arial" w:cs="Arial" w:eastAsia="Arial" w:hAnsi="Arial"/>
                <w:sz w:val="14"/>
                <w:szCs w:val="14"/>
                <w:color w:val="auto"/>
              </w:rPr>
              <w:t>40.0%</w:t>
            </w:r>
          </w:p>
        </w:tc>
        <w:tc>
          <w:tcPr>
            <w:tcW w:w="3220" w:type="dxa"/>
            <w:vAlign w:val="bottom"/>
          </w:tcPr>
          <w:p>
            <w:pPr>
              <w:ind w:left="140"/>
              <w:spacing w:after="0" w:line="126" w:lineRule="exact"/>
              <w:rPr>
                <w:sz w:val="20"/>
                <w:szCs w:val="20"/>
                <w:color w:val="auto"/>
              </w:rPr>
            </w:pPr>
            <w:r>
              <w:rPr>
                <w:rFonts w:ascii="Arial" w:cs="Arial" w:eastAsia="Arial" w:hAnsi="Arial"/>
                <w:sz w:val="14"/>
                <w:szCs w:val="14"/>
                <w:color w:val="auto"/>
              </w:rPr>
              <w:t>Includes 10% for DXL store productivity spread;</w:t>
            </w:r>
          </w:p>
        </w:tc>
        <w:tc>
          <w:tcPr>
            <w:tcW w:w="1560" w:type="dxa"/>
            <w:vAlign w:val="bottom"/>
          </w:tcPr>
          <w:p>
            <w:pPr>
              <w:jc w:val="center"/>
              <w:spacing w:after="0" w:line="126" w:lineRule="exact"/>
              <w:rPr>
                <w:sz w:val="20"/>
                <w:szCs w:val="20"/>
                <w:color w:val="auto"/>
              </w:rPr>
            </w:pPr>
            <w:r>
              <w:rPr>
                <w:rFonts w:ascii="Arial" w:cs="Arial" w:eastAsia="Arial" w:hAnsi="Arial"/>
                <w:sz w:val="14"/>
                <w:szCs w:val="14"/>
                <w:color w:val="auto"/>
                <w:w w:val="95"/>
              </w:rPr>
              <w:t>Not publicly disclosed:</w:t>
            </w:r>
          </w:p>
        </w:tc>
        <w:tc>
          <w:tcPr>
            <w:tcW w:w="1240" w:type="dxa"/>
            <w:vAlign w:val="bottom"/>
          </w:tcPr>
          <w:p>
            <w:pPr>
              <w:spacing w:after="0"/>
              <w:rPr>
                <w:sz w:val="10"/>
                <w:szCs w:val="10"/>
                <w:color w:val="auto"/>
              </w:rPr>
            </w:pPr>
          </w:p>
        </w:tc>
        <w:tc>
          <w:tcPr>
            <w:tcW w:w="1300" w:type="dxa"/>
            <w:vAlign w:val="bottom"/>
          </w:tcPr>
          <w:p>
            <w:pPr>
              <w:jc w:val="center"/>
              <w:spacing w:after="0" w:line="126" w:lineRule="exact"/>
              <w:rPr>
                <w:sz w:val="20"/>
                <w:szCs w:val="20"/>
                <w:color w:val="auto"/>
              </w:rPr>
            </w:pPr>
            <w:r>
              <w:rPr>
                <w:rFonts w:ascii="Arial" w:cs="Arial" w:eastAsia="Arial" w:hAnsi="Arial"/>
                <w:sz w:val="14"/>
                <w:szCs w:val="14"/>
                <w:color w:val="auto"/>
                <w:w w:val="91"/>
              </w:rPr>
              <w:t>Capture rate: 7.0%</w:t>
            </w:r>
          </w:p>
        </w:tc>
      </w:tr>
      <w:tr>
        <w:trPr>
          <w:trHeight w:val="148"/>
        </w:trPr>
        <w:tc>
          <w:tcPr>
            <w:tcW w:w="1000" w:type="dxa"/>
            <w:vAlign w:val="bottom"/>
          </w:tcPr>
          <w:p>
            <w:pPr>
              <w:spacing w:after="0" w:line="149" w:lineRule="exact"/>
              <w:rPr>
                <w:sz w:val="20"/>
                <w:szCs w:val="20"/>
                <w:color w:val="auto"/>
              </w:rPr>
            </w:pPr>
            <w:r>
              <w:rPr>
                <w:rFonts w:ascii="Arial" w:cs="Arial" w:eastAsia="Arial" w:hAnsi="Arial"/>
                <w:sz w:val="14"/>
                <w:szCs w:val="14"/>
                <w:b w:val="1"/>
                <w:bCs w:val="1"/>
                <w:color w:val="auto"/>
              </w:rPr>
              <w:t>Goals, if</w:t>
            </w: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10% for universe comparable %, 10% for capture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2"/>
              </w:rPr>
              <w:t>Capture rate</w:t>
            </w: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53"/>
        </w:trPr>
        <w:tc>
          <w:tcPr>
            <w:tcW w:w="1000" w:type="dxa"/>
            <w:vAlign w:val="bottom"/>
          </w:tcPr>
          <w:p>
            <w:pPr>
              <w:spacing w:after="0" w:line="153" w:lineRule="exact"/>
              <w:rPr>
                <w:sz w:val="20"/>
                <w:szCs w:val="20"/>
                <w:color w:val="auto"/>
              </w:rPr>
            </w:pPr>
            <w:r>
              <w:rPr>
                <w:rFonts w:ascii="Arial" w:cs="Arial" w:eastAsia="Arial" w:hAnsi="Arial"/>
                <w:sz w:val="14"/>
                <w:szCs w:val="14"/>
                <w:b w:val="1"/>
                <w:bCs w:val="1"/>
                <w:color w:val="auto"/>
              </w:rPr>
              <w:t>applicable</w:t>
            </w:r>
          </w:p>
        </w:tc>
        <w:tc>
          <w:tcPr>
            <w:tcW w:w="1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20" w:type="dxa"/>
            <w:vAlign w:val="bottom"/>
          </w:tcPr>
          <w:p>
            <w:pPr>
              <w:ind w:left="140"/>
              <w:spacing w:after="0" w:line="153" w:lineRule="exact"/>
              <w:rPr>
                <w:sz w:val="20"/>
                <w:szCs w:val="20"/>
                <w:color w:val="auto"/>
              </w:rPr>
            </w:pPr>
            <w:r>
              <w:rPr>
                <w:rFonts w:ascii="Arial" w:cs="Arial" w:eastAsia="Arial" w:hAnsi="Arial"/>
                <w:sz w:val="14"/>
                <w:szCs w:val="14"/>
                <w:color w:val="auto"/>
              </w:rPr>
              <w:t>rates and 10% for customer counts. Except for</w:t>
            </w:r>
          </w:p>
        </w:tc>
        <w:tc>
          <w:tcPr>
            <w:tcW w:w="1560" w:type="dxa"/>
            <w:vAlign w:val="bottom"/>
          </w:tcPr>
          <w:p>
            <w:pPr>
              <w:jc w:val="center"/>
              <w:spacing w:after="0" w:line="153" w:lineRule="exact"/>
              <w:rPr>
                <w:sz w:val="20"/>
                <w:szCs w:val="20"/>
                <w:color w:val="auto"/>
              </w:rPr>
            </w:pPr>
            <w:r>
              <w:rPr>
                <w:rFonts w:ascii="Arial" w:cs="Arial" w:eastAsia="Arial" w:hAnsi="Arial"/>
                <w:sz w:val="14"/>
                <w:szCs w:val="14"/>
                <w:color w:val="auto"/>
                <w:w w:val="96"/>
              </w:rPr>
              <w:t>Store productivity</w:t>
            </w: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48"/>
        </w:trPr>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customer counts, the Company does not publicly</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4"/>
              </w:rPr>
              <w:t>Universe comp</w:t>
            </w:r>
          </w:p>
        </w:tc>
        <w:tc>
          <w:tcPr>
            <w:tcW w:w="12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8"/>
        </w:trPr>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ind w:left="140"/>
              <w:spacing w:after="0" w:line="149" w:lineRule="exact"/>
              <w:rPr>
                <w:sz w:val="20"/>
                <w:szCs w:val="20"/>
                <w:color w:val="auto"/>
              </w:rPr>
            </w:pPr>
            <w:r>
              <w:rPr>
                <w:rFonts w:ascii="Arial" w:cs="Arial" w:eastAsia="Arial" w:hAnsi="Arial"/>
                <w:sz w:val="14"/>
                <w:szCs w:val="14"/>
                <w:color w:val="auto"/>
              </w:rPr>
              <w:t>disclose many of these statistics.</w:t>
            </w: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No other metrics</w:t>
            </w:r>
          </w:p>
        </w:tc>
      </w:tr>
      <w:tr>
        <w:trPr>
          <w:trHeight w:val="148"/>
        </w:trPr>
        <w:tc>
          <w:tcPr>
            <w:tcW w:w="1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1"/>
              </w:rPr>
              <w:t>Customer counts:</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2"/>
              </w:rPr>
              <w:t>Customer counts:</w:t>
            </w:r>
          </w:p>
        </w:tc>
        <w:tc>
          <w:tcPr>
            <w:tcW w:w="130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achieved</w:t>
            </w:r>
          </w:p>
        </w:tc>
      </w:tr>
      <w:tr>
        <w:trPr>
          <w:trHeight w:val="182"/>
        </w:trPr>
        <w:tc>
          <w:tcPr>
            <w:tcW w:w="1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w w:val="89"/>
              </w:rPr>
              <w:t>1,655,000</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1,541,113</w:t>
            </w:r>
          </w:p>
        </w:tc>
        <w:tc>
          <w:tcPr>
            <w:tcW w:w="1300" w:type="dxa"/>
            <w:vAlign w:val="bottom"/>
          </w:tcPr>
          <w:p>
            <w:pPr>
              <w:spacing w:after="0"/>
              <w:rPr>
                <w:sz w:val="15"/>
                <w:szCs w:val="15"/>
                <w:color w:val="auto"/>
              </w:rPr>
            </w:pPr>
          </w:p>
        </w:tc>
      </w:tr>
    </w:tbl>
    <w:p>
      <w:pPr>
        <w:spacing w:after="0" w:line="191" w:lineRule="exact"/>
        <w:rPr>
          <w:sz w:val="20"/>
          <w:szCs w:val="20"/>
          <w:color w:val="auto"/>
        </w:rPr>
      </w:pPr>
    </w:p>
    <w:p>
      <w:pPr>
        <w:jc w:val="both"/>
        <w:ind w:left="740" w:right="220" w:hanging="368"/>
        <w:spacing w:after="0" w:line="278"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permitted under the AIP and approved by the Compensation Committee, fiscal 2019 actual results were adjusted to exclude certain revenues, expenses and cash flows, which were not considered in the establishment of the Company’s 2019 targets, including its wholesale business, exit costs associated with London operations, CEO transition costs and any impairment of assets.</w:t>
      </w:r>
    </w:p>
    <w:p>
      <w:pPr>
        <w:spacing w:after="0" w:line="76" w:lineRule="exact"/>
        <w:rPr>
          <w:rFonts w:ascii="Arial" w:cs="Arial" w:eastAsia="Arial" w:hAnsi="Arial"/>
          <w:sz w:val="16"/>
          <w:szCs w:val="16"/>
          <w:color w:val="auto"/>
        </w:rPr>
      </w:pPr>
    </w:p>
    <w:p>
      <w:pPr>
        <w:ind w:left="740" w:right="300" w:hanging="368"/>
        <w:spacing w:after="0" w:line="293"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discussed above, the payouts earned for the achievement of the Corporate metrics and the departmental goals were reduced by 50% to reflect the mid-year adjustment in the 2019 AIP.</w:t>
      </w:r>
    </w:p>
    <w:p>
      <w:pPr>
        <w:spacing w:after="0" w:line="63" w:lineRule="exact"/>
        <w:rPr>
          <w:rFonts w:ascii="Arial" w:cs="Arial" w:eastAsia="Arial" w:hAnsi="Arial"/>
          <w:sz w:val="16"/>
          <w:szCs w:val="16"/>
          <w:color w:val="auto"/>
        </w:rPr>
      </w:pPr>
    </w:p>
    <w:p>
      <w:pPr>
        <w:ind w:left="740" w:right="400" w:hanging="368"/>
        <w:spacing w:after="0" w:line="293" w:lineRule="auto"/>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sales target for fiscal 2019 was lower than the actual sales of $470.9 million for fiscal 2018 because it reflected our intention to exit all of the Rochester Clothing stores during fiscal 2019 and also reflected the decrease, and trend, in sales experienced in the first half of fiscal 2019.</w:t>
      </w:r>
    </w:p>
    <w:p>
      <w:pPr>
        <w:spacing w:after="0" w:line="63" w:lineRule="exact"/>
        <w:rPr>
          <w:rFonts w:ascii="Arial" w:cs="Arial" w:eastAsia="Arial" w:hAnsi="Arial"/>
          <w:sz w:val="16"/>
          <w:szCs w:val="16"/>
          <w:color w:val="auto"/>
        </w:rPr>
      </w:pPr>
    </w:p>
    <w:p>
      <w:pPr>
        <w:ind w:left="740" w:right="320" w:hanging="368"/>
        <w:spacing w:after="0" w:line="335" w:lineRule="auto"/>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The Adjusted EBITDA target for fiscal 2019 was lower than the actual Adjusted EBITDA target for fiscal 2018 because it reflected: the decrease in Adjusted EBITDA that was experienced in the first half of fiscal 2019; a decrease related to the annual gain previously recognized from the sale-leaseback that was eliminated due to the adoption of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and additional expenses approved by the Board in August 2019 related to the change in strategy.</w:t>
      </w:r>
    </w:p>
    <w:p>
      <w:pPr>
        <w:spacing w:after="0" w:line="41" w:lineRule="exact"/>
        <w:rPr>
          <w:rFonts w:ascii="Arial" w:cs="Arial" w:eastAsia="Arial" w:hAnsi="Arial"/>
          <w:sz w:val="14"/>
          <w:szCs w:val="14"/>
          <w:color w:val="auto"/>
        </w:rPr>
      </w:pPr>
    </w:p>
    <w:p>
      <w:pPr>
        <w:ind w:left="740" w:right="60" w:hanging="368"/>
        <w:spacing w:after="0" w:line="291" w:lineRule="auto"/>
        <w:tabs>
          <w:tab w:leader="none" w:pos="7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Personal goals are part of the Company’s annual performance review. At the start of the fiscal year, each associate, including each of our Named Executive Officers, develops his/her “SMART” goals, each containing a quantifiable measure, which are approved by the CEO. The discretionary component of the 2019 AIP was awarded based on the achievement of these goals. The personal goals for Messrs. Molloy, Chane and Gaeta consisted of a combination of quantifiable goals specific to their respective corporate function. The personal goals for our CFO were quantifiable and were primarily tied to managing and reducing selling, general and administrative expenses and managing EBITDA performance. Our CEO’s personal goals were primarily tied to the overall financial performance of the Company, realigning the management team and infrastructure to achieve identified initiatives.</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type w:val="continuous"/>
        </w:sectPr>
      </w:pPr>
    </w:p>
    <w:bookmarkStart w:id="23" w:name="page24"/>
    <w:bookmarkEnd w:id="23"/>
    <w:p>
      <w:pPr>
        <w:ind w:left="40" w:right="240"/>
        <w:spacing w:after="0" w:line="308" w:lineRule="auto"/>
        <w:rPr>
          <w:sz w:val="20"/>
          <w:szCs w:val="20"/>
          <w:color w:val="auto"/>
        </w:rPr>
      </w:pPr>
      <w:r>
        <w:rPr>
          <w:rFonts w:ascii="Arial" w:cs="Arial" w:eastAsia="Arial" w:hAnsi="Arial"/>
          <w:sz w:val="17"/>
          <w:szCs w:val="17"/>
          <w:color w:val="auto"/>
        </w:rPr>
        <w:t>As a result of achieving certain performance targets for fiscal 2019, as shown above, in March 2020 the Compensation Committee approved, subject to the completion of the audited financial statements, cash bonus payouts to our NEOs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Arial" w:cs="Arial" w:eastAsia="Arial" w:hAnsi="Arial"/>
                <w:sz w:val="18"/>
                <w:szCs w:val="18"/>
                <w:b w:val="1"/>
                <w:bCs w:val="1"/>
                <w:color w:val="auto"/>
              </w:rPr>
              <w:t>Payout at Target</w:t>
            </w:r>
          </w:p>
        </w:tc>
        <w:tc>
          <w:tcPr>
            <w:tcW w:w="1540" w:type="dxa"/>
            <w:vAlign w:val="bottom"/>
          </w:tcPr>
          <w:p>
            <w:pPr>
              <w:ind w:left="280"/>
              <w:spacing w:after="0"/>
              <w:rPr>
                <w:sz w:val="20"/>
                <w:szCs w:val="20"/>
                <w:color w:val="auto"/>
              </w:rPr>
            </w:pPr>
            <w:r>
              <w:rPr>
                <w:rFonts w:ascii="Arial" w:cs="Arial" w:eastAsia="Arial" w:hAnsi="Arial"/>
                <w:sz w:val="18"/>
                <w:szCs w:val="18"/>
                <w:b w:val="1"/>
                <w:bCs w:val="1"/>
                <w:color w:val="auto"/>
                <w:w w:val="96"/>
              </w:rPr>
              <w:t>Total Payout %</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Payout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 (1)</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621,923</w:t>
            </w:r>
          </w:p>
        </w:tc>
        <w:tc>
          <w:tcPr>
            <w:tcW w:w="300" w:type="dxa"/>
            <w:vAlign w:val="bottom"/>
            <w:vMerge w:val="continue"/>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w:t>
            </w:r>
          </w:p>
        </w:tc>
        <w:tc>
          <w:tcPr>
            <w:tcW w:w="8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435,346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Peter H. Stratton, Jr.</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217,250</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108,625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Francis C. Chane</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115,346</w:t>
            </w: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63,440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116,692</w:t>
            </w:r>
          </w:p>
        </w:tc>
        <w:tc>
          <w:tcPr>
            <w:tcW w:w="3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380" w:hanging="370"/>
        <w:spacing w:after="0" w:line="293"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Kanter participated in the 2019 AIP on a pro-rated basis, with an effective date of participation date of April 1, 2019, when he was appointed President and CEO.</w:t>
      </w:r>
    </w:p>
    <w:p>
      <w:pPr>
        <w:spacing w:after="0" w:line="194" w:lineRule="exact"/>
        <w:rPr>
          <w:sz w:val="20"/>
          <w:szCs w:val="20"/>
          <w:color w:val="auto"/>
        </w:rPr>
      </w:pPr>
    </w:p>
    <w:p>
      <w:pPr>
        <w:ind w:left="20" w:right="20"/>
        <w:spacing w:after="0" w:line="275" w:lineRule="auto"/>
        <w:rPr>
          <w:sz w:val="20"/>
          <w:szCs w:val="20"/>
          <w:color w:val="auto"/>
        </w:rPr>
      </w:pPr>
      <w:r>
        <w:rPr>
          <w:rFonts w:ascii="Arial" w:cs="Arial" w:eastAsia="Arial" w:hAnsi="Arial"/>
          <w:sz w:val="17"/>
          <w:szCs w:val="17"/>
          <w:color w:val="auto"/>
        </w:rPr>
        <w:t>Pursuant to the transition agreement with Mr. Levin, he was entitled to participate in the 2019 AIP at 100% of his annual salary based on the actual achievement of the Corporate goals. Upon Messrs. Reaves and Davey’s respective terminations of employment, pursuant to the AIP, each received as part of their severance a pro-rated payout of the 2019 AIP based on their earnings and the Company’s then-current estimate of the achievement of the respective performance targets as of their termination date. According Messrs. Levin, Reaves and Davey received the following cash payouts under the terms of the 2019 AIP:</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Arial" w:cs="Arial" w:eastAsia="Arial" w:hAnsi="Arial"/>
                <w:sz w:val="18"/>
                <w:szCs w:val="18"/>
                <w:b w:val="1"/>
                <w:bCs w:val="1"/>
                <w:color w:val="auto"/>
              </w:rPr>
              <w:t>Named Executive Officer</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20" w:type="dxa"/>
            <w:vAlign w:val="bottom"/>
            <w:gridSpan w:val="2"/>
          </w:tcPr>
          <w:p>
            <w:pPr>
              <w:ind w:left="680"/>
              <w:spacing w:after="0"/>
              <w:rPr>
                <w:sz w:val="20"/>
                <w:szCs w:val="20"/>
                <w:color w:val="auto"/>
              </w:rPr>
            </w:pPr>
            <w:r>
              <w:rPr>
                <w:rFonts w:ascii="Arial" w:cs="Arial" w:eastAsia="Arial" w:hAnsi="Arial"/>
                <w:sz w:val="18"/>
                <w:szCs w:val="18"/>
                <w:b w:val="1"/>
                <w:bCs w:val="1"/>
                <w:color w:val="auto"/>
              </w:rPr>
              <w:t>Payout $</w:t>
            </w: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4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2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243,360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Brian S. Reaves (1)</w:t>
            </w:r>
          </w:p>
        </w:tc>
        <w:tc>
          <w:tcPr>
            <w:tcW w:w="116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2820" w:type="dxa"/>
            <w:vAlign w:val="bottom"/>
          </w:tcPr>
          <w:p>
            <w:pPr>
              <w:jc w:val="right"/>
              <w:spacing w:after="0"/>
              <w:rPr>
                <w:sz w:val="20"/>
                <w:szCs w:val="20"/>
                <w:color w:val="auto"/>
              </w:rPr>
            </w:pPr>
            <w:r>
              <w:rPr>
                <w:rFonts w:ascii="Arial" w:cs="Arial" w:eastAsia="Arial" w:hAnsi="Arial"/>
                <w:sz w:val="18"/>
                <w:szCs w:val="18"/>
                <w:color w:val="auto"/>
              </w:rPr>
              <w:t>38,214</w:t>
            </w:r>
          </w:p>
        </w:tc>
        <w:tc>
          <w:tcPr>
            <w:tcW w:w="100" w:type="dxa"/>
            <w:vAlign w:val="bottom"/>
          </w:tcPr>
          <w:p>
            <w:pPr>
              <w:spacing w:after="0"/>
              <w:rPr>
                <w:sz w:val="19"/>
                <w:szCs w:val="19"/>
                <w:color w:val="auto"/>
              </w:rPr>
            </w:pPr>
          </w:p>
        </w:tc>
      </w:tr>
      <w:tr>
        <w:trPr>
          <w:trHeight w:val="229"/>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James S. Davey (2)</w:t>
            </w:r>
          </w:p>
        </w:tc>
        <w:tc>
          <w:tcPr>
            <w:tcW w:w="116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2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shd w:val="clear" w:color="auto" w:fill="CFF0FC"/>
          </w:tcPr>
          <w:p>
            <w:pPr>
              <w:spacing w:after="0"/>
              <w:rPr>
                <w:sz w:val="19"/>
                <w:szCs w:val="19"/>
                <w:color w:val="auto"/>
              </w:rPr>
            </w:pPr>
          </w:p>
        </w:tc>
      </w:tr>
    </w:tbl>
    <w:p>
      <w:pPr>
        <w:spacing w:after="0" w:line="247" w:lineRule="exact"/>
        <w:rPr>
          <w:sz w:val="20"/>
          <w:szCs w:val="20"/>
          <w:color w:val="auto"/>
        </w:rPr>
      </w:pPr>
    </w:p>
    <w:p>
      <w:pPr>
        <w:ind w:left="380" w:right="440" w:hanging="356"/>
        <w:spacing w:after="0" w:line="293"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Reaves received a pro-rated cash payout of his 2019 AIP based on his actual earnings through the date of his termination and the then estimated achievement of achieving the Corporate goals.</w:t>
      </w:r>
    </w:p>
    <w:p>
      <w:pPr>
        <w:spacing w:after="0" w:line="63" w:lineRule="exact"/>
        <w:rPr>
          <w:rFonts w:ascii="Arial" w:cs="Arial" w:eastAsia="Arial" w:hAnsi="Arial"/>
          <w:sz w:val="16"/>
          <w:szCs w:val="16"/>
          <w:color w:val="auto"/>
        </w:rPr>
      </w:pPr>
    </w:p>
    <w:p>
      <w:pPr>
        <w:ind w:left="380" w:right="100" w:hanging="356"/>
        <w:spacing w:after="0" w:line="369"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Mr. Davey’s termination occurred prior to the approval of the adjusted AIP targets in August 2019, and therefore, his pro-rated cash payout was based on his actual earnings through the date of his termination and the then-estimated achievement of achieving the original Corporate and departmental goals.</w:t>
      </w:r>
    </w:p>
    <w:p>
      <w:pPr>
        <w:spacing w:after="0" w:line="337"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20"/>
          </w:cols>
          <w:pgMar w:left="1060" w:top="557" w:right="419" w:bottom="1440" w:gutter="0" w:footer="0" w:header="0"/>
        </w:sectPr>
      </w:pPr>
    </w:p>
    <w:bookmarkStart w:id="24" w:name="page25"/>
    <w:bookmarkEnd w:id="24"/>
    <w:p>
      <w:pPr>
        <w:ind w:left="760" w:hanging="253"/>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130" w:lineRule="exact"/>
        <w:rPr>
          <w:rFonts w:ascii="Arial" w:cs="Arial" w:eastAsia="Arial" w:hAnsi="Arial"/>
          <w:sz w:val="18"/>
          <w:szCs w:val="18"/>
          <w:color w:val="auto"/>
        </w:rPr>
      </w:pPr>
    </w:p>
    <w:p>
      <w:pPr>
        <w:ind w:left="760" w:right="40"/>
        <w:spacing w:after="0" w:line="277" w:lineRule="auto"/>
        <w:rPr>
          <w:rFonts w:ascii="Arial" w:cs="Arial" w:eastAsia="Arial" w:hAnsi="Arial"/>
          <w:sz w:val="18"/>
          <w:szCs w:val="18"/>
          <w:color w:val="auto"/>
        </w:rPr>
      </w:pPr>
      <w:r>
        <w:rPr>
          <w:rFonts w:ascii="Arial" w:cs="Arial" w:eastAsia="Arial" w:hAnsi="Arial"/>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238" w:lineRule="exact"/>
        <w:rPr>
          <w:sz w:val="20"/>
          <w:szCs w:val="20"/>
          <w:color w:val="auto"/>
        </w:rPr>
      </w:pPr>
    </w:p>
    <w:p>
      <w:pPr>
        <w:jc w:val="both"/>
        <w:ind w:left="760" w:right="160"/>
        <w:spacing w:after="0" w:line="259" w:lineRule="auto"/>
        <w:rPr>
          <w:sz w:val="20"/>
          <w:szCs w:val="20"/>
          <w:color w:val="auto"/>
        </w:rPr>
      </w:pPr>
      <w:r>
        <w:rPr>
          <w:rFonts w:ascii="Arial" w:cs="Arial" w:eastAsia="Arial" w:hAnsi="Arial"/>
          <w:sz w:val="18"/>
          <w:szCs w:val="18"/>
          <w:color w:val="auto"/>
        </w:rPr>
        <w:t>In 2018, the Compensation Committee approved the Second Amended and Restated Long-Term Incentive Plan, as further amended in October 2018, which among other things, extended the performance period to three years, beginning with grants in fiscal 2018. Due to the change in the LTIP from two to three years, there was no opportunity to earn performance awards during fiscal 2019. The following is a summary of the two LTIPs in effect during fiscal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Summary of LTIPs</w:t>
            </w:r>
          </w:p>
        </w:tc>
        <w:tc>
          <w:tcPr>
            <w:tcW w:w="200" w:type="dxa"/>
            <w:vAlign w:val="bottom"/>
            <w:tcBorders>
              <w:bottom w:val="single" w:sz="8" w:color="CFF0FC"/>
            </w:tcBorders>
          </w:tcPr>
          <w:p>
            <w:pPr>
              <w:spacing w:after="0"/>
              <w:rPr>
                <w:sz w:val="18"/>
                <w:szCs w:val="18"/>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b w:val="1"/>
                <w:bCs w:val="1"/>
                <w:color w:val="auto"/>
              </w:rPr>
              <w:t>2018-2020</w:t>
            </w: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2019-2021</w:t>
            </w: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Effective date</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80" w:type="dxa"/>
            <w:vAlign w:val="bottom"/>
            <w:gridSpan w:val="8"/>
            <w:shd w:val="clear" w:color="auto" w:fill="CFF0FC"/>
          </w:tcPr>
          <w:p>
            <w:pPr>
              <w:jc w:val="center"/>
              <w:ind w:right="1520"/>
              <w:spacing w:after="0"/>
              <w:rPr>
                <w:sz w:val="20"/>
                <w:szCs w:val="20"/>
                <w:color w:val="auto"/>
              </w:rPr>
            </w:pPr>
            <w:r>
              <w:rPr>
                <w:rFonts w:ascii="Arial" w:cs="Arial" w:eastAsia="Arial" w:hAnsi="Arial"/>
                <w:sz w:val="16"/>
                <w:szCs w:val="16"/>
                <w:color w:val="auto"/>
                <w:w w:val="90"/>
              </w:rPr>
              <w:t>October 24, 2018</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520" w:type="dxa"/>
            <w:vAlign w:val="bottom"/>
            <w:gridSpan w:val="7"/>
            <w:shd w:val="clear" w:color="auto" w:fill="CFF0FC"/>
          </w:tcPr>
          <w:p>
            <w:pPr>
              <w:jc w:val="center"/>
              <w:ind w:right="1460"/>
              <w:spacing w:after="0"/>
              <w:rPr>
                <w:sz w:val="20"/>
                <w:szCs w:val="20"/>
                <w:color w:val="auto"/>
              </w:rPr>
            </w:pPr>
            <w:r>
              <w:rPr>
                <w:rFonts w:ascii="Arial" w:cs="Arial" w:eastAsia="Arial" w:hAnsi="Arial"/>
                <w:sz w:val="16"/>
                <w:szCs w:val="16"/>
                <w:color w:val="auto"/>
                <w:w w:val="91"/>
              </w:rPr>
              <w:t>August 7, 2019</w:t>
            </w:r>
          </w:p>
        </w:tc>
        <w:tc>
          <w:tcPr>
            <w:tcW w:w="0" w:type="dxa"/>
            <w:vAlign w:val="bottom"/>
          </w:tcPr>
          <w:p>
            <w:pPr>
              <w:spacing w:after="0"/>
              <w:rPr>
                <w:sz w:val="1"/>
                <w:szCs w:val="1"/>
                <w:color w:val="auto"/>
              </w:rPr>
            </w:pPr>
          </w:p>
        </w:tc>
      </w:tr>
      <w:tr>
        <w:trPr>
          <w:trHeight w:val="213"/>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period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6"/>
          </w:tcPr>
          <w:p>
            <w:pPr>
              <w:jc w:val="center"/>
              <w:ind w:right="2040"/>
              <w:spacing w:after="0"/>
              <w:rPr>
                <w:sz w:val="20"/>
                <w:szCs w:val="20"/>
                <w:color w:val="auto"/>
              </w:rPr>
            </w:pPr>
            <w:r>
              <w:rPr>
                <w:rFonts w:ascii="Arial" w:cs="Arial" w:eastAsia="Arial" w:hAnsi="Arial"/>
                <w:sz w:val="16"/>
                <w:szCs w:val="16"/>
                <w:color w:val="auto"/>
                <w:w w:val="92"/>
              </w:rPr>
              <w:t>3yrs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gridSpan w:val="6"/>
          </w:tcPr>
          <w:p>
            <w:pPr>
              <w:jc w:val="center"/>
              <w:ind w:right="1800"/>
              <w:spacing w:after="0"/>
              <w:rPr>
                <w:sz w:val="20"/>
                <w:szCs w:val="20"/>
                <w:color w:val="auto"/>
              </w:rPr>
            </w:pPr>
            <w:r>
              <w:rPr>
                <w:rFonts w:ascii="Arial" w:cs="Arial" w:eastAsia="Arial" w:hAnsi="Arial"/>
                <w:sz w:val="16"/>
                <w:szCs w:val="16"/>
                <w:color w:val="auto"/>
                <w:w w:val="92"/>
              </w:rPr>
              <w:t>3yrs</w:t>
            </w:r>
          </w:p>
        </w:tc>
        <w:tc>
          <w:tcPr>
            <w:tcW w:w="0" w:type="dxa"/>
            <w:vAlign w:val="bottom"/>
          </w:tcPr>
          <w:p>
            <w:pPr>
              <w:spacing w:after="0"/>
              <w:rPr>
                <w:sz w:val="1"/>
                <w:szCs w:val="1"/>
                <w:color w:val="auto"/>
              </w:rPr>
            </w:pPr>
          </w:p>
        </w:tc>
      </w:tr>
      <w:tr>
        <w:trPr>
          <w:trHeight w:val="219"/>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End of Performance Period</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80" w:type="dxa"/>
            <w:vAlign w:val="bottom"/>
            <w:gridSpan w:val="8"/>
            <w:shd w:val="clear" w:color="auto" w:fill="CFF0FC"/>
          </w:tcPr>
          <w:p>
            <w:pPr>
              <w:jc w:val="center"/>
              <w:ind w:right="1520"/>
              <w:spacing w:after="0"/>
              <w:rPr>
                <w:sz w:val="20"/>
                <w:szCs w:val="20"/>
                <w:color w:val="auto"/>
              </w:rPr>
            </w:pPr>
            <w:r>
              <w:rPr>
                <w:rFonts w:ascii="Arial" w:cs="Arial" w:eastAsia="Arial" w:hAnsi="Arial"/>
                <w:sz w:val="16"/>
                <w:szCs w:val="16"/>
                <w:color w:val="auto"/>
                <w:w w:val="90"/>
              </w:rPr>
              <w:t>January 30, 2021</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700" w:type="dxa"/>
            <w:vAlign w:val="bottom"/>
            <w:gridSpan w:val="8"/>
            <w:shd w:val="clear" w:color="auto" w:fill="CFF0FC"/>
          </w:tcPr>
          <w:p>
            <w:pPr>
              <w:jc w:val="center"/>
              <w:ind w:right="1280"/>
              <w:spacing w:after="0"/>
              <w:rPr>
                <w:sz w:val="20"/>
                <w:szCs w:val="20"/>
                <w:color w:val="auto"/>
              </w:rPr>
            </w:pPr>
            <w:r>
              <w:rPr>
                <w:rFonts w:ascii="Arial" w:cs="Arial" w:eastAsia="Arial" w:hAnsi="Arial"/>
                <w:sz w:val="16"/>
                <w:szCs w:val="16"/>
                <w:color w:val="auto"/>
                <w:w w:val="88"/>
              </w:rPr>
              <w:t>January 29, 2022</w:t>
            </w:r>
          </w:p>
        </w:tc>
        <w:tc>
          <w:tcPr>
            <w:tcW w:w="0" w:type="dxa"/>
            <w:vAlign w:val="bottom"/>
          </w:tcPr>
          <w:p>
            <w:pPr>
              <w:spacing w:after="0"/>
              <w:rPr>
                <w:sz w:val="1"/>
                <w:szCs w:val="1"/>
                <w:color w:val="auto"/>
              </w:rPr>
            </w:pPr>
          </w:p>
        </w:tc>
      </w:tr>
      <w:tr>
        <w:trPr>
          <w:trHeight w:val="210"/>
        </w:trPr>
        <w:tc>
          <w:tcPr>
            <w:tcW w:w="3360" w:type="dxa"/>
            <w:vAlign w:val="bottom"/>
            <w:gridSpan w:val="3"/>
          </w:tcPr>
          <w:p>
            <w:pPr>
              <w:spacing w:after="0"/>
              <w:rPr>
                <w:sz w:val="20"/>
                <w:szCs w:val="20"/>
                <w:color w:val="auto"/>
              </w:rPr>
            </w:pPr>
            <w:r>
              <w:rPr>
                <w:rFonts w:ascii="Arial" w:cs="Arial" w:eastAsia="Arial" w:hAnsi="Arial"/>
                <w:sz w:val="16"/>
                <w:szCs w:val="16"/>
                <w:color w:val="auto"/>
              </w:rPr>
              <w:t>Target cash value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40" w:type="dxa"/>
            <w:vAlign w:val="bottom"/>
            <w:gridSpan w:val="9"/>
          </w:tcPr>
          <w:p>
            <w:pPr>
              <w:jc w:val="center"/>
              <w:ind w:right="1040"/>
              <w:spacing w:after="0"/>
              <w:rPr>
                <w:sz w:val="20"/>
                <w:szCs w:val="20"/>
                <w:color w:val="auto"/>
              </w:rPr>
            </w:pPr>
            <w:r>
              <w:rPr>
                <w:rFonts w:ascii="Arial" w:cs="Arial" w:eastAsia="Arial" w:hAnsi="Arial"/>
                <w:sz w:val="16"/>
                <w:szCs w:val="16"/>
                <w:color w:val="auto"/>
                <w:w w:val="93"/>
              </w:rPr>
              <w:t>Annual Salary * Participation Rate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9"/>
          </w:tcPr>
          <w:p>
            <w:pPr>
              <w:jc w:val="center"/>
              <w:ind w:right="840"/>
              <w:spacing w:after="0"/>
              <w:rPr>
                <w:sz w:val="20"/>
                <w:szCs w:val="20"/>
                <w:color w:val="auto"/>
              </w:rPr>
            </w:pPr>
            <w:r>
              <w:rPr>
                <w:rFonts w:ascii="Arial" w:cs="Arial" w:eastAsia="Arial" w:hAnsi="Arial"/>
                <w:sz w:val="16"/>
                <w:szCs w:val="16"/>
                <w:color w:val="auto"/>
                <w:w w:val="93"/>
              </w:rPr>
              <w:t>Annual Salary * Participation Rate</w:t>
            </w: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5"/>
          </w:tcPr>
          <w:p>
            <w:pPr>
              <w:jc w:val="center"/>
              <w:ind w:left="80"/>
              <w:spacing w:after="0" w:line="181" w:lineRule="exact"/>
              <w:rPr>
                <w:sz w:val="20"/>
                <w:szCs w:val="20"/>
                <w:color w:val="auto"/>
              </w:rPr>
            </w:pPr>
            <w:r>
              <w:rPr>
                <w:rFonts w:ascii="Arial" w:cs="Arial" w:eastAsia="Arial" w:hAnsi="Arial"/>
                <w:sz w:val="16"/>
                <w:szCs w:val="16"/>
                <w:color w:val="auto"/>
                <w:w w:val="90"/>
              </w:rPr>
              <w:t>Time-Based</w:t>
            </w:r>
          </w:p>
        </w:tc>
        <w:tc>
          <w:tcPr>
            <w:tcW w:w="2360" w:type="dxa"/>
            <w:vAlign w:val="bottom"/>
            <w:gridSpan w:val="6"/>
          </w:tcPr>
          <w:p>
            <w:pPr>
              <w:jc w:val="center"/>
              <w:ind w:right="80"/>
              <w:spacing w:after="0" w:line="181" w:lineRule="exact"/>
              <w:rPr>
                <w:sz w:val="20"/>
                <w:szCs w:val="20"/>
                <w:color w:val="auto"/>
              </w:rPr>
            </w:pPr>
            <w:r>
              <w:rPr>
                <w:rFonts w:ascii="Arial" w:cs="Arial" w:eastAsia="Arial" w:hAnsi="Arial"/>
                <w:sz w:val="16"/>
                <w:szCs w:val="16"/>
                <w:color w:val="auto"/>
                <w:w w:val="89"/>
              </w:rPr>
              <w:t>Performance-Based</w:t>
            </w:r>
          </w:p>
        </w:tc>
        <w:tc>
          <w:tcPr>
            <w:tcW w:w="1660" w:type="dxa"/>
            <w:vAlign w:val="bottom"/>
            <w:gridSpan w:val="5"/>
          </w:tcPr>
          <w:p>
            <w:pPr>
              <w:jc w:val="center"/>
              <w:ind w:left="140"/>
              <w:spacing w:after="0" w:line="181" w:lineRule="exact"/>
              <w:rPr>
                <w:sz w:val="20"/>
                <w:szCs w:val="20"/>
                <w:color w:val="auto"/>
              </w:rPr>
            </w:pPr>
            <w:r>
              <w:rPr>
                <w:rFonts w:ascii="Arial" w:cs="Arial" w:eastAsia="Arial" w:hAnsi="Arial"/>
                <w:sz w:val="16"/>
                <w:szCs w:val="16"/>
                <w:color w:val="auto"/>
                <w:w w:val="92"/>
              </w:rPr>
              <w:t>Time-Based</w:t>
            </w:r>
          </w:p>
        </w:tc>
        <w:tc>
          <w:tcPr>
            <w:tcW w:w="2200" w:type="dxa"/>
            <w:vAlign w:val="bottom"/>
            <w:gridSpan w:val="6"/>
          </w:tcPr>
          <w:p>
            <w:pPr>
              <w:jc w:val="center"/>
              <w:ind w:left="119"/>
              <w:spacing w:after="0" w:line="181" w:lineRule="exact"/>
              <w:rPr>
                <w:sz w:val="20"/>
                <w:szCs w:val="20"/>
                <w:color w:val="auto"/>
              </w:rPr>
            </w:pPr>
            <w:r>
              <w:rPr>
                <w:rFonts w:ascii="Arial" w:cs="Arial" w:eastAsia="Arial" w:hAnsi="Arial"/>
                <w:sz w:val="16"/>
                <w:szCs w:val="16"/>
                <w:color w:val="auto"/>
                <w:w w:val="89"/>
              </w:rPr>
              <w:t>Performance-Based</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Allocation of Target Cash Value</w:t>
            </w:r>
          </w:p>
        </w:tc>
        <w:tc>
          <w:tcPr>
            <w:tcW w:w="1140" w:type="dxa"/>
            <w:vAlign w:val="bottom"/>
            <w:gridSpan w:val="3"/>
            <w:shd w:val="clear" w:color="auto" w:fill="CFF0FC"/>
          </w:tcPr>
          <w:p>
            <w:pPr>
              <w:jc w:val="center"/>
              <w:ind w:left="600"/>
              <w:spacing w:after="0"/>
              <w:rPr>
                <w:sz w:val="20"/>
                <w:szCs w:val="20"/>
                <w:color w:val="auto"/>
              </w:rPr>
            </w:pPr>
            <w:r>
              <w:rPr>
                <w:rFonts w:ascii="Arial" w:cs="Arial" w:eastAsia="Arial" w:hAnsi="Arial"/>
                <w:sz w:val="16"/>
                <w:szCs w:val="16"/>
                <w:color w:val="auto"/>
                <w:w w:val="93"/>
              </w:rPr>
              <w:t>50%</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center"/>
              <w:ind w:left="49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center"/>
              <w:ind w:left="620"/>
              <w:spacing w:after="0"/>
              <w:rPr>
                <w:sz w:val="20"/>
                <w:szCs w:val="20"/>
                <w:color w:val="auto"/>
              </w:rPr>
            </w:pPr>
            <w:r>
              <w:rPr>
                <w:rFonts w:ascii="Arial" w:cs="Arial" w:eastAsia="Arial" w:hAnsi="Arial"/>
                <w:sz w:val="16"/>
                <w:szCs w:val="16"/>
                <w:color w:val="auto"/>
                <w:w w:val="93"/>
              </w:rPr>
              <w:t>50%</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center"/>
              <w:ind w:left="559"/>
              <w:spacing w:after="0"/>
              <w:rPr>
                <w:sz w:val="20"/>
                <w:szCs w:val="20"/>
                <w:color w:val="auto"/>
              </w:rPr>
            </w:pPr>
            <w:r>
              <w:rPr>
                <w:rFonts w:ascii="Arial" w:cs="Arial" w:eastAsia="Arial" w:hAnsi="Arial"/>
                <w:sz w:val="16"/>
                <w:szCs w:val="16"/>
                <w:color w:val="auto"/>
                <w:w w:val="93"/>
              </w:rPr>
              <w:t>50%</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5"/>
          </w:tcPr>
          <w:p>
            <w:pPr>
              <w:jc w:val="center"/>
              <w:ind w:left="100"/>
              <w:spacing w:after="0"/>
              <w:rPr>
                <w:sz w:val="20"/>
                <w:szCs w:val="20"/>
                <w:color w:val="auto"/>
              </w:rPr>
            </w:pPr>
            <w:r>
              <w:rPr>
                <w:rFonts w:ascii="Arial" w:cs="Arial" w:eastAsia="Arial" w:hAnsi="Arial"/>
                <w:sz w:val="16"/>
                <w:szCs w:val="16"/>
                <w:color w:val="auto"/>
                <w:w w:val="91"/>
              </w:rPr>
              <w:t>at effective date: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8"/>
              </w:rPr>
              <w:t>RSUs, Cash or a</w:t>
            </w:r>
          </w:p>
        </w:tc>
        <w:tc>
          <w:tcPr>
            <w:tcW w:w="0" w:type="dxa"/>
            <w:vAlign w:val="bottom"/>
          </w:tcPr>
          <w:p>
            <w:pPr>
              <w:spacing w:after="0"/>
              <w:rPr>
                <w:sz w:val="1"/>
                <w:szCs w:val="1"/>
                <w:color w:val="auto"/>
              </w:rPr>
            </w:pPr>
          </w:p>
        </w:tc>
      </w:tr>
      <w:tr>
        <w:trPr>
          <w:trHeight w:val="203"/>
        </w:trPr>
        <w:tc>
          <w:tcPr>
            <w:tcW w:w="3360" w:type="dxa"/>
            <w:vAlign w:val="bottom"/>
            <w:gridSpan w:val="3"/>
          </w:tcPr>
          <w:p>
            <w:pPr>
              <w:spacing w:after="0"/>
              <w:rPr>
                <w:sz w:val="20"/>
                <w:szCs w:val="20"/>
                <w:color w:val="auto"/>
              </w:rPr>
            </w:pPr>
            <w:r>
              <w:rPr>
                <w:rFonts w:ascii="Arial" w:cs="Arial" w:eastAsia="Arial" w:hAnsi="Arial"/>
                <w:sz w:val="16"/>
                <w:szCs w:val="16"/>
                <w:color w:val="auto"/>
              </w:rPr>
              <w:t>Award type</w:t>
            </w:r>
          </w:p>
        </w:tc>
        <w:tc>
          <w:tcPr>
            <w:tcW w:w="520" w:type="dxa"/>
            <w:vAlign w:val="bottom"/>
          </w:tcPr>
          <w:p>
            <w:pPr>
              <w:spacing w:after="0"/>
              <w:rPr>
                <w:sz w:val="17"/>
                <w:szCs w:val="17"/>
                <w:color w:val="auto"/>
              </w:rPr>
            </w:pPr>
          </w:p>
        </w:tc>
        <w:tc>
          <w:tcPr>
            <w:tcW w:w="1140" w:type="dxa"/>
            <w:vAlign w:val="bottom"/>
            <w:gridSpan w:val="4"/>
          </w:tcPr>
          <w:p>
            <w:pPr>
              <w:jc w:val="center"/>
              <w:ind w:right="340"/>
              <w:spacing w:after="0"/>
              <w:rPr>
                <w:sz w:val="20"/>
                <w:szCs w:val="20"/>
                <w:color w:val="auto"/>
              </w:rPr>
            </w:pPr>
            <w:r>
              <w:rPr>
                <w:rFonts w:ascii="Arial" w:cs="Arial" w:eastAsia="Arial" w:hAnsi="Arial"/>
                <w:sz w:val="16"/>
                <w:szCs w:val="16"/>
                <w:color w:val="auto"/>
                <w:w w:val="91"/>
              </w:rPr>
              <w:t>50% RSUs</w:t>
            </w:r>
          </w:p>
        </w:tc>
        <w:tc>
          <w:tcPr>
            <w:tcW w:w="2360" w:type="dxa"/>
            <w:vAlign w:val="bottom"/>
            <w:gridSpan w:val="6"/>
          </w:tcPr>
          <w:p>
            <w:pPr>
              <w:jc w:val="center"/>
              <w:ind w:right="80"/>
              <w:spacing w:after="0"/>
              <w:rPr>
                <w:sz w:val="20"/>
                <w:szCs w:val="20"/>
                <w:color w:val="auto"/>
              </w:rPr>
            </w:pPr>
            <w:r>
              <w:rPr>
                <w:rFonts w:ascii="Arial" w:cs="Arial" w:eastAsia="Arial" w:hAnsi="Arial"/>
                <w:sz w:val="16"/>
                <w:szCs w:val="16"/>
                <w:color w:val="auto"/>
                <w:w w:val="89"/>
              </w:rPr>
              <w:t>RSUs, when earned</w:t>
            </w:r>
          </w:p>
        </w:tc>
        <w:tc>
          <w:tcPr>
            <w:tcW w:w="1660" w:type="dxa"/>
            <w:vAlign w:val="bottom"/>
            <w:gridSpan w:val="5"/>
          </w:tcPr>
          <w:p>
            <w:pPr>
              <w:jc w:val="center"/>
              <w:ind w:left="140"/>
              <w:spacing w:after="0"/>
              <w:rPr>
                <w:sz w:val="20"/>
                <w:szCs w:val="20"/>
                <w:color w:val="auto"/>
              </w:rPr>
            </w:pPr>
            <w:r>
              <w:rPr>
                <w:rFonts w:ascii="Arial" w:cs="Arial" w:eastAsia="Arial" w:hAnsi="Arial"/>
                <w:sz w:val="16"/>
                <w:szCs w:val="16"/>
                <w:color w:val="auto"/>
                <w:w w:val="91"/>
              </w:rPr>
              <w:t>at effective date:</w:t>
            </w:r>
          </w:p>
        </w:tc>
        <w:tc>
          <w:tcPr>
            <w:tcW w:w="2200" w:type="dxa"/>
            <w:vAlign w:val="bottom"/>
            <w:gridSpan w:val="6"/>
          </w:tcPr>
          <w:p>
            <w:pPr>
              <w:ind w:left="340"/>
              <w:spacing w:after="0"/>
              <w:rPr>
                <w:sz w:val="20"/>
                <w:szCs w:val="20"/>
                <w:color w:val="auto"/>
              </w:rPr>
            </w:pPr>
            <w:r>
              <w:rPr>
                <w:rFonts w:ascii="Arial" w:cs="Arial" w:eastAsia="Arial" w:hAnsi="Arial"/>
                <w:sz w:val="16"/>
                <w:szCs w:val="16"/>
                <w:color w:val="auto"/>
                <w:w w:val="98"/>
              </w:rPr>
              <w:t>combination thereof, when</w:t>
            </w:r>
          </w:p>
        </w:tc>
        <w:tc>
          <w:tcPr>
            <w:tcW w:w="0" w:type="dxa"/>
            <w:vAlign w:val="bottom"/>
          </w:tcPr>
          <w:p>
            <w:pPr>
              <w:spacing w:after="0"/>
              <w:rPr>
                <w:sz w:val="1"/>
                <w:szCs w:val="1"/>
                <w:color w:val="auto"/>
              </w:rPr>
            </w:pPr>
          </w:p>
        </w:tc>
      </w:tr>
      <w:tr>
        <w:trPr>
          <w:trHeight w:val="209"/>
        </w:trPr>
        <w:tc>
          <w:tcPr>
            <w:tcW w:w="14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gridSpan w:val="4"/>
          </w:tcPr>
          <w:p>
            <w:pPr>
              <w:jc w:val="center"/>
              <w:ind w:right="360"/>
              <w:spacing w:after="0"/>
              <w:rPr>
                <w:sz w:val="20"/>
                <w:szCs w:val="20"/>
                <w:color w:val="auto"/>
              </w:rPr>
            </w:pPr>
            <w:r>
              <w:rPr>
                <w:rFonts w:ascii="Arial" w:cs="Arial" w:eastAsia="Arial" w:hAnsi="Arial"/>
                <w:sz w:val="16"/>
                <w:szCs w:val="16"/>
                <w:color w:val="auto"/>
                <w:w w:val="89"/>
              </w:rPr>
              <w:t>50% Cash</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5"/>
          </w:tcPr>
          <w:p>
            <w:pPr>
              <w:jc w:val="center"/>
              <w:ind w:left="140"/>
              <w:spacing w:after="0"/>
              <w:rPr>
                <w:sz w:val="20"/>
                <w:szCs w:val="20"/>
                <w:color w:val="auto"/>
              </w:rPr>
            </w:pPr>
            <w:r>
              <w:rPr>
                <w:rFonts w:ascii="Arial" w:cs="Arial" w:eastAsia="Arial" w:hAnsi="Arial"/>
                <w:sz w:val="16"/>
                <w:szCs w:val="16"/>
                <w:color w:val="auto"/>
                <w:w w:val="91"/>
              </w:rPr>
              <w:t>100% RSUs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84"/>
              </w:rPr>
              <w:t>earned</w:t>
            </w:r>
          </w:p>
        </w:tc>
        <w:tc>
          <w:tcPr>
            <w:tcW w:w="0" w:type="dxa"/>
            <w:vAlign w:val="bottom"/>
          </w:tcPr>
          <w:p>
            <w:pPr>
              <w:spacing w:after="0"/>
              <w:rPr>
                <w:sz w:val="1"/>
                <w:szCs w:val="1"/>
                <w:color w:val="auto"/>
              </w:rPr>
            </w:pPr>
          </w:p>
        </w:tc>
      </w:tr>
      <w:tr>
        <w:trPr>
          <w:trHeight w:val="209"/>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5"/>
            <w:shd w:val="clear" w:color="auto" w:fill="CFF0FC"/>
          </w:tcPr>
          <w:p>
            <w:pPr>
              <w:jc w:val="center"/>
              <w:ind w:left="80"/>
              <w:spacing w:after="0"/>
              <w:rPr>
                <w:sz w:val="20"/>
                <w:szCs w:val="20"/>
                <w:color w:val="auto"/>
              </w:rPr>
            </w:pPr>
            <w:r>
              <w:rPr>
                <w:rFonts w:ascii="Arial" w:cs="Arial" w:eastAsia="Arial" w:hAnsi="Arial"/>
                <w:sz w:val="16"/>
                <w:szCs w:val="16"/>
                <w:color w:val="auto"/>
                <w:w w:val="91"/>
              </w:rPr>
              <w:t>25% October 24, 2019</w:t>
            </w: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60" w:type="dxa"/>
            <w:vAlign w:val="bottom"/>
            <w:gridSpan w:val="5"/>
            <w:shd w:val="clear" w:color="auto" w:fill="CFF0FC"/>
          </w:tcPr>
          <w:p>
            <w:pPr>
              <w:jc w:val="center"/>
              <w:ind w:left="140"/>
              <w:spacing w:after="0"/>
              <w:rPr>
                <w:sz w:val="20"/>
                <w:szCs w:val="20"/>
                <w:color w:val="auto"/>
              </w:rPr>
            </w:pPr>
            <w:r>
              <w:rPr>
                <w:rFonts w:ascii="Arial" w:cs="Arial" w:eastAsia="Arial" w:hAnsi="Arial"/>
                <w:sz w:val="16"/>
                <w:szCs w:val="16"/>
                <w:color w:val="auto"/>
                <w:w w:val="91"/>
              </w:rPr>
              <w:t>25% August 7, 2020</w:t>
            </w: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gridSpan w:val="3"/>
            <w:vMerge w:val="restart"/>
            <w:shd w:val="clear" w:color="auto" w:fill="CFF0FC"/>
          </w:tcPr>
          <w:p>
            <w:pPr>
              <w:spacing w:after="0"/>
              <w:rPr>
                <w:sz w:val="20"/>
                <w:szCs w:val="20"/>
                <w:color w:val="auto"/>
              </w:rPr>
            </w:pPr>
            <w:r>
              <w:rPr>
                <w:rFonts w:ascii="Arial" w:cs="Arial" w:eastAsia="Arial" w:hAnsi="Arial"/>
                <w:sz w:val="16"/>
                <w:szCs w:val="16"/>
                <w:color w:val="auto"/>
              </w:rPr>
              <w:t>Vesting period</w:t>
            </w:r>
          </w:p>
        </w:tc>
        <w:tc>
          <w:tcPr>
            <w:tcW w:w="1660" w:type="dxa"/>
            <w:vAlign w:val="bottom"/>
            <w:gridSpan w:val="5"/>
            <w:shd w:val="clear" w:color="auto" w:fill="CFF0FC"/>
          </w:tcPr>
          <w:p>
            <w:pPr>
              <w:jc w:val="center"/>
              <w:ind w:left="100"/>
              <w:spacing w:after="0"/>
              <w:rPr>
                <w:sz w:val="20"/>
                <w:szCs w:val="20"/>
                <w:color w:val="auto"/>
              </w:rPr>
            </w:pPr>
            <w:r>
              <w:rPr>
                <w:rFonts w:ascii="Arial" w:cs="Arial" w:eastAsia="Arial" w:hAnsi="Arial"/>
                <w:sz w:val="16"/>
                <w:szCs w:val="16"/>
                <w:color w:val="auto"/>
                <w:w w:val="94"/>
              </w:rPr>
              <w:t>25% April 1, 2020</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any award earned subject</w:t>
            </w:r>
          </w:p>
        </w:tc>
        <w:tc>
          <w:tcPr>
            <w:tcW w:w="1660" w:type="dxa"/>
            <w:vAlign w:val="bottom"/>
            <w:gridSpan w:val="5"/>
            <w:shd w:val="clear" w:color="auto" w:fill="CFF0FC"/>
          </w:tcPr>
          <w:p>
            <w:pPr>
              <w:jc w:val="center"/>
              <w:ind w:left="140"/>
              <w:spacing w:after="0"/>
              <w:rPr>
                <w:sz w:val="20"/>
                <w:szCs w:val="20"/>
                <w:color w:val="auto"/>
              </w:rPr>
            </w:pPr>
            <w:r>
              <w:rPr>
                <w:rFonts w:ascii="Arial" w:cs="Arial" w:eastAsia="Arial" w:hAnsi="Arial"/>
                <w:sz w:val="16"/>
                <w:szCs w:val="16"/>
                <w:color w:val="auto"/>
                <w:w w:val="94"/>
              </w:rPr>
              <w:t>25% April 1, 2021</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rPr>
              <w:t>any award earned subject</w:t>
            </w:r>
          </w:p>
        </w:tc>
        <w:tc>
          <w:tcPr>
            <w:tcW w:w="0" w:type="dxa"/>
            <w:vAlign w:val="bottom"/>
          </w:tcPr>
          <w:p>
            <w:pPr>
              <w:spacing w:after="0"/>
              <w:rPr>
                <w:sz w:val="1"/>
                <w:szCs w:val="1"/>
                <w:color w:val="auto"/>
              </w:rPr>
            </w:pPr>
          </w:p>
        </w:tc>
      </w:tr>
      <w:tr>
        <w:trPr>
          <w:trHeight w:val="98"/>
        </w:trPr>
        <w:tc>
          <w:tcPr>
            <w:tcW w:w="3360" w:type="dxa"/>
            <w:vAlign w:val="bottom"/>
            <w:gridSpan w:val="3"/>
            <w:vMerge w:val="continue"/>
            <w:shd w:val="clear" w:color="auto" w:fill="CFF0FC"/>
          </w:tcPr>
          <w:p>
            <w:pPr>
              <w:spacing w:after="0"/>
              <w:rPr>
                <w:sz w:val="8"/>
                <w:szCs w:val="8"/>
                <w:color w:val="auto"/>
              </w:rPr>
            </w:pPr>
          </w:p>
        </w:tc>
        <w:tc>
          <w:tcPr>
            <w:tcW w:w="1660" w:type="dxa"/>
            <w:vAlign w:val="bottom"/>
            <w:gridSpan w:val="5"/>
            <w:vMerge w:val="restart"/>
            <w:shd w:val="clear" w:color="auto" w:fill="CFF0FC"/>
          </w:tcPr>
          <w:p>
            <w:pPr>
              <w:jc w:val="center"/>
              <w:ind w:left="100"/>
              <w:spacing w:after="0"/>
              <w:rPr>
                <w:sz w:val="20"/>
                <w:szCs w:val="20"/>
                <w:color w:val="auto"/>
              </w:rPr>
            </w:pPr>
            <w:r>
              <w:rPr>
                <w:rFonts w:ascii="Arial" w:cs="Arial" w:eastAsia="Arial" w:hAnsi="Arial"/>
                <w:sz w:val="16"/>
                <w:szCs w:val="16"/>
                <w:color w:val="auto"/>
                <w:w w:val="94"/>
              </w:rPr>
              <w:t>25% April 1, 2021</w:t>
            </w:r>
          </w:p>
        </w:tc>
        <w:tc>
          <w:tcPr>
            <w:tcW w:w="2360" w:type="dxa"/>
            <w:vAlign w:val="bottom"/>
            <w:gridSpan w:val="6"/>
            <w:vMerge w:val="restart"/>
            <w:shd w:val="clear" w:color="auto" w:fill="CFF0FC"/>
          </w:tcPr>
          <w:p>
            <w:pPr>
              <w:ind w:left="300"/>
              <w:spacing w:after="0"/>
              <w:rPr>
                <w:sz w:val="20"/>
                <w:szCs w:val="20"/>
                <w:color w:val="auto"/>
              </w:rPr>
            </w:pPr>
            <w:r>
              <w:rPr>
                <w:rFonts w:ascii="Arial" w:cs="Arial" w:eastAsia="Arial" w:hAnsi="Arial"/>
                <w:sz w:val="16"/>
                <w:szCs w:val="16"/>
                <w:color w:val="auto"/>
              </w:rPr>
              <w:t>to additional vesting</w:t>
            </w:r>
          </w:p>
        </w:tc>
        <w:tc>
          <w:tcPr>
            <w:tcW w:w="1660" w:type="dxa"/>
            <w:vAlign w:val="bottom"/>
            <w:gridSpan w:val="5"/>
            <w:vMerge w:val="restart"/>
            <w:shd w:val="clear" w:color="auto" w:fill="CFF0FC"/>
          </w:tcPr>
          <w:p>
            <w:pPr>
              <w:jc w:val="center"/>
              <w:ind w:left="140"/>
              <w:spacing w:after="0"/>
              <w:rPr>
                <w:sz w:val="20"/>
                <w:szCs w:val="20"/>
                <w:color w:val="auto"/>
              </w:rPr>
            </w:pPr>
            <w:r>
              <w:rPr>
                <w:rFonts w:ascii="Arial" w:cs="Arial" w:eastAsia="Arial" w:hAnsi="Arial"/>
                <w:sz w:val="16"/>
                <w:szCs w:val="16"/>
                <w:color w:val="auto"/>
                <w:w w:val="94"/>
              </w:rPr>
              <w:t>25% April 1, 2022</w:t>
            </w:r>
          </w:p>
        </w:tc>
        <w:tc>
          <w:tcPr>
            <w:tcW w:w="2200" w:type="dxa"/>
            <w:vAlign w:val="bottom"/>
            <w:gridSpan w:val="6"/>
            <w:vMerge w:val="restart"/>
            <w:shd w:val="clear" w:color="auto" w:fill="CFF0FC"/>
          </w:tcPr>
          <w:p>
            <w:pPr>
              <w:ind w:left="340"/>
              <w:spacing w:after="0"/>
              <w:rPr>
                <w:sz w:val="20"/>
                <w:szCs w:val="20"/>
                <w:color w:val="auto"/>
              </w:rPr>
            </w:pPr>
            <w:r>
              <w:rPr>
                <w:rFonts w:ascii="Arial" w:cs="Arial" w:eastAsia="Arial" w:hAnsi="Arial"/>
                <w:sz w:val="16"/>
                <w:szCs w:val="16"/>
                <w:color w:val="auto"/>
              </w:rPr>
              <w:t>to additional vesting</w:t>
            </w:r>
          </w:p>
        </w:tc>
        <w:tc>
          <w:tcPr>
            <w:tcW w:w="0" w:type="dxa"/>
            <w:vAlign w:val="bottom"/>
          </w:tcPr>
          <w:p>
            <w:pPr>
              <w:spacing w:after="0"/>
              <w:rPr>
                <w:sz w:val="1"/>
                <w:szCs w:val="1"/>
                <w:color w:val="auto"/>
              </w:rPr>
            </w:pPr>
          </w:p>
        </w:tc>
      </w:tr>
      <w:tr>
        <w:trPr>
          <w:trHeight w:val="104"/>
        </w:trPr>
        <w:tc>
          <w:tcPr>
            <w:tcW w:w="1400" w:type="dxa"/>
            <w:vAlign w:val="bottom"/>
            <w:shd w:val="clear" w:color="auto" w:fill="CFF0FC"/>
          </w:tcPr>
          <w:p>
            <w:pPr>
              <w:spacing w:after="0"/>
              <w:rPr>
                <w:sz w:val="9"/>
                <w:szCs w:val="9"/>
                <w:color w:val="auto"/>
              </w:rPr>
            </w:pPr>
          </w:p>
        </w:tc>
        <w:tc>
          <w:tcPr>
            <w:tcW w:w="17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60" w:type="dxa"/>
            <w:vAlign w:val="bottom"/>
            <w:gridSpan w:val="5"/>
            <w:vMerge w:val="continue"/>
            <w:shd w:val="clear" w:color="auto" w:fill="CFF0FC"/>
          </w:tcPr>
          <w:p>
            <w:pPr>
              <w:spacing w:after="0"/>
              <w:rPr>
                <w:sz w:val="9"/>
                <w:szCs w:val="9"/>
                <w:color w:val="auto"/>
              </w:rPr>
            </w:pPr>
          </w:p>
        </w:tc>
        <w:tc>
          <w:tcPr>
            <w:tcW w:w="2360" w:type="dxa"/>
            <w:vAlign w:val="bottom"/>
            <w:gridSpan w:val="6"/>
            <w:vMerge w:val="continue"/>
            <w:shd w:val="clear" w:color="auto" w:fill="CFF0FC"/>
          </w:tcPr>
          <w:p>
            <w:pPr>
              <w:spacing w:after="0"/>
              <w:rPr>
                <w:sz w:val="9"/>
                <w:szCs w:val="9"/>
                <w:color w:val="auto"/>
              </w:rPr>
            </w:pPr>
          </w:p>
        </w:tc>
        <w:tc>
          <w:tcPr>
            <w:tcW w:w="1660" w:type="dxa"/>
            <w:vAlign w:val="bottom"/>
            <w:gridSpan w:val="5"/>
            <w:vMerge w:val="continue"/>
            <w:shd w:val="clear" w:color="auto" w:fill="CFF0FC"/>
          </w:tcPr>
          <w:p>
            <w:pPr>
              <w:spacing w:after="0"/>
              <w:rPr>
                <w:sz w:val="9"/>
                <w:szCs w:val="9"/>
                <w:color w:val="auto"/>
              </w:rPr>
            </w:pPr>
          </w:p>
        </w:tc>
        <w:tc>
          <w:tcPr>
            <w:tcW w:w="2200" w:type="dxa"/>
            <w:vAlign w:val="bottom"/>
            <w:gridSpan w:val="6"/>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60" w:type="dxa"/>
            <w:vAlign w:val="bottom"/>
            <w:gridSpan w:val="5"/>
            <w:shd w:val="clear" w:color="auto" w:fill="CFF0FC"/>
          </w:tcPr>
          <w:p>
            <w:pPr>
              <w:jc w:val="center"/>
              <w:ind w:left="100"/>
              <w:spacing w:after="0"/>
              <w:rPr>
                <w:sz w:val="20"/>
                <w:szCs w:val="20"/>
                <w:color w:val="auto"/>
              </w:rPr>
            </w:pPr>
            <w:r>
              <w:rPr>
                <w:rFonts w:ascii="Arial" w:cs="Arial" w:eastAsia="Arial" w:hAnsi="Arial"/>
                <w:sz w:val="16"/>
                <w:szCs w:val="16"/>
                <w:color w:val="auto"/>
                <w:w w:val="94"/>
              </w:rPr>
              <w:t>25% April 1, 2022</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through August 31, 2021</w:t>
            </w:r>
          </w:p>
        </w:tc>
        <w:tc>
          <w:tcPr>
            <w:tcW w:w="1660" w:type="dxa"/>
            <w:vAlign w:val="bottom"/>
            <w:gridSpan w:val="5"/>
            <w:shd w:val="clear" w:color="auto" w:fill="CFF0FC"/>
          </w:tcPr>
          <w:p>
            <w:pPr>
              <w:jc w:val="center"/>
              <w:ind w:left="140"/>
              <w:spacing w:after="0"/>
              <w:rPr>
                <w:sz w:val="20"/>
                <w:szCs w:val="20"/>
                <w:color w:val="auto"/>
              </w:rPr>
            </w:pPr>
            <w:r>
              <w:rPr>
                <w:rFonts w:ascii="Arial" w:cs="Arial" w:eastAsia="Arial" w:hAnsi="Arial"/>
                <w:sz w:val="16"/>
                <w:szCs w:val="16"/>
                <w:color w:val="auto"/>
                <w:w w:val="94"/>
              </w:rPr>
              <w:t>25% April 1, 2023</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rPr>
              <w:t>through August 31, 2022</w:t>
            </w:r>
          </w:p>
        </w:tc>
        <w:tc>
          <w:tcPr>
            <w:tcW w:w="0" w:type="dxa"/>
            <w:vAlign w:val="bottom"/>
          </w:tcPr>
          <w:p>
            <w:pPr>
              <w:spacing w:after="0"/>
              <w:rPr>
                <w:sz w:val="1"/>
                <w:szCs w:val="1"/>
                <w:color w:val="auto"/>
              </w:rPr>
            </w:pPr>
          </w:p>
        </w:tc>
      </w:tr>
      <w:tr>
        <w:trPr>
          <w:trHeight w:val="391"/>
        </w:trPr>
        <w:tc>
          <w:tcPr>
            <w:tcW w:w="3360" w:type="dxa"/>
            <w:vAlign w:val="bottom"/>
            <w:gridSpan w:val="3"/>
          </w:tcPr>
          <w:p>
            <w:pPr>
              <w:spacing w:after="0"/>
              <w:rPr>
                <w:sz w:val="20"/>
                <w:szCs w:val="20"/>
                <w:color w:val="auto"/>
              </w:rPr>
            </w:pPr>
            <w:r>
              <w:rPr>
                <w:rFonts w:ascii="Arial" w:cs="Arial" w:eastAsia="Arial" w:hAnsi="Arial"/>
                <w:sz w:val="16"/>
                <w:szCs w:val="16"/>
                <w:color w:val="auto"/>
              </w:rPr>
              <w:t>Performance Targets:</w:t>
            </w:r>
          </w:p>
        </w:tc>
        <w:tc>
          <w:tcPr>
            <w:tcW w:w="520" w:type="dxa"/>
            <w:vAlign w:val="bottom"/>
          </w:tcPr>
          <w:p>
            <w:pPr>
              <w:spacing w:after="0"/>
              <w:rPr>
                <w:sz w:val="24"/>
                <w:szCs w:val="24"/>
                <w:color w:val="auto"/>
              </w:rPr>
            </w:pPr>
          </w:p>
        </w:tc>
        <w:tc>
          <w:tcPr>
            <w:tcW w:w="1140" w:type="dxa"/>
            <w:vAlign w:val="bottom"/>
            <w:gridSpan w:val="4"/>
          </w:tcPr>
          <w:p>
            <w:pPr>
              <w:jc w:val="center"/>
              <w:ind w:right="360"/>
              <w:spacing w:after="0"/>
              <w:rPr>
                <w:sz w:val="20"/>
                <w:szCs w:val="20"/>
                <w:color w:val="auto"/>
              </w:rPr>
            </w:pPr>
            <w:r>
              <w:rPr>
                <w:rFonts w:ascii="Arial" w:cs="Arial" w:eastAsia="Arial" w:hAnsi="Arial"/>
                <w:sz w:val="16"/>
                <w:szCs w:val="16"/>
                <w:color w:val="auto"/>
                <w:w w:val="90"/>
              </w:rPr>
              <w:t>Target:</w:t>
            </w:r>
          </w:p>
        </w:tc>
        <w:tc>
          <w:tcPr>
            <w:tcW w:w="500" w:type="dxa"/>
            <w:vAlign w:val="bottom"/>
          </w:tcPr>
          <w:p>
            <w:pPr>
              <w:spacing w:after="0"/>
              <w:rPr>
                <w:sz w:val="24"/>
                <w:szCs w:val="24"/>
                <w:color w:val="auto"/>
              </w:rPr>
            </w:pPr>
          </w:p>
        </w:tc>
        <w:tc>
          <w:tcPr>
            <w:tcW w:w="1860" w:type="dxa"/>
            <w:vAlign w:val="bottom"/>
            <w:gridSpan w:val="5"/>
          </w:tcPr>
          <w:p>
            <w:pPr>
              <w:jc w:val="center"/>
              <w:ind w:right="560"/>
              <w:spacing w:after="0"/>
              <w:rPr>
                <w:sz w:val="20"/>
                <w:szCs w:val="20"/>
                <w:color w:val="auto"/>
              </w:rPr>
            </w:pPr>
            <w:r>
              <w:rPr>
                <w:rFonts w:ascii="Arial" w:cs="Arial" w:eastAsia="Arial" w:hAnsi="Arial"/>
                <w:sz w:val="16"/>
                <w:szCs w:val="16"/>
                <w:color w:val="auto"/>
                <w:w w:val="95"/>
              </w:rPr>
              <w:t>Min/Max Payout:</w:t>
            </w:r>
          </w:p>
        </w:tc>
        <w:tc>
          <w:tcPr>
            <w:tcW w:w="540" w:type="dxa"/>
            <w:vAlign w:val="bottom"/>
          </w:tcPr>
          <w:p>
            <w:pPr>
              <w:spacing w:after="0"/>
              <w:rPr>
                <w:sz w:val="24"/>
                <w:szCs w:val="24"/>
                <w:color w:val="auto"/>
              </w:rPr>
            </w:pPr>
          </w:p>
        </w:tc>
        <w:tc>
          <w:tcPr>
            <w:tcW w:w="1120" w:type="dxa"/>
            <w:vAlign w:val="bottom"/>
            <w:gridSpan w:val="4"/>
          </w:tcPr>
          <w:p>
            <w:pPr>
              <w:jc w:val="center"/>
              <w:ind w:right="239"/>
              <w:spacing w:after="0"/>
              <w:rPr>
                <w:sz w:val="20"/>
                <w:szCs w:val="20"/>
                <w:color w:val="auto"/>
              </w:rPr>
            </w:pPr>
            <w:r>
              <w:rPr>
                <w:rFonts w:ascii="Arial" w:cs="Arial" w:eastAsia="Arial" w:hAnsi="Arial"/>
                <w:sz w:val="16"/>
                <w:szCs w:val="16"/>
                <w:color w:val="auto"/>
                <w:w w:val="86"/>
              </w:rPr>
              <w:t>Target:</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4"/>
          </w:tcPr>
          <w:p>
            <w:pPr>
              <w:jc w:val="center"/>
              <w:ind w:right="420"/>
              <w:spacing w:after="0"/>
              <w:rPr>
                <w:sz w:val="20"/>
                <w:szCs w:val="20"/>
                <w:color w:val="auto"/>
              </w:rPr>
            </w:pPr>
            <w:r>
              <w:rPr>
                <w:rFonts w:ascii="Arial" w:cs="Arial" w:eastAsia="Arial" w:hAnsi="Arial"/>
                <w:sz w:val="16"/>
                <w:szCs w:val="16"/>
                <w:color w:val="auto"/>
                <w:w w:val="95"/>
              </w:rPr>
              <w:t>Min/Max Payout:</w:t>
            </w:r>
          </w:p>
        </w:tc>
        <w:tc>
          <w:tcPr>
            <w:tcW w:w="0" w:type="dxa"/>
            <w:vAlign w:val="bottom"/>
          </w:tcPr>
          <w:p>
            <w:pPr>
              <w:spacing w:after="0"/>
              <w:rPr>
                <w:sz w:val="1"/>
                <w:szCs w:val="1"/>
                <w:color w:val="auto"/>
              </w:rPr>
            </w:pPr>
          </w:p>
        </w:tc>
      </w:tr>
      <w:tr>
        <w:trPr>
          <w:trHeight w:val="21"/>
        </w:trPr>
        <w:tc>
          <w:tcPr>
            <w:tcW w:w="140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36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rPr>
              <w:t>Target 1</w:t>
            </w:r>
          </w:p>
        </w:tc>
        <w:tc>
          <w:tcPr>
            <w:tcW w:w="16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average Adjusted</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100% payout at target,</w:t>
            </w:r>
          </w:p>
        </w:tc>
        <w:tc>
          <w:tcPr>
            <w:tcW w:w="16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3-yr. average Adjusted</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rPr>
              <w:t>100% payout at target,</w:t>
            </w:r>
          </w:p>
        </w:tc>
        <w:tc>
          <w:tcPr>
            <w:tcW w:w="0" w:type="dxa"/>
            <w:vAlign w:val="bottom"/>
          </w:tcPr>
          <w:p>
            <w:pPr>
              <w:spacing w:after="0"/>
              <w:rPr>
                <w:sz w:val="1"/>
                <w:szCs w:val="1"/>
                <w:color w:val="auto"/>
              </w:rPr>
            </w:pPr>
          </w:p>
        </w:tc>
      </w:tr>
      <w:tr>
        <w:trPr>
          <w:trHeight w:val="199"/>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EBITDA margin</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with 50% payout at</w:t>
            </w:r>
          </w:p>
        </w:tc>
        <w:tc>
          <w:tcPr>
            <w:tcW w:w="16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EBITDA margin</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w w:val="99"/>
              </w:rPr>
              <w:t>with 50% payout at 94.6%</w:t>
            </w:r>
          </w:p>
        </w:tc>
        <w:tc>
          <w:tcPr>
            <w:tcW w:w="0" w:type="dxa"/>
            <w:vAlign w:val="bottom"/>
          </w:tcPr>
          <w:p>
            <w:pPr>
              <w:spacing w:after="0"/>
              <w:rPr>
                <w:sz w:val="1"/>
                <w:szCs w:val="1"/>
                <w:color w:val="auto"/>
              </w:rPr>
            </w:pPr>
          </w:p>
        </w:tc>
      </w:tr>
      <w:tr>
        <w:trPr>
          <w:trHeight w:val="206"/>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5"/>
            <w:shd w:val="clear" w:color="auto" w:fill="CFF0FC"/>
          </w:tcPr>
          <w:p>
            <w:pPr>
              <w:spacing w:after="0" w:line="205" w:lineRule="exact"/>
              <w:rPr>
                <w:sz w:val="20"/>
                <w:szCs w:val="20"/>
                <w:color w:val="auto"/>
              </w:rPr>
            </w:pPr>
            <w:r>
              <w:rPr>
                <w:rFonts w:ascii="Arial" w:cs="Arial" w:eastAsia="Arial" w:hAnsi="Arial"/>
                <w:sz w:val="14"/>
                <w:szCs w:val="14"/>
                <w:color w:val="auto"/>
              </w:rPr>
              <w:t xml:space="preserve">(75% weight) </w:t>
            </w:r>
            <w:r>
              <w:rPr>
                <w:rFonts w:ascii="Arial" w:cs="Arial" w:eastAsia="Arial" w:hAnsi="Arial"/>
                <w:sz w:val="23"/>
                <w:szCs w:val="23"/>
                <w:color w:val="auto"/>
                <w:vertAlign w:val="superscript"/>
              </w:rPr>
              <w:t>(1)</w:t>
            </w: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85.7% of target and 150%</w:t>
            </w:r>
          </w:p>
        </w:tc>
        <w:tc>
          <w:tcPr>
            <w:tcW w:w="1660" w:type="dxa"/>
            <w:vAlign w:val="bottom"/>
            <w:gridSpan w:val="5"/>
            <w:shd w:val="clear" w:color="auto" w:fill="CFF0FC"/>
          </w:tcPr>
          <w:p>
            <w:pPr>
              <w:spacing w:after="0" w:line="205" w:lineRule="exact"/>
              <w:rPr>
                <w:sz w:val="20"/>
                <w:szCs w:val="20"/>
                <w:color w:val="auto"/>
              </w:rPr>
            </w:pPr>
            <w:r>
              <w:rPr>
                <w:rFonts w:ascii="Arial" w:cs="Arial" w:eastAsia="Arial" w:hAnsi="Arial"/>
                <w:sz w:val="14"/>
                <w:szCs w:val="14"/>
                <w:color w:val="auto"/>
              </w:rPr>
              <w:t xml:space="preserve">(50% weight) </w:t>
            </w:r>
            <w:r>
              <w:rPr>
                <w:rFonts w:ascii="Arial" w:cs="Arial" w:eastAsia="Arial" w:hAnsi="Arial"/>
                <w:sz w:val="23"/>
                <w:szCs w:val="23"/>
                <w:color w:val="auto"/>
                <w:vertAlign w:val="superscript"/>
              </w:rPr>
              <w:t>(1)</w:t>
            </w: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w w:val="98"/>
              </w:rPr>
              <w:t>of target and 150% payout</w:t>
            </w:r>
          </w:p>
        </w:tc>
        <w:tc>
          <w:tcPr>
            <w:tcW w:w="0" w:type="dxa"/>
            <w:vAlign w:val="bottom"/>
          </w:tcPr>
          <w:p>
            <w:pPr>
              <w:spacing w:after="0"/>
              <w:rPr>
                <w:sz w:val="1"/>
                <w:szCs w:val="1"/>
                <w:color w:val="auto"/>
              </w:rPr>
            </w:pPr>
          </w:p>
        </w:tc>
      </w:tr>
      <w:tr>
        <w:trPr>
          <w:trHeight w:val="203"/>
        </w:trPr>
        <w:tc>
          <w:tcPr>
            <w:tcW w:w="14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payout at 114.3% of</w:t>
            </w:r>
          </w:p>
        </w:tc>
        <w:tc>
          <w:tcPr>
            <w:tcW w:w="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0" w:type="dxa"/>
            <w:vAlign w:val="bottom"/>
            <w:gridSpan w:val="6"/>
            <w:shd w:val="clear" w:color="auto" w:fill="CFF0FC"/>
          </w:tcPr>
          <w:p>
            <w:pPr>
              <w:ind w:left="340"/>
              <w:spacing w:after="0"/>
              <w:rPr>
                <w:sz w:val="20"/>
                <w:szCs w:val="20"/>
                <w:color w:val="auto"/>
              </w:rPr>
            </w:pPr>
            <w:r>
              <w:rPr>
                <w:rFonts w:ascii="Arial" w:cs="Arial" w:eastAsia="Arial" w:hAnsi="Arial"/>
                <w:sz w:val="16"/>
                <w:szCs w:val="16"/>
                <w:color w:val="auto"/>
              </w:rPr>
              <w:t>at 107.1% of target</w:t>
            </w:r>
          </w:p>
        </w:tc>
        <w:tc>
          <w:tcPr>
            <w:tcW w:w="0" w:type="dxa"/>
            <w:vAlign w:val="bottom"/>
          </w:tcPr>
          <w:p>
            <w:pPr>
              <w:spacing w:after="0"/>
              <w:rPr>
                <w:sz w:val="1"/>
                <w:szCs w:val="1"/>
                <w:color w:val="auto"/>
              </w:rPr>
            </w:pPr>
          </w:p>
        </w:tc>
      </w:tr>
      <w:tr>
        <w:trPr>
          <w:trHeight w:val="212"/>
        </w:trPr>
        <w:tc>
          <w:tcPr>
            <w:tcW w:w="14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360" w:type="dxa"/>
            <w:vAlign w:val="bottom"/>
            <w:gridSpan w:val="6"/>
            <w:shd w:val="clear" w:color="auto" w:fill="CFF0FC"/>
          </w:tcPr>
          <w:p>
            <w:pPr>
              <w:ind w:left="300"/>
              <w:spacing w:after="0"/>
              <w:rPr>
                <w:sz w:val="20"/>
                <w:szCs w:val="20"/>
                <w:color w:val="auto"/>
              </w:rPr>
            </w:pPr>
            <w:r>
              <w:rPr>
                <w:rFonts w:ascii="Arial" w:cs="Arial" w:eastAsia="Arial" w:hAnsi="Arial"/>
                <w:sz w:val="16"/>
                <w:szCs w:val="16"/>
                <w:color w:val="auto"/>
              </w:rPr>
              <w:t>target</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341" w:right="339" w:bottom="1440" w:gutter="0" w:footer="0" w:header="0"/>
        </w:sect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Arial" w:cs="Arial" w:eastAsia="Arial" w:hAnsi="Arial"/>
                <w:sz w:val="16"/>
                <w:szCs w:val="16"/>
                <w:color w:val="auto"/>
              </w:rPr>
              <w:t>Target 2</w:t>
            </w:r>
          </w:p>
        </w:tc>
        <w:tc>
          <w:tcPr>
            <w:tcW w:w="3220" w:type="dxa"/>
            <w:vAlign w:val="bottom"/>
          </w:tcPr>
          <w:p>
            <w:pPr>
              <w:ind w:left="1420"/>
              <w:spacing w:after="0"/>
              <w:rPr>
                <w:sz w:val="20"/>
                <w:szCs w:val="20"/>
                <w:color w:val="auto"/>
              </w:rPr>
            </w:pPr>
            <w:r>
              <w:rPr>
                <w:rFonts w:ascii="Arial" w:cs="Arial" w:eastAsia="Arial" w:hAnsi="Arial"/>
                <w:sz w:val="16"/>
                <w:szCs w:val="16"/>
                <w:color w:val="auto"/>
              </w:rPr>
              <w:t>3-yr. relative total</w:t>
            </w:r>
          </w:p>
        </w:tc>
      </w:tr>
      <w:tr>
        <w:trPr>
          <w:trHeight w:val="203"/>
        </w:trPr>
        <w:tc>
          <w:tcPr>
            <w:tcW w:w="1940" w:type="dxa"/>
            <w:vAlign w:val="bottom"/>
          </w:tcPr>
          <w:p>
            <w:pPr>
              <w:spacing w:after="0"/>
              <w:rPr>
                <w:sz w:val="17"/>
                <w:szCs w:val="17"/>
                <w:color w:val="auto"/>
              </w:rPr>
            </w:pPr>
          </w:p>
        </w:tc>
        <w:tc>
          <w:tcPr>
            <w:tcW w:w="3220" w:type="dxa"/>
            <w:vAlign w:val="bottom"/>
          </w:tcPr>
          <w:p>
            <w:pPr>
              <w:ind w:left="1420"/>
              <w:spacing w:after="0"/>
              <w:rPr>
                <w:sz w:val="20"/>
                <w:szCs w:val="20"/>
                <w:color w:val="auto"/>
              </w:rPr>
            </w:pPr>
            <w:r>
              <w:rPr>
                <w:rFonts w:ascii="Arial" w:cs="Arial" w:eastAsia="Arial" w:hAnsi="Arial"/>
                <w:sz w:val="16"/>
                <w:szCs w:val="16"/>
                <w:color w:val="auto"/>
              </w:rPr>
              <w:t>shareholder return as</w:t>
            </w:r>
          </w:p>
        </w:tc>
      </w:tr>
      <w:tr>
        <w:trPr>
          <w:trHeight w:val="203"/>
        </w:trPr>
        <w:tc>
          <w:tcPr>
            <w:tcW w:w="1940" w:type="dxa"/>
            <w:vAlign w:val="bottom"/>
          </w:tcPr>
          <w:p>
            <w:pPr>
              <w:spacing w:after="0"/>
              <w:rPr>
                <w:sz w:val="17"/>
                <w:szCs w:val="17"/>
                <w:color w:val="auto"/>
              </w:rPr>
            </w:pPr>
          </w:p>
        </w:tc>
        <w:tc>
          <w:tcPr>
            <w:tcW w:w="3220" w:type="dxa"/>
            <w:vAlign w:val="bottom"/>
          </w:tcPr>
          <w:p>
            <w:pPr>
              <w:ind w:left="1420"/>
              <w:spacing w:after="0"/>
              <w:rPr>
                <w:sz w:val="20"/>
                <w:szCs w:val="20"/>
                <w:color w:val="auto"/>
              </w:rPr>
            </w:pPr>
            <w:r>
              <w:rPr>
                <w:rFonts w:ascii="Arial" w:cs="Arial" w:eastAsia="Arial" w:hAnsi="Arial"/>
                <w:sz w:val="16"/>
                <w:szCs w:val="16"/>
                <w:color w:val="auto"/>
                <w:w w:val="88"/>
              </w:rPr>
              <w:t>compared to 2018 disclosed</w:t>
            </w:r>
          </w:p>
        </w:tc>
      </w:tr>
      <w:tr>
        <w:trPr>
          <w:trHeight w:val="199"/>
        </w:trPr>
        <w:tc>
          <w:tcPr>
            <w:tcW w:w="1940" w:type="dxa"/>
            <w:vAlign w:val="bottom"/>
          </w:tcPr>
          <w:p>
            <w:pPr>
              <w:spacing w:after="0"/>
              <w:rPr>
                <w:sz w:val="17"/>
                <w:szCs w:val="17"/>
                <w:color w:val="auto"/>
              </w:rPr>
            </w:pPr>
          </w:p>
        </w:tc>
        <w:tc>
          <w:tcPr>
            <w:tcW w:w="3220" w:type="dxa"/>
            <w:vAlign w:val="bottom"/>
          </w:tcPr>
          <w:p>
            <w:pPr>
              <w:ind w:left="1420"/>
              <w:spacing w:after="0"/>
              <w:rPr>
                <w:sz w:val="20"/>
                <w:szCs w:val="20"/>
                <w:color w:val="auto"/>
              </w:rPr>
            </w:pPr>
            <w:r>
              <w:rPr>
                <w:rFonts w:ascii="Arial" w:cs="Arial" w:eastAsia="Arial" w:hAnsi="Arial"/>
                <w:sz w:val="16"/>
                <w:szCs w:val="16"/>
                <w:color w:val="auto"/>
              </w:rPr>
              <w:t>proxy peers</w:t>
            </w:r>
          </w:p>
        </w:tc>
      </w:tr>
      <w:tr>
        <w:trPr>
          <w:trHeight w:val="359"/>
        </w:trPr>
        <w:tc>
          <w:tcPr>
            <w:tcW w:w="1940" w:type="dxa"/>
            <w:vAlign w:val="bottom"/>
          </w:tcPr>
          <w:p>
            <w:pPr>
              <w:spacing w:after="0"/>
              <w:rPr>
                <w:sz w:val="24"/>
                <w:szCs w:val="24"/>
                <w:color w:val="auto"/>
              </w:rPr>
            </w:pPr>
          </w:p>
        </w:tc>
        <w:tc>
          <w:tcPr>
            <w:tcW w:w="3220" w:type="dxa"/>
            <w:vAlign w:val="bottom"/>
          </w:tcPr>
          <w:p>
            <w:pPr>
              <w:ind w:left="1420"/>
              <w:spacing w:after="0"/>
              <w:rPr>
                <w:sz w:val="20"/>
                <w:szCs w:val="20"/>
                <w:color w:val="auto"/>
              </w:rPr>
            </w:pPr>
            <w:r>
              <w:rPr>
                <w:rFonts w:ascii="Arial" w:cs="Arial" w:eastAsia="Arial" w:hAnsi="Arial"/>
                <w:sz w:val="16"/>
                <w:szCs w:val="16"/>
                <w:color w:val="auto"/>
              </w:rPr>
              <w:t xml:space="preserve">(25% weight) </w:t>
            </w:r>
            <w:r>
              <w:rPr>
                <w:rFonts w:ascii="Arial" w:cs="Arial" w:eastAsia="Arial" w:hAnsi="Arial"/>
                <w:sz w:val="27"/>
                <w:szCs w:val="27"/>
                <w:color w:val="auto"/>
                <w:vertAlign w:val="superscript"/>
              </w:rPr>
              <w:t>(2)</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100% payout at target</w:t>
            </w:r>
          </w:p>
        </w:tc>
        <w:tc>
          <w:tcPr>
            <w:tcW w:w="2060" w:type="dxa"/>
            <w:vAlign w:val="bottom"/>
          </w:tcPr>
          <w:p>
            <w:pPr>
              <w:ind w:left="200"/>
              <w:spacing w:after="0"/>
              <w:rPr>
                <w:sz w:val="20"/>
                <w:szCs w:val="20"/>
                <w:color w:val="auto"/>
              </w:rPr>
            </w:pPr>
            <w:r>
              <w:rPr>
                <w:rFonts w:ascii="Arial" w:cs="Arial" w:eastAsia="Arial" w:hAnsi="Arial"/>
                <w:sz w:val="16"/>
                <w:szCs w:val="16"/>
                <w:color w:val="auto"/>
                <w:w w:val="98"/>
              </w:rPr>
              <w:t>3-yr. Stacked Retail Comp</w:t>
            </w:r>
          </w:p>
        </w:tc>
        <w:tc>
          <w:tcPr>
            <w:tcW w:w="1860" w:type="dxa"/>
            <w:vAlign w:val="bottom"/>
          </w:tcPr>
          <w:p>
            <w:pPr>
              <w:ind w:left="140"/>
              <w:spacing w:after="0"/>
              <w:rPr>
                <w:sz w:val="20"/>
                <w:szCs w:val="20"/>
                <w:color w:val="auto"/>
              </w:rPr>
            </w:pPr>
            <w:r>
              <w:rPr>
                <w:rFonts w:ascii="Arial" w:cs="Arial" w:eastAsia="Arial" w:hAnsi="Arial"/>
                <w:sz w:val="16"/>
                <w:szCs w:val="16"/>
                <w:color w:val="auto"/>
              </w:rPr>
              <w:t>100% payout at target,</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(2nd quartile), with 50%</w:t>
            </w:r>
          </w:p>
        </w:tc>
        <w:tc>
          <w:tcPr>
            <w:tcW w:w="2060" w:type="dxa"/>
            <w:vAlign w:val="bottom"/>
          </w:tcPr>
          <w:p>
            <w:pPr>
              <w:ind w:left="200"/>
              <w:spacing w:after="0"/>
              <w:rPr>
                <w:sz w:val="20"/>
                <w:szCs w:val="20"/>
                <w:color w:val="auto"/>
              </w:rPr>
            </w:pPr>
            <w:r>
              <w:rPr>
                <w:rFonts w:ascii="Arial" w:cs="Arial" w:eastAsia="Arial" w:hAnsi="Arial"/>
                <w:sz w:val="16"/>
                <w:szCs w:val="16"/>
                <w:color w:val="auto"/>
              </w:rPr>
              <w:t>(50% weight)</w:t>
            </w:r>
          </w:p>
        </w:tc>
        <w:tc>
          <w:tcPr>
            <w:tcW w:w="1860" w:type="dxa"/>
            <w:vAlign w:val="bottom"/>
          </w:tcPr>
          <w:p>
            <w:pPr>
              <w:ind w:left="140"/>
              <w:spacing w:after="0"/>
              <w:rPr>
                <w:sz w:val="20"/>
                <w:szCs w:val="20"/>
                <w:color w:val="auto"/>
              </w:rPr>
            </w:pPr>
            <w:r>
              <w:rPr>
                <w:rFonts w:ascii="Arial" w:cs="Arial" w:eastAsia="Arial" w:hAnsi="Arial"/>
                <w:sz w:val="16"/>
                <w:szCs w:val="16"/>
                <w:color w:val="auto"/>
                <w:w w:val="91"/>
              </w:rPr>
              <w:t>with 50% payout at 74.4%</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payout (3rd quartile) and</w:t>
            </w:r>
          </w:p>
        </w:tc>
        <w:tc>
          <w:tcPr>
            <w:tcW w:w="2060" w:type="dxa"/>
            <w:vAlign w:val="bottom"/>
          </w:tcPr>
          <w:p>
            <w:pPr>
              <w:spacing w:after="0"/>
              <w:rPr>
                <w:sz w:val="17"/>
                <w:szCs w:val="17"/>
                <w:color w:val="auto"/>
              </w:rPr>
            </w:pPr>
          </w:p>
        </w:tc>
        <w:tc>
          <w:tcPr>
            <w:tcW w:w="1860" w:type="dxa"/>
            <w:vAlign w:val="bottom"/>
          </w:tcPr>
          <w:p>
            <w:pPr>
              <w:ind w:left="140"/>
              <w:spacing w:after="0"/>
              <w:rPr>
                <w:sz w:val="20"/>
                <w:szCs w:val="20"/>
                <w:color w:val="auto"/>
              </w:rPr>
            </w:pPr>
            <w:r>
              <w:rPr>
                <w:rFonts w:ascii="Arial" w:cs="Arial" w:eastAsia="Arial" w:hAnsi="Arial"/>
                <w:sz w:val="16"/>
                <w:szCs w:val="16"/>
                <w:color w:val="auto"/>
                <w:w w:val="90"/>
              </w:rPr>
              <w:t>of target and 150% payout</w:t>
            </w:r>
          </w:p>
        </w:tc>
      </w:tr>
      <w:tr>
        <w:trPr>
          <w:trHeight w:val="203"/>
        </w:trPr>
        <w:tc>
          <w:tcPr>
            <w:tcW w:w="1860" w:type="dxa"/>
            <w:vAlign w:val="bottom"/>
          </w:tcPr>
          <w:p>
            <w:pPr>
              <w:spacing w:after="0"/>
              <w:rPr>
                <w:sz w:val="20"/>
                <w:szCs w:val="20"/>
                <w:color w:val="auto"/>
              </w:rPr>
            </w:pPr>
            <w:r>
              <w:rPr>
                <w:rFonts w:ascii="Arial" w:cs="Arial" w:eastAsia="Arial" w:hAnsi="Arial"/>
                <w:sz w:val="16"/>
                <w:szCs w:val="16"/>
                <w:color w:val="auto"/>
              </w:rPr>
              <w:t>150% (1st quartile). No</w:t>
            </w:r>
          </w:p>
        </w:tc>
        <w:tc>
          <w:tcPr>
            <w:tcW w:w="2060" w:type="dxa"/>
            <w:vAlign w:val="bottom"/>
          </w:tcPr>
          <w:p>
            <w:pPr>
              <w:spacing w:after="0"/>
              <w:rPr>
                <w:sz w:val="17"/>
                <w:szCs w:val="17"/>
                <w:color w:val="auto"/>
              </w:rPr>
            </w:pPr>
          </w:p>
        </w:tc>
        <w:tc>
          <w:tcPr>
            <w:tcW w:w="1860" w:type="dxa"/>
            <w:vAlign w:val="bottom"/>
          </w:tcPr>
          <w:p>
            <w:pPr>
              <w:ind w:left="140"/>
              <w:spacing w:after="0"/>
              <w:rPr>
                <w:sz w:val="20"/>
                <w:szCs w:val="20"/>
                <w:color w:val="auto"/>
              </w:rPr>
            </w:pPr>
            <w:r>
              <w:rPr>
                <w:rFonts w:ascii="Arial" w:cs="Arial" w:eastAsia="Arial" w:hAnsi="Arial"/>
                <w:sz w:val="16"/>
                <w:szCs w:val="16"/>
                <w:color w:val="auto"/>
              </w:rPr>
              <w:t>at 138.5% of target</w:t>
            </w:r>
          </w:p>
        </w:tc>
      </w:tr>
      <w:tr>
        <w:trPr>
          <w:trHeight w:val="206"/>
        </w:trPr>
        <w:tc>
          <w:tcPr>
            <w:tcW w:w="1860" w:type="dxa"/>
            <w:vAlign w:val="bottom"/>
          </w:tcPr>
          <w:p>
            <w:pPr>
              <w:spacing w:after="0"/>
              <w:rPr>
                <w:sz w:val="20"/>
                <w:szCs w:val="20"/>
                <w:color w:val="auto"/>
              </w:rPr>
            </w:pPr>
            <w:r>
              <w:rPr>
                <w:rFonts w:ascii="Arial" w:cs="Arial" w:eastAsia="Arial" w:hAnsi="Arial"/>
                <w:sz w:val="16"/>
                <w:szCs w:val="16"/>
                <w:color w:val="auto"/>
              </w:rPr>
              <w:t>payout in the 4th quartile.</w:t>
            </w:r>
          </w:p>
        </w:tc>
        <w:tc>
          <w:tcPr>
            <w:tcW w:w="2060" w:type="dxa"/>
            <w:vAlign w:val="bottom"/>
          </w:tcPr>
          <w:p>
            <w:pPr>
              <w:spacing w:after="0"/>
              <w:rPr>
                <w:sz w:val="17"/>
                <w:szCs w:val="17"/>
                <w:color w:val="auto"/>
              </w:rPr>
            </w:pPr>
          </w:p>
        </w:tc>
        <w:tc>
          <w:tcPr>
            <w:tcW w:w="1860" w:type="dxa"/>
            <w:vAlign w:val="bottom"/>
          </w:tcPr>
          <w:p>
            <w:pPr>
              <w:spacing w:after="0"/>
              <w:rPr>
                <w:sz w:val="17"/>
                <w:szCs w:val="17"/>
                <w:color w:val="auto"/>
              </w:rPr>
            </w:pPr>
          </w:p>
        </w:tc>
      </w:tr>
    </w:tbl>
    <w:p>
      <w:pPr>
        <w:spacing w:after="0" w:line="239" w:lineRule="exact"/>
        <w:rPr>
          <w:sz w:val="20"/>
          <w:szCs w:val="20"/>
          <w:color w:val="auto"/>
        </w:rPr>
      </w:pPr>
    </w:p>
    <w:p>
      <w:pPr>
        <w:sectPr>
          <w:pgSz w:w="11900" w:h="16838" w:orient="portrait"/>
          <w:cols w:equalWidth="0" w:num="2">
            <w:col w:w="5160" w:space="160"/>
            <w:col w:w="5920"/>
          </w:cols>
          <w:pgMar w:left="320" w:top="341" w:right="339" w:bottom="1440" w:gutter="0" w:footer="0" w:header="0"/>
          <w:type w:val="continuous"/>
        </w:sectPr>
      </w:pPr>
    </w:p>
    <w:p>
      <w:pPr>
        <w:ind w:left="740" w:right="20" w:hanging="368"/>
        <w:spacing w:after="0" w:line="273" w:lineRule="auto"/>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EBITDA will be adjusted to exclude certain revenues, expenses and cash flows, which were not considered in the establishment of the Company’s targets, including its wholesale business (“Adjusted EBITDA”). Adjusted EBITDA margin will then be calculated by taking the Adjusted EBITDA for the three-year performance period and dividing by the Company’s total sales over the three-year performance period. While Adjusted EBITDA is also a metric used in our AIP, we believe that Adjusted EBITDA is the best measure of both our annual and long-term results.</w:t>
      </w:r>
    </w:p>
    <w:p>
      <w:pPr>
        <w:spacing w:after="0" w:line="94" w:lineRule="exact"/>
        <w:rPr>
          <w:rFonts w:ascii="Arial" w:cs="Arial" w:eastAsia="Arial" w:hAnsi="Arial"/>
          <w:sz w:val="16"/>
          <w:szCs w:val="16"/>
          <w:color w:val="auto"/>
        </w:rPr>
      </w:pPr>
    </w:p>
    <w:p>
      <w:pPr>
        <w:ind w:left="740" w:right="20" w:hanging="368"/>
        <w:spacing w:after="0" w:line="328" w:lineRule="auto"/>
        <w:tabs>
          <w:tab w:leader="none" w:pos="7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For the Company and each of its 2018 disclosed proxy peers, the three-year relative total shareholder return will be calculated as the percentage change in the 30-day trailing volume-weighted average closing stock price at February 2, 2018 and January 29, 2021, adjusted for any dividends received.</w:t>
      </w:r>
    </w:p>
    <w:p>
      <w:pPr>
        <w:spacing w:after="0" w:line="1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time of establishing the performance targets, the Compensation Committee believed that the above metrics reflected the Company’s primary objective of returning to profitability and driving shareholder return. We will disclose our targets under the LTIPs once the respective performance periods have ended. In light of the COVID-19 pandemic, the ability to achieve the performance metrics under both of these LTIPs has been significantly impacted. If appropriate, the Compensation Committee may determine in the future to modify or amend the targets to take into consideration the business interruption caused by COVID-19. However, no changes are currently anticipated until the Company can better quantify the impact of COVID-19 on the Company’s business as well as the U.S. economy.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5" w:name="page26"/>
    <w:bookmarkEnd w:id="25"/>
    <w:p>
      <w:pPr>
        <w:ind w:right="200"/>
        <w:spacing w:after="0" w:line="277" w:lineRule="auto"/>
        <w:rPr>
          <w:sz w:val="20"/>
          <w:szCs w:val="20"/>
          <w:color w:val="auto"/>
        </w:rPr>
      </w:pPr>
      <w:r>
        <w:rPr>
          <w:rFonts w:ascii="Arial" w:cs="Arial" w:eastAsia="Arial" w:hAnsi="Arial"/>
          <w:sz w:val="18"/>
          <w:szCs w:val="18"/>
          <w:color w:val="auto"/>
        </w:rPr>
        <w:t>The following table illustrates the components of the LTIPs with the respective vesting dates, illustrating that the time-based portion of the LTIP acts as a retention tool: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6"/>
                <w:szCs w:val="16"/>
                <w:color w:val="auto"/>
              </w:rPr>
              <w:t>% of</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6"/>
          </w:tcPr>
          <w:p>
            <w:pPr>
              <w:ind w:left="320"/>
              <w:spacing w:after="0"/>
              <w:rPr>
                <w:sz w:val="20"/>
                <w:szCs w:val="20"/>
                <w:color w:val="auto"/>
              </w:rPr>
            </w:pPr>
            <w:r>
              <w:rPr>
                <w:rFonts w:ascii="Arial" w:cs="Arial" w:eastAsia="Arial" w:hAnsi="Arial"/>
                <w:sz w:val="16"/>
                <w:szCs w:val="16"/>
                <w:color w:val="auto"/>
              </w:rPr>
              <w:t>Vesting of Awards by Fiscal Year:</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9"/>
        </w:trPr>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9"/>
              </w:rPr>
              <w:t>Approval date</w:t>
            </w:r>
          </w:p>
        </w:tc>
        <w:tc>
          <w:tcPr>
            <w:tcW w:w="60" w:type="dxa"/>
            <w:vAlign w:val="bottom"/>
            <w:tcBorders>
              <w:bottom w:val="single" w:sz="8" w:color="CFF0FC"/>
            </w:tcBorders>
          </w:tcPr>
          <w:p>
            <w:pPr>
              <w:spacing w:after="0"/>
              <w:rPr>
                <w:sz w:val="19"/>
                <w:szCs w:val="19"/>
                <w:color w:val="auto"/>
              </w:rPr>
            </w:pPr>
          </w:p>
        </w:tc>
        <w:tc>
          <w:tcPr>
            <w:tcW w:w="3920" w:type="dxa"/>
            <w:vAlign w:val="bottom"/>
            <w:tcBorders>
              <w:bottom w:val="single" w:sz="8" w:color="auto"/>
            </w:tcBorders>
          </w:tcPr>
          <w:p>
            <w:pPr>
              <w:ind w:left="1300"/>
              <w:spacing w:after="0"/>
              <w:rPr>
                <w:sz w:val="20"/>
                <w:szCs w:val="20"/>
                <w:color w:val="auto"/>
              </w:rPr>
            </w:pPr>
            <w:r>
              <w:rPr>
                <w:rFonts w:ascii="Arial" w:cs="Arial" w:eastAsia="Arial" w:hAnsi="Arial"/>
                <w:sz w:val="16"/>
                <w:szCs w:val="16"/>
                <w:color w:val="auto"/>
              </w:rPr>
              <w:t>Performance Period</w:t>
            </w:r>
          </w:p>
        </w:tc>
        <w:tc>
          <w:tcPr>
            <w:tcW w:w="6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total award</w:t>
            </w:r>
          </w:p>
        </w:tc>
        <w:tc>
          <w:tcPr>
            <w:tcW w:w="22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7"/>
              </w:rPr>
              <w:t>Fiscal 2019</w:t>
            </w: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5"/>
              </w:rPr>
              <w:t>Fiscal 2020</w:t>
            </w: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Fiscal 2021</w:t>
            </w:r>
          </w:p>
        </w:tc>
        <w:tc>
          <w:tcPr>
            <w:tcW w:w="1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Fiscal 2022</w:t>
            </w:r>
          </w:p>
        </w:tc>
        <w:tc>
          <w:tcPr>
            <w:tcW w:w="1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5"/>
              </w:rPr>
              <w:t>Fiscal 2023</w:t>
            </w:r>
          </w:p>
        </w:tc>
        <w:tc>
          <w:tcPr>
            <w:tcW w:w="160" w:type="dxa"/>
            <w:vAlign w:val="bottom"/>
            <w:tcBorders>
              <w:bottom w:val="single" w:sz="8" w:color="CFF0FC"/>
            </w:tcBorders>
          </w:tcPr>
          <w:p>
            <w:pPr>
              <w:spacing w:after="0"/>
              <w:rPr>
                <w:sz w:val="19"/>
                <w:szCs w:val="19"/>
                <w:color w:val="auto"/>
              </w:rPr>
            </w:pPr>
          </w:p>
        </w:tc>
      </w:tr>
      <w:tr>
        <w:trPr>
          <w:trHeight w:val="212"/>
        </w:trPr>
        <w:tc>
          <w:tcPr>
            <w:tcW w:w="1080" w:type="dxa"/>
            <w:vAlign w:val="bottom"/>
            <w:shd w:val="clear" w:color="auto" w:fill="CFF0FC"/>
          </w:tcPr>
          <w:p>
            <w:pPr>
              <w:spacing w:after="0"/>
              <w:rPr>
                <w:sz w:val="20"/>
                <w:szCs w:val="20"/>
                <w:color w:val="auto"/>
              </w:rPr>
            </w:pPr>
            <w:r>
              <w:rPr>
                <w:rFonts w:ascii="Arial" w:cs="Arial" w:eastAsia="Arial" w:hAnsi="Arial"/>
                <w:sz w:val="16"/>
                <w:szCs w:val="16"/>
                <w:color w:val="auto"/>
              </w:rPr>
              <w:t>10/24/2018</w:t>
            </w:r>
          </w:p>
        </w:tc>
        <w:tc>
          <w:tcPr>
            <w:tcW w:w="60" w:type="dxa"/>
            <w:vAlign w:val="bottom"/>
            <w:shd w:val="clear" w:color="auto" w:fill="CFF0FC"/>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2018-2020 LTIP</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3"/>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6"/>
                <w:szCs w:val="16"/>
                <w:color w:val="auto"/>
                <w:w w:val="98"/>
              </w:rPr>
              <w:t>Time-Based Awards, vests April 1*, subject to forfeiture</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w w:val="93"/>
              </w:rPr>
              <w:t>25%</w:t>
            </w: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w w:val="99"/>
              </w:rPr>
              <w:t>25%</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9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w w:val="93"/>
              </w:rPr>
              <w:t>Performance-Based Awards- vests August 31, if achieved</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w:t>
            </w:r>
          </w:p>
        </w:tc>
        <w:tc>
          <w:tcPr>
            <w:tcW w:w="10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r>
        <w:trPr>
          <w:trHeight w:val="216"/>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80" w:type="dxa"/>
            <w:vAlign w:val="bottom"/>
            <w:shd w:val="clear" w:color="auto" w:fill="CFF0FC"/>
          </w:tcPr>
          <w:p>
            <w:pPr>
              <w:spacing w:after="0"/>
              <w:rPr>
                <w:sz w:val="20"/>
                <w:szCs w:val="20"/>
                <w:color w:val="auto"/>
              </w:rPr>
            </w:pPr>
            <w:r>
              <w:rPr>
                <w:rFonts w:ascii="Arial" w:cs="Arial" w:eastAsia="Arial" w:hAnsi="Arial"/>
                <w:sz w:val="16"/>
                <w:szCs w:val="16"/>
                <w:color w:val="auto"/>
              </w:rPr>
              <w:t>8/7/2019</w:t>
            </w:r>
          </w:p>
        </w:tc>
        <w:tc>
          <w:tcPr>
            <w:tcW w:w="60" w:type="dxa"/>
            <w:vAlign w:val="bottom"/>
            <w:shd w:val="clear" w:color="auto" w:fill="CFF0FC"/>
          </w:tcPr>
          <w:p>
            <w:pPr>
              <w:spacing w:after="0"/>
              <w:rPr>
                <w:sz w:val="18"/>
                <w:szCs w:val="18"/>
                <w:color w:val="auto"/>
              </w:rPr>
            </w:pPr>
          </w:p>
        </w:tc>
        <w:tc>
          <w:tcPr>
            <w:tcW w:w="3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2019-2021 LTIP</w:t>
            </w: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3"/>
        </w:trPr>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6"/>
                <w:szCs w:val="16"/>
                <w:color w:val="auto"/>
                <w:w w:val="98"/>
              </w:rPr>
              <w:t>Time-Based Awards, vests April 1*, subject to forfeiture</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10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w w:val="99"/>
              </w:rPr>
              <w:t>25%</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020" w:type="dxa"/>
            <w:vAlign w:val="bottom"/>
            <w:gridSpan w:val="2"/>
          </w:tcPr>
          <w:p>
            <w:pPr>
              <w:ind w:left="680"/>
              <w:spacing w:after="0"/>
              <w:rPr>
                <w:sz w:val="20"/>
                <w:szCs w:val="20"/>
                <w:color w:val="auto"/>
              </w:rPr>
            </w:pPr>
            <w:r>
              <w:rPr>
                <w:rFonts w:ascii="Arial" w:cs="Arial" w:eastAsia="Arial" w:hAnsi="Arial"/>
                <w:sz w:val="16"/>
                <w:szCs w:val="16"/>
                <w:color w:val="auto"/>
                <w:w w:val="99"/>
              </w:rPr>
              <w:t>25%</w:t>
            </w:r>
          </w:p>
        </w:tc>
      </w:tr>
      <w:tr>
        <w:trPr>
          <w:trHeight w:val="219"/>
        </w:trPr>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9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w w:val="93"/>
              </w:rPr>
              <w:t>Performance-Based Awards- vests August 31, if achieved</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w:t>
            </w:r>
          </w:p>
        </w:tc>
        <w:tc>
          <w:tcPr>
            <w:tcW w:w="10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w:t>
            </w:r>
          </w:p>
        </w:tc>
        <w:tc>
          <w:tcPr>
            <w:tcW w:w="102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bl>
    <w:p>
      <w:pPr>
        <w:spacing w:after="0" w:line="247" w:lineRule="exact"/>
        <w:rPr>
          <w:sz w:val="20"/>
          <w:szCs w:val="20"/>
          <w:color w:val="auto"/>
        </w:rPr>
      </w:pPr>
    </w:p>
    <w:p>
      <w:pPr>
        <w:ind w:left="740" w:right="40" w:hanging="368"/>
        <w:spacing w:after="0" w:line="189" w:lineRule="auto"/>
        <w:tabs>
          <w:tab w:leader="none" w:pos="740" w:val="left"/>
        </w:tabs>
        <w:numPr>
          <w:ilvl w:val="0"/>
          <w:numId w:val="25"/>
        </w:numPr>
        <w:rPr>
          <w:rFonts w:ascii="Arial" w:cs="Arial" w:eastAsia="Arial" w:hAnsi="Arial"/>
          <w:sz w:val="29"/>
          <w:szCs w:val="29"/>
          <w:color w:val="auto"/>
          <w:vertAlign w:val="superscript"/>
        </w:rPr>
      </w:pPr>
      <w:r>
        <w:rPr>
          <w:rFonts w:ascii="Arial" w:cs="Arial" w:eastAsia="Arial" w:hAnsi="Arial"/>
          <w:sz w:val="16"/>
          <w:szCs w:val="16"/>
          <w:color w:val="auto"/>
        </w:rPr>
        <w:t>The first tranche of time-based awards vest on the later of April 1 following the end of the first year of the performance period or one year from the date of grant, whichever is later.</w:t>
      </w:r>
    </w:p>
    <w:p>
      <w:pPr>
        <w:spacing w:after="0" w:line="209" w:lineRule="exact"/>
        <w:rPr>
          <w:rFonts w:ascii="Arial" w:cs="Arial" w:eastAsia="Arial" w:hAnsi="Arial"/>
          <w:sz w:val="29"/>
          <w:szCs w:val="29"/>
          <w:color w:val="auto"/>
          <w:vertAlign w:val="superscript"/>
        </w:rPr>
      </w:pPr>
    </w:p>
    <w:p>
      <w:pPr>
        <w:ind w:left="760" w:hanging="253"/>
        <w:spacing w:after="0"/>
        <w:tabs>
          <w:tab w:leader="none" w:pos="760"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9" w:lineRule="exact"/>
        <w:rPr>
          <w:sz w:val="20"/>
          <w:szCs w:val="20"/>
          <w:color w:val="auto"/>
        </w:rPr>
      </w:pPr>
    </w:p>
    <w:p>
      <w:pPr>
        <w:ind w:left="780" w:right="120"/>
        <w:spacing w:after="0" w:line="275" w:lineRule="auto"/>
        <w:rPr>
          <w:sz w:val="20"/>
          <w:szCs w:val="20"/>
          <w:color w:val="auto"/>
        </w:rPr>
      </w:pPr>
      <w:r>
        <w:rPr>
          <w:rFonts w:ascii="Arial" w:cs="Arial" w:eastAsia="Arial" w:hAnsi="Arial"/>
          <w:sz w:val="17"/>
          <w:szCs w:val="17"/>
          <w:color w:val="auto"/>
        </w:rPr>
        <w:t>In connection with his hiring, Mr. Kanter was awarded two sign-on awards: (1) a grant of 720,000 PSUs, with a grant-date fair value of $1.0 million, and (2) a grant of 240,000 RSUs, with a grant-date fair value of $0.6 million. The PSUs vest in installments when the following milestones are met: one-third of the PSUs vest when the trailing 90-day VWAP is $4.00, one-third of the PSUs vest when the VWAP is $6.00 and one-third when the VWAP is $8.00. All PSUs will expire on April 1, 2023 if no performance metric is achieved. The RSUs are time-based awards that vest ratably over four years, with the first tranche vesting on April 1, 2020.</w:t>
      </w:r>
    </w:p>
    <w:p>
      <w:pPr>
        <w:spacing w:after="0" w:line="68" w:lineRule="exact"/>
        <w:rPr>
          <w:sz w:val="20"/>
          <w:szCs w:val="20"/>
          <w:color w:val="auto"/>
        </w:rPr>
      </w:pPr>
    </w:p>
    <w:p>
      <w:pPr>
        <w:ind w:left="780" w:right="120"/>
        <w:spacing w:after="0" w:line="263" w:lineRule="auto"/>
        <w:rPr>
          <w:sz w:val="20"/>
          <w:szCs w:val="20"/>
          <w:color w:val="auto"/>
        </w:rPr>
      </w:pPr>
      <w:r>
        <w:rPr>
          <w:rFonts w:ascii="Arial" w:cs="Arial" w:eastAsia="Arial" w:hAnsi="Arial"/>
          <w:sz w:val="18"/>
          <w:szCs w:val="18"/>
          <w:color w:val="auto"/>
        </w:rPr>
        <w:t>With the exception of the grant of equity awards to Mr. Kanter in connection with his hiring and a $10,000 bonus to Mr. Gaeta related to the successful roll-out of our “Save the Sale” initiative, there were no discretionary cash or equity awards granted to our Named Executive Officers in fiscal 2019.</w:t>
      </w:r>
    </w:p>
    <w:p>
      <w:pPr>
        <w:spacing w:after="0" w:line="76" w:lineRule="exact"/>
        <w:rPr>
          <w:sz w:val="20"/>
          <w:szCs w:val="20"/>
          <w:color w:val="auto"/>
        </w:rPr>
      </w:pPr>
    </w:p>
    <w:p>
      <w:pPr>
        <w:ind w:left="760" w:hanging="253"/>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sz w:val="20"/>
          <w:szCs w:val="20"/>
          <w:color w:val="auto"/>
        </w:rPr>
      </w:pPr>
    </w:p>
    <w:p>
      <w:pPr>
        <w:ind w:left="780" w:right="280"/>
        <w:spacing w:after="0" w:line="308" w:lineRule="auto"/>
        <w:rPr>
          <w:sz w:val="20"/>
          <w:szCs w:val="20"/>
          <w:color w:val="auto"/>
        </w:rPr>
      </w:pPr>
      <w:r>
        <w:rPr>
          <w:rFonts w:ascii="Arial" w:cs="Arial" w:eastAsia="Arial" w:hAnsi="Arial"/>
          <w:sz w:val="17"/>
          <w:szCs w:val="17"/>
          <w:color w:val="auto"/>
        </w:rPr>
        <w:t>In addition to our life insurance programs available to all of our employees, we paid the insurance premium for an additional $2.0 million life insurance policy for Mr. Levin to the benefit of his designated beneficiaries. That policy was surrendered on January 15, 2020.</w:t>
      </w:r>
    </w:p>
    <w:p>
      <w:pPr>
        <w:spacing w:after="0" w:line="38" w:lineRule="exact"/>
        <w:rPr>
          <w:sz w:val="20"/>
          <w:szCs w:val="20"/>
          <w:color w:val="auto"/>
        </w:rPr>
      </w:pPr>
    </w:p>
    <w:p>
      <w:pPr>
        <w:ind w:left="780" w:right="60"/>
        <w:spacing w:after="0" w:line="277" w:lineRule="auto"/>
        <w:rPr>
          <w:sz w:val="20"/>
          <w:szCs w:val="20"/>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sz w:val="20"/>
          <w:szCs w:val="20"/>
          <w:color w:val="auto"/>
        </w:rPr>
      </w:pPr>
    </w:p>
    <w:p>
      <w:pPr>
        <w:ind w:left="780"/>
        <w:spacing w:after="0" w:line="277"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2" w:lineRule="exact"/>
        <w:rPr>
          <w:sz w:val="20"/>
          <w:szCs w:val="20"/>
          <w:color w:val="auto"/>
        </w:rPr>
      </w:pPr>
    </w:p>
    <w:p>
      <w:pPr>
        <w:ind w:left="780" w:right="80"/>
        <w:spacing w:after="0" w:line="259" w:lineRule="auto"/>
        <w:rPr>
          <w:sz w:val="20"/>
          <w:szCs w:val="20"/>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In May 2018, in connection with our cost reduction initiatives, employer contributions to the 401(k) Plan were suspended, effective July 1, 2018 until December 31, 2019. As a result, there were no employer contributions to the 401(k) in fiscal 2019.</w:t>
      </w:r>
    </w:p>
    <w:p>
      <w:pPr>
        <w:spacing w:after="0" w:line="79" w:lineRule="exact"/>
        <w:rPr>
          <w:sz w:val="20"/>
          <w:szCs w:val="20"/>
          <w:color w:val="auto"/>
        </w:rPr>
      </w:pPr>
    </w:p>
    <w:p>
      <w:pPr>
        <w:ind w:left="780" w:right="20"/>
        <w:spacing w:after="0" w:line="275" w:lineRule="auto"/>
        <w:rPr>
          <w:sz w:val="20"/>
          <w:szCs w:val="20"/>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68" w:lineRule="exact"/>
        <w:rPr>
          <w:sz w:val="20"/>
          <w:szCs w:val="20"/>
          <w:color w:val="auto"/>
        </w:rPr>
      </w:pPr>
    </w:p>
    <w:p>
      <w:pPr>
        <w:ind w:left="760" w:hanging="253"/>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sz w:val="20"/>
          <w:szCs w:val="20"/>
          <w:color w:val="auto"/>
        </w:rPr>
      </w:pPr>
    </w:p>
    <w:p>
      <w:pPr>
        <w:ind w:left="780" w:right="160"/>
        <w:spacing w:after="0" w:line="255" w:lineRule="auto"/>
        <w:rPr>
          <w:sz w:val="20"/>
          <w:szCs w:val="20"/>
          <w:color w:val="auto"/>
        </w:rPr>
      </w:pPr>
      <w:r>
        <w:rPr>
          <w:rFonts w:ascii="Arial" w:cs="Arial" w:eastAsia="Arial" w:hAnsi="Arial"/>
          <w:sz w:val="18"/>
          <w:szCs w:val="18"/>
          <w:color w:val="auto"/>
        </w:rPr>
        <w:t>The Tax Cut and Jobs Act of 2017 (“Tax Act”), among other things, repealed the performance-based compensation exemption under Section 162(m) of the Internal Revenue Code of 1986, as amended. In addition, the Tax Act expanded the group of officers whose compensation is subject to the Section 162(m) deduction limitations. Accordingly,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Compensation Committee reviewed and discussed the Compensation Discussion and Analysis required by Item 402(b) of Regulation S-K with management and, based on this review and discussion, recommended to the Board of Directors that the Compensation Discussion and Analysis be included in this Proxy Statement.</w:t>
      </w:r>
    </w:p>
    <w:p>
      <w:pPr>
        <w:spacing w:after="0" w:line="18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Willem Mesdag, Chairman</w:t>
      </w:r>
    </w:p>
    <w:p>
      <w:pPr>
        <w:spacing w:after="0" w:line="225"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Lionel F. Conacher</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Mitchell S. Presser</w:t>
      </w:r>
    </w:p>
    <w:p>
      <w:pPr>
        <w:spacing w:after="0" w:line="200" w:lineRule="exact"/>
        <w:rPr>
          <w:sz w:val="20"/>
          <w:szCs w:val="20"/>
          <w:color w:val="auto"/>
        </w:rPr>
      </w:pPr>
    </w:p>
    <w:p>
      <w:pPr>
        <w:spacing w:after="0" w:line="24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Ward K. Mooney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27" w:name="page28"/>
    <w:bookmarkEnd w:id="27"/>
    <w:p>
      <w:pPr>
        <w:ind w:right="10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Non-Equity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Stock</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6"/>
              </w:rPr>
              <w:t>Incentive Plan</w:t>
            </w:r>
          </w:p>
        </w:tc>
        <w:tc>
          <w:tcPr>
            <w:tcW w:w="140" w:type="dxa"/>
            <w:vAlign w:val="bottom"/>
          </w:tcPr>
          <w:p>
            <w:pPr>
              <w:spacing w:after="0"/>
              <w:rPr>
                <w:sz w:val="12"/>
                <w:szCs w:val="12"/>
                <w:color w:val="auto"/>
              </w:rPr>
            </w:pPr>
          </w:p>
        </w:tc>
        <w:tc>
          <w:tcPr>
            <w:tcW w:w="820" w:type="dxa"/>
            <w:vAlign w:val="bottom"/>
          </w:tcPr>
          <w:p>
            <w:pPr>
              <w:jc w:val="center"/>
              <w:ind w:right="72"/>
              <w:spacing w:after="0"/>
              <w:rPr>
                <w:sz w:val="20"/>
                <w:szCs w:val="20"/>
                <w:color w:val="auto"/>
              </w:rPr>
            </w:pPr>
            <w:r>
              <w:rPr>
                <w:rFonts w:ascii="Arial" w:cs="Arial" w:eastAsia="Arial" w:hAnsi="Arial"/>
                <w:sz w:val="13"/>
                <w:szCs w:val="13"/>
                <w:b w:val="1"/>
                <w:bCs w:val="1"/>
                <w:color w:val="auto"/>
                <w:w w:val="98"/>
              </w:rPr>
              <w:t>All 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3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Awards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120" w:type="dxa"/>
            <w:vAlign w:val="bottom"/>
          </w:tcPr>
          <w:p>
            <w:pPr>
              <w:spacing w:after="0"/>
              <w:rPr>
                <w:sz w:val="12"/>
                <w:szCs w:val="12"/>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Compensation</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360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92"/>
              </w:rPr>
              <w:t>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1"/>
              <w:spacing w:after="0"/>
              <w:rPr>
                <w:sz w:val="20"/>
                <w:szCs w:val="20"/>
                <w:color w:val="auto"/>
              </w:rPr>
            </w:pPr>
            <w:r>
              <w:rPr>
                <w:rFonts w:ascii="Arial" w:cs="Arial" w:eastAsia="Arial" w:hAnsi="Arial"/>
                <w:sz w:val="13"/>
                <w:szCs w:val="13"/>
                <w:b w:val="1"/>
                <w:bCs w:val="1"/>
                <w:color w:val="auto"/>
                <w:w w:val="92"/>
              </w:rPr>
              <w:t>Salary ($)</w:t>
            </w: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Bonus ($)</w:t>
            </w:r>
          </w:p>
        </w:tc>
        <w:tc>
          <w:tcPr>
            <w:tcW w:w="140" w:type="dxa"/>
            <w:vAlign w:val="bottom"/>
          </w:tcPr>
          <w:p>
            <w:pPr>
              <w:spacing w:after="0"/>
              <w:rPr>
                <w:sz w:val="14"/>
                <w:szCs w:val="14"/>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auto"/>
                <w:w w:val="98"/>
              </w:rPr>
              <w:t>($) (1) (2)</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8"/>
              </w:rPr>
              <w:t>($) (1)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2"/>
              <w:spacing w:after="0"/>
              <w:rPr>
                <w:sz w:val="20"/>
                <w:szCs w:val="20"/>
                <w:color w:val="auto"/>
              </w:rPr>
            </w:pPr>
            <w:r>
              <w:rPr>
                <w:rFonts w:ascii="Arial" w:cs="Arial" w:eastAsia="Arial" w:hAnsi="Arial"/>
                <w:sz w:val="13"/>
                <w:szCs w:val="13"/>
                <w:b w:val="1"/>
                <w:bCs w:val="1"/>
                <w:color w:val="auto"/>
              </w:rPr>
              <w:t>($)(3)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52"/>
              <w:spacing w:after="0"/>
              <w:rPr>
                <w:sz w:val="20"/>
                <w:szCs w:val="20"/>
                <w:color w:val="auto"/>
              </w:rPr>
            </w:pPr>
            <w:r>
              <w:rPr>
                <w:rFonts w:ascii="Arial" w:cs="Arial" w:eastAsia="Arial" w:hAnsi="Arial"/>
                <w:sz w:val="13"/>
                <w:szCs w:val="13"/>
                <w:b w:val="1"/>
                <w:bCs w:val="1"/>
                <w:color w:val="auto"/>
              </w:rPr>
              <w:t>($)(4)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w:t>
            </w:r>
          </w:p>
        </w:tc>
      </w:tr>
      <w:tr>
        <w:trPr>
          <w:trHeight w:val="223"/>
        </w:trPr>
        <w:tc>
          <w:tcPr>
            <w:tcW w:w="3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671,923</w:t>
            </w:r>
          </w:p>
        </w:tc>
        <w:tc>
          <w:tcPr>
            <w:tcW w:w="14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1,941,974</w:t>
            </w:r>
          </w:p>
        </w:tc>
        <w:tc>
          <w:tcPr>
            <w:tcW w:w="1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435,346</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4"/>
              </w:rPr>
              <w:t>3,164,067</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President and Chief Executive Officer</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162"/>
        </w:trPr>
        <w:tc>
          <w:tcPr>
            <w:tcW w:w="36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David A. Levin</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739,440</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243,360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594,043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1,576,843</w:t>
            </w:r>
          </w:p>
        </w:tc>
        <w:tc>
          <w:tcPr>
            <w:tcW w:w="60" w:type="dxa"/>
            <w:vAlign w:val="bottom"/>
          </w:tcPr>
          <w:p>
            <w:pPr>
              <w:spacing w:after="0"/>
              <w:rPr>
                <w:sz w:val="19"/>
                <w:szCs w:val="19"/>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Former President and Chief Executive</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811,200</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506,998</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867,173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258,418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2,443,789</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Officer and former Acting CEO</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826,800</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515,923</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285,246</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37,351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1,665,320</w:t>
            </w:r>
          </w:p>
        </w:tc>
        <w:tc>
          <w:tcPr>
            <w:tcW w:w="60" w:type="dxa"/>
            <w:vAlign w:val="bottom"/>
          </w:tcPr>
          <w:p>
            <w:pPr>
              <w:spacing w:after="0"/>
              <w:rPr>
                <w:sz w:val="20"/>
                <w:szCs w:val="20"/>
                <w:color w:val="auto"/>
              </w:rPr>
            </w:pPr>
          </w:p>
        </w:tc>
      </w:tr>
      <w:tr>
        <w:trPr>
          <w:trHeight w:val="229"/>
        </w:trPr>
        <w:tc>
          <w:tcPr>
            <w:tcW w:w="36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4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395,000</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69,123</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108,625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588,245</w:t>
            </w: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Executive Vice President, Chief</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395,000</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169,307</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232,240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821,669</w:t>
            </w: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Financial Officer and Treasurer</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384,038</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158,496</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620,253</w:t>
            </w: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Robert S. Molloy</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65,625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533,245</w:t>
            </w:r>
          </w:p>
        </w:tc>
        <w:tc>
          <w:tcPr>
            <w:tcW w:w="60" w:type="dxa"/>
            <w:vAlign w:val="bottom"/>
          </w:tcPr>
          <w:p>
            <w:pPr>
              <w:spacing w:after="0"/>
              <w:rPr>
                <w:sz w:val="19"/>
                <w:szCs w:val="19"/>
                <w:color w:val="auto"/>
              </w:rPr>
            </w:pPr>
          </w:p>
        </w:tc>
      </w:tr>
      <w:tr>
        <w:trPr>
          <w:trHeight w:val="229"/>
        </w:trPr>
        <w:tc>
          <w:tcPr>
            <w:tcW w:w="3600" w:type="dxa"/>
            <w:vAlign w:val="bottom"/>
          </w:tcPr>
          <w:p>
            <w:pPr>
              <w:ind w:left="260"/>
              <w:spacing w:after="0"/>
              <w:rPr>
                <w:sz w:val="20"/>
                <w:szCs w:val="20"/>
                <w:color w:val="auto"/>
              </w:rPr>
            </w:pPr>
            <w:r>
              <w:rPr>
                <w:rFonts w:ascii="Arial" w:cs="Arial" w:eastAsia="Arial" w:hAnsi="Arial"/>
                <w:sz w:val="18"/>
                <w:szCs w:val="18"/>
                <w:color w:val="auto"/>
              </w:rPr>
              <w:t>Chief Administrative Officer,</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366,346</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161,434</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156,650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711,069</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General Counsel and Secretary</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351,635</w:t>
            </w: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152,642</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48,526</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579,696</w:t>
            </w:r>
          </w:p>
        </w:tc>
        <w:tc>
          <w:tcPr>
            <w:tcW w:w="60" w:type="dxa"/>
            <w:vAlign w:val="bottom"/>
          </w:tcPr>
          <w:p>
            <w:pPr>
              <w:spacing w:after="0"/>
              <w:rPr>
                <w:sz w:val="20"/>
                <w:szCs w:val="20"/>
                <w:color w:val="auto"/>
              </w:rPr>
            </w:pPr>
          </w:p>
        </w:tc>
      </w:tr>
      <w:tr>
        <w:trPr>
          <w:trHeight w:val="229"/>
        </w:trPr>
        <w:tc>
          <w:tcPr>
            <w:tcW w:w="36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4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288,365</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50,749</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419,423</w:t>
            </w: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Vice President, Supply Chain</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Customer Fulfillment</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Anthony J. Gaeta</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291,730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$ 10,000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51,625</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43,176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408,405</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Store Sales and Operations</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36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4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87,499</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301,605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764,104</w:t>
            </w:r>
          </w:p>
        </w:tc>
        <w:tc>
          <w:tcPr>
            <w:tcW w:w="60" w:type="dxa"/>
            <w:vAlign w:val="bottom"/>
          </w:tcPr>
          <w:p>
            <w:pPr>
              <w:spacing w:after="0"/>
              <w:rPr>
                <w:sz w:val="19"/>
                <w:szCs w:val="19"/>
                <w:color w:val="auto"/>
              </w:rPr>
            </w:pPr>
          </w:p>
        </w:tc>
      </w:tr>
      <w:tr>
        <w:trPr>
          <w:trHeight w:val="229"/>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Former Executive Vice President and</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432,692</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201,248</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254,401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100,648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988,989</w:t>
            </w: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Chief Operating Officer</w:t>
            </w: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325,000</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133,560</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530,112</w:t>
            </w:r>
          </w:p>
        </w:tc>
        <w:tc>
          <w:tcPr>
            <w:tcW w:w="60" w:type="dxa"/>
            <w:vAlign w:val="bottom"/>
          </w:tcPr>
          <w:p>
            <w:pPr>
              <w:spacing w:after="0"/>
              <w:rPr>
                <w:sz w:val="19"/>
                <w:szCs w:val="19"/>
                <w:color w:val="auto"/>
              </w:rPr>
            </w:pPr>
          </w:p>
        </w:tc>
      </w:tr>
      <w:tr>
        <w:trPr>
          <w:trHeight w:val="230"/>
        </w:trPr>
        <w:tc>
          <w:tcPr>
            <w:tcW w:w="3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tcBorders>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James S. Davey</w:t>
            </w:r>
          </w:p>
        </w:tc>
        <w:tc>
          <w:tcPr>
            <w:tcW w:w="6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233,654</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282,029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515,683</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Former Executive Vice President and</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9"/>
              </w:rPr>
              <w:t>2018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403,269</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328,147</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$ 150,000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190,303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11,888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1,083,607</w:t>
            </w:r>
          </w:p>
        </w:tc>
        <w:tc>
          <w:tcPr>
            <w:tcW w:w="60" w:type="dxa"/>
            <w:vAlign w:val="bottom"/>
          </w:tcPr>
          <w:p>
            <w:pPr>
              <w:spacing w:after="0"/>
              <w:rPr>
                <w:sz w:val="19"/>
                <w:szCs w:val="19"/>
                <w:color w:val="auto"/>
              </w:rPr>
            </w:pPr>
          </w:p>
        </w:tc>
      </w:tr>
      <w:tr>
        <w:trPr>
          <w:trHeight w:val="230"/>
        </w:trPr>
        <w:tc>
          <w:tcPr>
            <w:tcW w:w="3600" w:type="dxa"/>
            <w:vAlign w:val="bottom"/>
          </w:tcPr>
          <w:p>
            <w:pPr>
              <w:ind w:left="260"/>
              <w:spacing w:after="0"/>
              <w:rPr>
                <w:sz w:val="20"/>
                <w:szCs w:val="20"/>
                <w:color w:val="auto"/>
              </w:rPr>
            </w:pPr>
            <w:r>
              <w:rPr>
                <w:rFonts w:ascii="Arial" w:cs="Arial" w:eastAsia="Arial" w:hAnsi="Arial"/>
                <w:sz w:val="18"/>
                <w:szCs w:val="18"/>
                <w:color w:val="auto"/>
              </w:rPr>
              <w:t>Chief Marketing Officer</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20" w:lineRule="exact"/>
        <w:rPr>
          <w:sz w:val="20"/>
          <w:szCs w:val="20"/>
          <w:color w:val="auto"/>
        </w:rPr>
      </w:pPr>
    </w:p>
    <w:p>
      <w:pPr>
        <w:ind w:left="740" w:right="60" w:hanging="368"/>
        <w:spacing w:after="0" w:line="293" w:lineRule="auto"/>
        <w:tabs>
          <w:tab w:leader="none" w:pos="7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amounts reflect the fair value, as of grant date, of awards computed in accordance with FASB ASC Topic 718, and not the actual amounts paid to or realized by the Named Executive Officers during the applicable fiscal year. The fair value of performance-based awards, based on a market condition, was determined as of the date of grant using a Monte-Carlo valuation model and the fair value of stock option awards were estimated as of the date of grant using a Black-Scholes valuation model. Additional information regarding the assumptions used to estimate the fair value of all awards is included in Note A and Note I to Consolidated Financial Statements contained in our Annual Report on Form 10-K for the fiscal year ended February 1, 2020.</w:t>
      </w:r>
    </w:p>
    <w:p>
      <w:pPr>
        <w:spacing w:after="0" w:line="67" w:lineRule="exact"/>
        <w:rPr>
          <w:rFonts w:ascii="Arial" w:cs="Arial" w:eastAsia="Arial" w:hAnsi="Arial"/>
          <w:sz w:val="15"/>
          <w:szCs w:val="15"/>
          <w:color w:val="auto"/>
        </w:rPr>
      </w:pPr>
    </w:p>
    <w:p>
      <w:pPr>
        <w:ind w:left="740" w:hanging="368"/>
        <w:spacing w:after="0"/>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Stock Awards</w:t>
      </w:r>
      <w:r>
        <w:rPr>
          <w:rFonts w:ascii="Arial" w:cs="Arial" w:eastAsia="Arial" w:hAnsi="Arial"/>
          <w:sz w:val="16"/>
          <w:szCs w:val="16"/>
          <w:color w:val="auto"/>
        </w:rPr>
        <w:t>” below for a breakdown of 2019 amounts reflected in this column.</w:t>
      </w:r>
    </w:p>
    <w:p>
      <w:pPr>
        <w:spacing w:after="0" w:line="234" w:lineRule="exact"/>
        <w:rPr>
          <w:rFonts w:ascii="Arial" w:cs="Arial" w:eastAsia="Arial" w:hAnsi="Arial"/>
          <w:sz w:val="16"/>
          <w:szCs w:val="16"/>
          <w:color w:val="auto"/>
        </w:rPr>
      </w:pPr>
    </w:p>
    <w:p>
      <w:pPr>
        <w:ind w:left="760" w:right="400"/>
        <w:spacing w:after="0" w:line="293" w:lineRule="auto"/>
        <w:rPr>
          <w:rFonts w:ascii="Arial" w:cs="Arial" w:eastAsia="Arial" w:hAnsi="Arial"/>
          <w:sz w:val="16"/>
          <w:szCs w:val="16"/>
          <w:color w:val="auto"/>
        </w:rPr>
      </w:pPr>
      <w:r>
        <w:rPr>
          <w:rFonts w:ascii="Arial" w:cs="Arial" w:eastAsia="Arial" w:hAnsi="Arial"/>
          <w:sz w:val="16"/>
          <w:szCs w:val="16"/>
          <w:color w:val="auto"/>
        </w:rPr>
        <w:t>The amount shown in the Option Award column for fiscal 2018 represents the fair value, as of grant date, of a sign-on award of stock options to Mr. Davey, which were forfeited in connection with his termination of employment.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ind w:left="760" w:right="20"/>
        <w:spacing w:after="0" w:line="318" w:lineRule="auto"/>
        <w:rPr>
          <w:sz w:val="20"/>
          <w:szCs w:val="20"/>
          <w:color w:val="auto"/>
        </w:rPr>
      </w:pPr>
      <w:r>
        <w:rPr>
          <w:rFonts w:ascii="Arial" w:cs="Arial" w:eastAsia="Arial" w:hAnsi="Arial"/>
          <w:sz w:val="14"/>
          <w:szCs w:val="14"/>
          <w:color w:val="auto"/>
        </w:rPr>
        <w:t>The fair value associated with the performance-based component of the equity awards under the 2019-2021 LTIP was determined based on the probable outcome of the performance conditions as of the service-inception date. Because the achievement of the performance targets under the 2019-2021 LTIP was not deemed probable as of the service-inception date, no value was attributed to the performance-based portion of these awards. Mr. Levin was not eligible to participate in the 2019-2021 LTIP and Mr. Davey was not employed by the Company when the plan was approved. The following reflects the fair values of the performance-based equity portion of the 2019-2021 LTIP assuming the highest level of performance conditions will be achieved for each of the Named Executive Officers:</w:t>
      </w:r>
    </w:p>
    <w:p>
      <w:pPr>
        <w:spacing w:after="0" w:line="172" w:lineRule="exact"/>
        <w:rPr>
          <w:sz w:val="20"/>
          <w:szCs w:val="20"/>
          <w:color w:val="auto"/>
        </w:rPr>
      </w:pPr>
    </w:p>
    <w:tbl>
      <w:tblPr>
        <w:tblLayout w:type="fixed"/>
        <w:tblInd w:w="3460" w:type="dxa"/>
        <w:tblCellMar>
          <w:top w:w="0" w:type="dxa"/>
          <w:left w:w="0" w:type="dxa"/>
          <w:bottom w:w="0" w:type="dxa"/>
          <w:right w:w="0" w:type="dxa"/>
        </w:tblCellMar>
      </w:tblPr>
      <w:tr>
        <w:trPr>
          <w:trHeight w:val="162"/>
        </w:trPr>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Harvey S. Kanter</w:t>
            </w:r>
          </w:p>
        </w:tc>
        <w:tc>
          <w:tcPr>
            <w:tcW w:w="1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468,563</w:t>
            </w:r>
          </w:p>
        </w:tc>
      </w:tr>
      <w:tr>
        <w:trPr>
          <w:trHeight w:val="162"/>
        </w:trPr>
        <w:tc>
          <w:tcPr>
            <w:tcW w:w="2180" w:type="dxa"/>
            <w:vAlign w:val="bottom"/>
          </w:tcPr>
          <w:p>
            <w:pPr>
              <w:spacing w:after="0"/>
              <w:rPr>
                <w:sz w:val="20"/>
                <w:szCs w:val="20"/>
                <w:color w:val="auto"/>
              </w:rPr>
            </w:pPr>
            <w:r>
              <w:rPr>
                <w:rFonts w:ascii="Arial" w:cs="Arial" w:eastAsia="Arial" w:hAnsi="Arial"/>
                <w:sz w:val="14"/>
                <w:szCs w:val="14"/>
                <w:color w:val="auto"/>
              </w:rPr>
              <w:t>David A. Levin</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162"/>
        </w:trPr>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Peter H. Stratton, Jr.</w:t>
            </w:r>
          </w:p>
        </w:tc>
        <w:tc>
          <w:tcPr>
            <w:tcW w:w="1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103,688</w:t>
            </w:r>
          </w:p>
        </w:tc>
      </w:tr>
      <w:tr>
        <w:trPr>
          <w:trHeight w:val="162"/>
        </w:trPr>
        <w:tc>
          <w:tcPr>
            <w:tcW w:w="2180" w:type="dxa"/>
            <w:vAlign w:val="bottom"/>
          </w:tcPr>
          <w:p>
            <w:pPr>
              <w:spacing w:after="0"/>
              <w:rPr>
                <w:sz w:val="20"/>
                <w:szCs w:val="20"/>
                <w:color w:val="auto"/>
              </w:rPr>
            </w:pPr>
            <w:r>
              <w:rPr>
                <w:rFonts w:ascii="Arial" w:cs="Arial" w:eastAsia="Arial" w:hAnsi="Arial"/>
                <w:sz w:val="14"/>
                <w:szCs w:val="14"/>
                <w:color w:val="auto"/>
              </w:rPr>
              <w:t>Robert S. Molloy</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98,438</w:t>
            </w:r>
          </w:p>
        </w:tc>
      </w:tr>
      <w:tr>
        <w:trPr>
          <w:trHeight w:val="162"/>
        </w:trPr>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Francis C. Chane</w:t>
            </w:r>
          </w:p>
        </w:tc>
        <w:tc>
          <w:tcPr>
            <w:tcW w:w="1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76,125</w:t>
            </w:r>
          </w:p>
        </w:tc>
      </w:tr>
      <w:tr>
        <w:trPr>
          <w:trHeight w:val="162"/>
        </w:trPr>
        <w:tc>
          <w:tcPr>
            <w:tcW w:w="2180" w:type="dxa"/>
            <w:vAlign w:val="bottom"/>
          </w:tcPr>
          <w:p>
            <w:pPr>
              <w:spacing w:after="0"/>
              <w:rPr>
                <w:sz w:val="20"/>
                <w:szCs w:val="20"/>
                <w:color w:val="auto"/>
              </w:rPr>
            </w:pPr>
            <w:r>
              <w:rPr>
                <w:rFonts w:ascii="Arial" w:cs="Arial" w:eastAsia="Arial" w:hAnsi="Arial"/>
                <w:sz w:val="14"/>
                <w:szCs w:val="14"/>
                <w:color w:val="auto"/>
              </w:rPr>
              <w:t>Anthony J. Gaeta</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77,438</w:t>
            </w:r>
          </w:p>
        </w:tc>
      </w:tr>
      <w:tr>
        <w:trPr>
          <w:trHeight w:val="162"/>
        </w:trPr>
        <w:tc>
          <w:tcPr>
            <w:tcW w:w="218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1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131,250</w:t>
            </w:r>
          </w:p>
        </w:tc>
      </w:tr>
      <w:tr>
        <w:trPr>
          <w:trHeight w:val="182"/>
        </w:trPr>
        <w:tc>
          <w:tcPr>
            <w:tcW w:w="2180" w:type="dxa"/>
            <w:vAlign w:val="bottom"/>
          </w:tcPr>
          <w:p>
            <w:pPr>
              <w:spacing w:after="0"/>
              <w:rPr>
                <w:sz w:val="20"/>
                <w:szCs w:val="20"/>
                <w:color w:val="auto"/>
              </w:rPr>
            </w:pPr>
            <w:r>
              <w:rPr>
                <w:rFonts w:ascii="Arial" w:cs="Arial" w:eastAsia="Arial" w:hAnsi="Arial"/>
                <w:sz w:val="14"/>
                <w:szCs w:val="14"/>
                <w:color w:val="auto"/>
              </w:rPr>
              <w:t>James S. Davey</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r>
    </w:tbl>
    <w:p>
      <w:pPr>
        <w:spacing w:after="0" w:line="186"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cash awards earned under the Company’s AIPs for each respective year.</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See table “</w:t>
      </w:r>
      <w:r>
        <w:rPr>
          <w:rFonts w:ascii="Arial" w:cs="Arial" w:eastAsia="Arial" w:hAnsi="Arial"/>
          <w:sz w:val="16"/>
          <w:szCs w:val="16"/>
          <w:i w:val="1"/>
          <w:iCs w:val="1"/>
          <w:color w:val="auto"/>
        </w:rPr>
        <w:t>All Other Compensation</w:t>
      </w:r>
      <w:r>
        <w:rPr>
          <w:rFonts w:ascii="Arial" w:cs="Arial" w:eastAsia="Arial" w:hAnsi="Arial"/>
          <w:sz w:val="16"/>
          <w:szCs w:val="16"/>
          <w:color w:val="auto"/>
        </w:rPr>
        <w:t>” below for a breakdown of 2019 amounts reflected in this column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breakdown of the amounts in 2019 in the “</w:t>
      </w:r>
      <w:r>
        <w:rPr>
          <w:rFonts w:ascii="Arial" w:cs="Arial" w:eastAsia="Arial" w:hAnsi="Arial"/>
          <w:sz w:val="18"/>
          <w:szCs w:val="18"/>
          <w:i w:val="1"/>
          <w:iCs w:val="1"/>
          <w:color w:val="auto"/>
        </w:rPr>
        <w:t>Stock Awards</w:t>
      </w:r>
      <w:r>
        <w:rPr>
          <w:rFonts w:ascii="Arial" w:cs="Arial" w:eastAsia="Arial" w:hAnsi="Arial"/>
          <w:sz w:val="18"/>
          <w:szCs w:val="18"/>
          <w:color w:val="auto"/>
        </w:rPr>
        <w:t>” column of the Summary Compensation Table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Sign-on Performance</w:t>
            </w:r>
          </w:p>
        </w:tc>
        <w:tc>
          <w:tcPr>
            <w:tcW w:w="160" w:type="dxa"/>
            <w:vAlign w:val="bottom"/>
          </w:tcPr>
          <w:p>
            <w:pPr>
              <w:spacing w:after="0"/>
              <w:rPr>
                <w:sz w:val="13"/>
                <w:szCs w:val="13"/>
                <w:color w:val="auto"/>
              </w:rPr>
            </w:pPr>
          </w:p>
        </w:tc>
        <w:tc>
          <w:tcPr>
            <w:tcW w:w="1200" w:type="dxa"/>
            <w:vAlign w:val="bottom"/>
          </w:tcPr>
          <w:p>
            <w:pPr>
              <w:jc w:val="right"/>
              <w:ind w:right="375"/>
              <w:spacing w:after="0"/>
              <w:rPr>
                <w:sz w:val="20"/>
                <w:szCs w:val="20"/>
                <w:color w:val="auto"/>
              </w:rPr>
            </w:pPr>
            <w:r>
              <w:rPr>
                <w:rFonts w:ascii="Arial" w:cs="Arial" w:eastAsia="Arial" w:hAnsi="Arial"/>
                <w:sz w:val="13"/>
                <w:szCs w:val="13"/>
                <w:b w:val="1"/>
                <w:bCs w:val="1"/>
                <w:color w:val="auto"/>
              </w:rPr>
              <w:t>Sign-on</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1"/>
              </w:rPr>
              <w:t>Total Stock</w:t>
            </w:r>
          </w:p>
        </w:tc>
      </w:tr>
      <w:tr>
        <w:trPr>
          <w:trHeight w:val="161"/>
        </w:trPr>
        <w:tc>
          <w:tcPr>
            <w:tcW w:w="4740" w:type="dxa"/>
            <w:vAlign w:val="bottom"/>
          </w:tcPr>
          <w:p>
            <w:pPr>
              <w:ind w:left="21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3"/>
                <w:szCs w:val="13"/>
                <w:b w:val="1"/>
                <w:bCs w:val="1"/>
                <w:color w:val="auto"/>
              </w:rPr>
              <w:t>2019-2021 LTIP (1)</w:t>
            </w:r>
          </w:p>
        </w:tc>
        <w:tc>
          <w:tcPr>
            <w:tcW w:w="10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Stock Units (2)</w:t>
            </w:r>
          </w:p>
        </w:tc>
        <w:tc>
          <w:tcPr>
            <w:tcW w:w="160" w:type="dxa"/>
            <w:vAlign w:val="bottom"/>
          </w:tcPr>
          <w:p>
            <w:pPr>
              <w:spacing w:after="0"/>
              <w:rPr>
                <w:sz w:val="14"/>
                <w:szCs w:val="14"/>
                <w:color w:val="auto"/>
              </w:rPr>
            </w:pPr>
          </w:p>
        </w:tc>
        <w:tc>
          <w:tcPr>
            <w:tcW w:w="1200" w:type="dxa"/>
            <w:vAlign w:val="bottom"/>
          </w:tcPr>
          <w:p>
            <w:pPr>
              <w:jc w:val="right"/>
              <w:ind w:right="155"/>
              <w:spacing w:after="0"/>
              <w:rPr>
                <w:sz w:val="20"/>
                <w:szCs w:val="20"/>
                <w:color w:val="auto"/>
              </w:rPr>
            </w:pPr>
            <w:r>
              <w:rPr>
                <w:rFonts w:ascii="Arial" w:cs="Arial" w:eastAsia="Arial" w:hAnsi="Arial"/>
                <w:sz w:val="13"/>
                <w:szCs w:val="13"/>
                <w:b w:val="1"/>
                <w:bCs w:val="1"/>
                <w:color w:val="auto"/>
              </w:rPr>
              <w:t>RSU Award (3)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Awards</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312,374</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1,029,600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1,941,974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David A. Levin</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69,123</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Robert S. Molloy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65,625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65,625</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50,749</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Anthony J. Gaeta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51,625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51,625</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87,499</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James S. Davey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p>
    <w:p>
      <w:pPr>
        <w:ind w:left="740" w:right="100" w:hanging="368"/>
        <w:spacing w:after="0" w:line="253" w:lineRule="auto"/>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grant of time-based RSUs issued under the 2019-2021 LTIP, which will vest in four tranches with the first 25% vesting on August 7, 2020 and the remaining tranches vesting on April 1, 2021, April 1, 2022 and April 1, 2023. The award to Mr. Reaves was forfeited in connection with his termination of employment.</w:t>
      </w:r>
    </w:p>
    <w:p>
      <w:pPr>
        <w:spacing w:after="0" w:line="65" w:lineRule="exact"/>
        <w:rPr>
          <w:rFonts w:ascii="Arial" w:cs="Arial" w:eastAsia="Arial" w:hAnsi="Arial"/>
          <w:sz w:val="14"/>
          <w:szCs w:val="14"/>
          <w:color w:val="auto"/>
        </w:rPr>
      </w:pPr>
    </w:p>
    <w:p>
      <w:pPr>
        <w:jc w:val="both"/>
        <w:ind w:left="740" w:right="260" w:hanging="368"/>
        <w:spacing w:after="0" w:line="238" w:lineRule="auto"/>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grant-date fair value of the sign-on grant of PSUs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w:t>
      </w:r>
    </w:p>
    <w:p>
      <w:pPr>
        <w:spacing w:after="0" w:line="74" w:lineRule="exact"/>
        <w:rPr>
          <w:rFonts w:ascii="Arial" w:cs="Arial" w:eastAsia="Arial" w:hAnsi="Arial"/>
          <w:sz w:val="14"/>
          <w:szCs w:val="14"/>
          <w:color w:val="auto"/>
        </w:rPr>
      </w:pPr>
    </w:p>
    <w:p>
      <w:pPr>
        <w:ind w:left="740" w:hanging="368"/>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sign-on grant of time-based RSUs that vest ratably over four years with the first one-fourth having vested on April 1, 2020.</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2019 in the “All Other Compensation” of the Summary Compensation Table above: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Relocation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3"/>
              <w:spacing w:after="0"/>
              <w:rPr>
                <w:sz w:val="20"/>
                <w:szCs w:val="20"/>
                <w:color w:val="auto"/>
              </w:rPr>
            </w:pPr>
            <w:r>
              <w:rPr>
                <w:rFonts w:ascii="Arial" w:cs="Arial" w:eastAsia="Arial" w:hAnsi="Arial"/>
                <w:sz w:val="13"/>
                <w:szCs w:val="13"/>
                <w:b w:val="1"/>
                <w:bCs w:val="1"/>
                <w:color w:val="auto"/>
                <w:w w:val="92"/>
              </w:rPr>
              <w:t>Severance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Life</w:t>
            </w:r>
          </w:p>
        </w:tc>
        <w:tc>
          <w:tcPr>
            <w:tcW w:w="8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7"/>
              </w:rPr>
              <w:t>Long-Term</w:t>
            </w: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Supplemental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and</w:t>
            </w:r>
          </w:p>
        </w:tc>
        <w:tc>
          <w:tcPr>
            <w:tcW w:w="18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53"/>
              <w:spacing w:after="0"/>
              <w:rPr>
                <w:sz w:val="20"/>
                <w:szCs w:val="20"/>
                <w:color w:val="auto"/>
              </w:rPr>
            </w:pPr>
            <w:r>
              <w:rPr>
                <w:rFonts w:ascii="Arial" w:cs="Arial" w:eastAsia="Arial" w:hAnsi="Arial"/>
                <w:sz w:val="13"/>
                <w:szCs w:val="13"/>
                <w:b w:val="1"/>
                <w:bCs w:val="1"/>
                <w:color w:val="auto"/>
              </w:rPr>
              <w:t>Auto</w:t>
            </w:r>
          </w:p>
        </w:tc>
        <w:tc>
          <w:tcPr>
            <w:tcW w:w="16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and accrued</w:t>
            </w:r>
          </w:p>
        </w:tc>
        <w:tc>
          <w:tcPr>
            <w:tcW w:w="140" w:type="dxa"/>
            <w:vAlign w:val="bottom"/>
          </w:tcPr>
          <w:p>
            <w:pPr>
              <w:spacing w:after="0"/>
              <w:rPr>
                <w:sz w:val="12"/>
                <w:szCs w:val="12"/>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4"/>
              </w:rPr>
              <w:t>Insurance</w:t>
            </w:r>
          </w:p>
        </w:tc>
        <w:tc>
          <w:tcPr>
            <w:tcW w:w="8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6"/>
              </w:rPr>
              <w:t>Healthcare</w:t>
            </w:r>
          </w:p>
        </w:tc>
        <w:tc>
          <w:tcPr>
            <w:tcW w:w="120" w:type="dxa"/>
            <w:vAlign w:val="bottom"/>
          </w:tcPr>
          <w:p>
            <w:pPr>
              <w:spacing w:after="0"/>
              <w:rPr>
                <w:sz w:val="12"/>
                <w:szCs w:val="12"/>
                <w:color w:val="auto"/>
              </w:rPr>
            </w:pPr>
          </w:p>
        </w:tc>
        <w:tc>
          <w:tcPr>
            <w:tcW w:w="800" w:type="dxa"/>
            <w:vAlign w:val="bottom"/>
          </w:tcPr>
          <w:p>
            <w:pPr>
              <w:jc w:val="center"/>
              <w:ind w:right="35"/>
              <w:spacing w:after="0"/>
              <w:rPr>
                <w:sz w:val="20"/>
                <w:szCs w:val="20"/>
                <w:color w:val="auto"/>
              </w:rPr>
            </w:pPr>
            <w:r>
              <w:rPr>
                <w:rFonts w:ascii="Arial" w:cs="Arial" w:eastAsia="Arial" w:hAnsi="Arial"/>
                <w:sz w:val="13"/>
                <w:szCs w:val="13"/>
                <w:b w:val="1"/>
                <w:bCs w:val="1"/>
                <w:color w:val="auto"/>
                <w:w w:val="96"/>
              </w:rPr>
              <w:t>Disability</w:t>
            </w:r>
          </w:p>
        </w:tc>
        <w:tc>
          <w:tcPr>
            <w:tcW w:w="140" w:type="dxa"/>
            <w:vAlign w:val="bottom"/>
          </w:tcPr>
          <w:p>
            <w:pPr>
              <w:spacing w:after="0"/>
              <w:rPr>
                <w:sz w:val="12"/>
                <w:szCs w:val="12"/>
                <w:color w:val="auto"/>
              </w:rPr>
            </w:pPr>
          </w:p>
        </w:tc>
        <w:tc>
          <w:tcPr>
            <w:tcW w:w="8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Consulting</w:t>
            </w:r>
          </w:p>
        </w:tc>
        <w:tc>
          <w:tcPr>
            <w:tcW w:w="120" w:type="dxa"/>
            <w:vAlign w:val="bottom"/>
          </w:tcPr>
          <w:p>
            <w:pPr>
              <w:spacing w:after="0"/>
              <w:rPr>
                <w:sz w:val="12"/>
                <w:szCs w:val="12"/>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Commuting</w:t>
            </w:r>
          </w:p>
        </w:tc>
        <w:tc>
          <w:tcPr>
            <w:tcW w:w="18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r>
      <w:tr>
        <w:trPr>
          <w:trHeight w:val="161"/>
        </w:trPr>
        <w:tc>
          <w:tcPr>
            <w:tcW w:w="3580" w:type="dxa"/>
            <w:vAlign w:val="bottom"/>
          </w:tcPr>
          <w:p>
            <w:pPr>
              <w:ind w:left="1620"/>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Allowance</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benefits (1)</w:t>
            </w:r>
          </w:p>
        </w:tc>
        <w:tc>
          <w:tcPr>
            <w:tcW w:w="14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Premiums</w:t>
            </w:r>
          </w:p>
        </w:tc>
        <w:tc>
          <w:tcPr>
            <w:tcW w:w="8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Premiums</w:t>
            </w:r>
          </w:p>
        </w:tc>
        <w:tc>
          <w:tcPr>
            <w:tcW w:w="120" w:type="dxa"/>
            <w:vAlign w:val="bottom"/>
          </w:tcPr>
          <w:p>
            <w:pPr>
              <w:spacing w:after="0"/>
              <w:rPr>
                <w:sz w:val="14"/>
                <w:szCs w:val="14"/>
                <w:color w:val="auto"/>
              </w:rPr>
            </w:pPr>
          </w:p>
        </w:tc>
        <w:tc>
          <w:tcPr>
            <w:tcW w:w="800" w:type="dxa"/>
            <w:vAlign w:val="bottom"/>
          </w:tcPr>
          <w:p>
            <w:pPr>
              <w:jc w:val="center"/>
              <w:ind w:right="55"/>
              <w:spacing w:after="0"/>
              <w:rPr>
                <w:sz w:val="20"/>
                <w:szCs w:val="20"/>
                <w:color w:val="auto"/>
              </w:rPr>
            </w:pPr>
            <w:r>
              <w:rPr>
                <w:rFonts w:ascii="Arial" w:cs="Arial" w:eastAsia="Arial" w:hAnsi="Arial"/>
                <w:sz w:val="13"/>
                <w:szCs w:val="13"/>
                <w:b w:val="1"/>
                <w:bCs w:val="1"/>
                <w:color w:val="auto"/>
                <w:w w:val="94"/>
              </w:rPr>
              <w:t>Insurance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93"/>
              <w:spacing w:after="0"/>
              <w:rPr>
                <w:sz w:val="20"/>
                <w:szCs w:val="20"/>
                <w:color w:val="auto"/>
              </w:rPr>
            </w:pPr>
            <w:r>
              <w:rPr>
                <w:rFonts w:ascii="Arial" w:cs="Arial" w:eastAsia="Arial" w:hAnsi="Arial"/>
                <w:sz w:val="13"/>
                <w:szCs w:val="13"/>
                <w:b w:val="1"/>
                <w:bCs w:val="1"/>
                <w:color w:val="auto"/>
                <w:w w:val="93"/>
              </w:rPr>
              <w:t>Fees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Costs</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Compensation</w:t>
            </w:r>
          </w:p>
        </w:tc>
      </w:tr>
      <w:tr>
        <w:trPr>
          <w:trHeight w:val="223"/>
        </w:trPr>
        <w:tc>
          <w:tcPr>
            <w:tcW w:w="35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114,824</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David A. Levin</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1,354</w:t>
            </w:r>
          </w:p>
        </w:tc>
        <w:tc>
          <w:tcPr>
            <w:tcW w:w="140" w:type="dxa"/>
            <w:vAlign w:val="bottom"/>
          </w:tcPr>
          <w:p>
            <w:pPr>
              <w:spacing w:after="0"/>
              <w:rPr>
                <w:sz w:val="19"/>
                <w:szCs w:val="19"/>
                <w:color w:val="auto"/>
              </w:rPr>
            </w:pP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5,531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572,308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594,043</w:t>
            </w:r>
          </w:p>
        </w:tc>
        <w:tc>
          <w:tcPr>
            <w:tcW w:w="6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15,497</w:t>
            </w:r>
          </w:p>
        </w:tc>
        <w:tc>
          <w:tcPr>
            <w:tcW w:w="60" w:type="dxa"/>
            <w:vAlign w:val="bottom"/>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Robert S. Molloy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4,821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17,620</w:t>
            </w:r>
          </w:p>
        </w:tc>
        <w:tc>
          <w:tcPr>
            <w:tcW w:w="60" w:type="dxa"/>
            <w:vAlign w:val="bottom"/>
          </w:tcPr>
          <w:p>
            <w:pPr>
              <w:spacing w:after="0"/>
              <w:rPr>
                <w:sz w:val="19"/>
                <w:szCs w:val="19"/>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16,869</w:t>
            </w:r>
          </w:p>
        </w:tc>
        <w:tc>
          <w:tcPr>
            <w:tcW w:w="60" w:type="dxa"/>
            <w:vAlign w:val="bottom"/>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Anthony J. Gaeta</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11,874</w:t>
            </w:r>
          </w:p>
        </w:tc>
        <w:tc>
          <w:tcPr>
            <w:tcW w:w="60" w:type="dxa"/>
            <w:vAlign w:val="bottom"/>
          </w:tcPr>
          <w:p>
            <w:pPr>
              <w:spacing w:after="0"/>
              <w:rPr>
                <w:sz w:val="19"/>
                <w:szCs w:val="19"/>
                <w:color w:val="auto"/>
              </w:rPr>
            </w:pPr>
          </w:p>
        </w:tc>
      </w:tr>
      <w:tr>
        <w:trPr>
          <w:trHeight w:val="229"/>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289,156</w:t>
            </w:r>
          </w:p>
        </w:tc>
        <w:tc>
          <w:tcPr>
            <w:tcW w:w="300" w:type="dxa"/>
            <w:vAlign w:val="bottom"/>
            <w:gridSpan w:val="2"/>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301,605</w:t>
            </w:r>
          </w:p>
        </w:tc>
        <w:tc>
          <w:tcPr>
            <w:tcW w:w="60" w:type="dxa"/>
            <w:vAlign w:val="bottom"/>
            <w:shd w:val="clear" w:color="auto" w:fill="CFF0FC"/>
          </w:tcPr>
          <w:p>
            <w:pPr>
              <w:spacing w:after="0"/>
              <w:rPr>
                <w:sz w:val="19"/>
                <w:szCs w:val="19"/>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James S. Davey</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269,467</w:t>
            </w:r>
          </w:p>
        </w:tc>
        <w:tc>
          <w:tcPr>
            <w:tcW w:w="3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6,725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282,029</w:t>
            </w:r>
          </w:p>
        </w:tc>
        <w:tc>
          <w:tcPr>
            <w:tcW w:w="60" w:type="dxa"/>
            <w:vAlign w:val="bottom"/>
          </w:tcPr>
          <w:p>
            <w:pPr>
              <w:spacing w:after="0"/>
              <w:rPr>
                <w:sz w:val="20"/>
                <w:szCs w:val="20"/>
                <w:color w:val="auto"/>
              </w:rPr>
            </w:pPr>
          </w:p>
        </w:tc>
      </w:tr>
    </w:tbl>
    <w:p>
      <w:pPr>
        <w:spacing w:after="0" w:line="201" w:lineRule="exact"/>
        <w:rPr>
          <w:sz w:val="20"/>
          <w:szCs w:val="20"/>
          <w:color w:val="auto"/>
        </w:rPr>
      </w:pPr>
    </w:p>
    <w:p>
      <w:pPr>
        <w:ind w:left="740" w:right="260" w:hanging="368"/>
        <w:spacing w:after="0" w:line="259" w:lineRule="auto"/>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Reaves’ employment was terminated on October 4, 2019. Severance included (i) a cash payment of $250,000 to be paid bi-weekly over 6 months, (ii) $942 of accrued vacation and (iii) a cash payment of $38,214 for his pro-rated participation in the Company’s annual incentive plan. Severance excluded the value of $81,827 for 51,789 RSUs which vested on a pro-rated basis pursuant to the Company’s long-term incentive plans.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ind w:left="760" w:right="300"/>
        <w:spacing w:after="0" w:line="259" w:lineRule="auto"/>
        <w:rPr>
          <w:sz w:val="20"/>
          <w:szCs w:val="20"/>
          <w:color w:val="auto"/>
        </w:rPr>
      </w:pPr>
      <w:r>
        <w:rPr>
          <w:rFonts w:ascii="Arial" w:cs="Arial" w:eastAsia="Arial" w:hAnsi="Arial"/>
          <w:sz w:val="18"/>
          <w:szCs w:val="18"/>
          <w:color w:val="auto"/>
        </w:rPr>
        <w:t>Mr. Davey’s employment was terminated on July 11, 2019. Severance included (i) a cash payment of $243,750 to be paid bi-weekly over 6.5 months, (ii) 15,343 of accrued vacation and (iii) a cash payment of $10,374 for his pro-rated participation in the Company’s annual incentive plan. Severance excluded the value of $88,366 for 47,003 RSUs which vested on a pro-rated basis pursuant to the Company’s long-term incentive plans.</w:t>
      </w:r>
    </w:p>
    <w:p>
      <w:pPr>
        <w:spacing w:after="0" w:line="187" w:lineRule="exact"/>
        <w:rPr>
          <w:sz w:val="20"/>
          <w:szCs w:val="20"/>
          <w:color w:val="auto"/>
        </w:rPr>
      </w:pPr>
    </w:p>
    <w:p>
      <w:pPr>
        <w:ind w:left="740" w:right="4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Because a successor CEO had not been hired as of December 31, 2018, Mr. Levin and the Company entered into a letter agreement, whereby Mr. Levin served as Acting CEO from the period of January 1, 2019 through April 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total annual compensation for our CEO, Mr. Kanter, for fiscal 2019, as shown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was $3,164,067. This amount included the grant of one-time signing awards, with a grant-date fair value of $1,629,600 in connection with his hiring. The total annual compensation for our median employee was $21,996, calculated using the same methodology as used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Based on this information, for fiscal 2019 the ratio of the annual total compensation of Mr. Kanter, our CEO, to the median of the annual total compensation of all employees was 144 to 1.</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Instruction 2 to Item 402(u), the median-paid employee may be identified once every three years if there is no impact to the pay ratio disclosure. As there were no changes in our employee population or to the median-paid employee’s compensation arrangements in fiscal 2019 that would significantly affect the pay ratio disclosure, the employee representing the median-paid employee is the same employee selected for our 2017 disclosure. To identify the median employee in 2017, we evaluated all employees, other than our CEO, employed by the Company as of December 31, 2017 and utilized the following methodology:</w:t>
      </w:r>
    </w:p>
    <w:p>
      <w:pPr>
        <w:spacing w:after="0" w:line="80" w:lineRule="exact"/>
        <w:rPr>
          <w:sz w:val="20"/>
          <w:szCs w:val="20"/>
          <w:color w:val="auto"/>
        </w:rPr>
      </w:pPr>
    </w:p>
    <w:p>
      <w:pPr>
        <w:ind w:left="740" w:right="40" w:hanging="368"/>
        <w:spacing w:after="0" w:line="286"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determined that, as of December 31, 2017, our employee population consisted of approximately 2,729 individuals, with 2,696 of these individuals located in the U.S. and 33 of these individuals located outside the U.S. This population includes our full-time, part-time, and seasonal employees. Approximately 59% of our total employee population at December 31, 2017 was considered full-time employees.</w:t>
      </w:r>
    </w:p>
    <w:p>
      <w:pPr>
        <w:spacing w:after="0" w:line="57" w:lineRule="exact"/>
        <w:rPr>
          <w:rFonts w:ascii="Arial" w:cs="Arial" w:eastAsia="Arial" w:hAnsi="Arial"/>
          <w:sz w:val="17"/>
          <w:szCs w:val="17"/>
          <w:color w:val="auto"/>
        </w:rPr>
      </w:pPr>
    </w:p>
    <w:p>
      <w:pPr>
        <w:ind w:left="740" w:right="240" w:hanging="368"/>
        <w:spacing w:after="0" w:line="308" w:lineRule="auto"/>
        <w:tabs>
          <w:tab w:leader="none" w:pos="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we compared the amount of compensation of our employees as reflected in our payroll records as reported to the Internal Revenue Service on Form W-2 for the year ended December 31, 2017.</w:t>
      </w:r>
    </w:p>
    <w:p>
      <w:pPr>
        <w:spacing w:after="0" w:line="38" w:lineRule="exact"/>
        <w:rPr>
          <w:rFonts w:ascii="Arial" w:cs="Arial" w:eastAsia="Arial" w:hAnsi="Arial"/>
          <w:sz w:val="17"/>
          <w:szCs w:val="17"/>
          <w:color w:val="auto"/>
        </w:rPr>
      </w:pPr>
    </w:p>
    <w:p>
      <w:pPr>
        <w:ind w:left="740" w:right="120" w:hanging="368"/>
        <w:spacing w:after="0" w:line="342" w:lineRule="auto"/>
        <w:tabs>
          <w:tab w:leader="none" w:pos="7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any permanent full-time or part-time employees, who started employment at the Company during calendar 2017, we annualized the compensation, assuming that those employees worked a full year. We did not annualize compensation for any seasonal or temporary employees.</w:t>
      </w:r>
    </w:p>
    <w:p>
      <w:pPr>
        <w:spacing w:after="0" w:line="15" w:lineRule="exact"/>
        <w:rPr>
          <w:rFonts w:ascii="Arial" w:cs="Arial" w:eastAsia="Arial" w:hAnsi="Arial"/>
          <w:sz w:val="16"/>
          <w:szCs w:val="16"/>
          <w:color w:val="auto"/>
        </w:rPr>
      </w:pPr>
    </w:p>
    <w:p>
      <w:pPr>
        <w:ind w:left="740" w:right="80" w:hanging="368"/>
        <w:spacing w:after="0" w:line="263" w:lineRule="auto"/>
        <w:tabs>
          <w:tab w:leader="none" w:pos="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excluded employees located outside of the U.S. under the de minimis exception of the pay ratio rule, which permits exclusion if a company’s non-U.S. employees account for 5% or less of total employees. The jurisdictions and approximate number of employees excluded were Canada (16), United Kingdom (14) and Hong Kong (3).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Harvey S. Kanter, President, Chief Executive Officer and Director</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19, 2019, we entered into an employment agreement with Mr. Kanter (the “Employment Agreement”). Pursuant to the terms of the Employment Agreement, Mr. Kanter was appointed President, Chief Executive Officer and a director of the Company effective April 1, 2019. From February 19, 2019 to March 31, 2019, Mr. Kanter served as an Advisor to the Acting CEO. The initial term of the Employment Agreement is three years, ending March 31, 2022 (“Initial Term”), and will automatically renew, upon the same terms and conditions, for successive periods of one year, unless either party terminates in accordance with the terms of the employment agreement. The Employment Agreement provided that Mr. Kanter would receive compensation of $50,000 for the period of February 19, 2019 through March 31, 2019 for his services as an Advisor to the Acting CEO and would receive an annual base salary of $735,000 as President and Chief Executive Officer, effective April 1, 2019, with an annual automobile allowance of $10,000.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40"/>
        <w:spacing w:after="0" w:line="301" w:lineRule="auto"/>
        <w:rPr>
          <w:sz w:val="20"/>
          <w:szCs w:val="20"/>
          <w:color w:val="auto"/>
        </w:rPr>
      </w:pPr>
      <w:r>
        <w:rPr>
          <w:rFonts w:ascii="Arial" w:cs="Arial" w:eastAsia="Arial" w:hAnsi="Arial"/>
          <w:sz w:val="16"/>
          <w:szCs w:val="16"/>
          <w:color w:val="auto"/>
        </w:rPr>
        <w:t>Mr. Kanter is eligible to participate in our annual incentive plan at a target rate of 100% of his earned salary, up to a maximum payout of up to 200% of target. Mr. Kanter is also eligible to participate in our long-term incentive plans at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 Mr. Kanter waived his right to participate in the 2018-2020 LTIP.</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connection with his hiring, Mr. Kanter received a housing allowance of $100,000 in April 2019, $50,000 in April 2020 and will receive $50,000 on April 1, 2021. Mr. Kanter also received a one-time grant of 720,000 PSUs on February 19, 2020, which will be settled in shares of the Company’s common stock upon vesting. The PSUs vest in three equal installments, if any, when the Company’s 90-day volume-weighted average closing price of its stock reaches $4.00, $6.00 and $8.00. Any performance shares that are unvested at April 1, 2023 will be forfeited. Mr. Kanter also received a one-time grant of 240,000 RSUs, which vest in four equal annual installments beginning April 1,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If Mr. Kanter terminates his employment for Good Reason or the Company terminates his employment without Justifiable Cause:</w:t>
      </w:r>
    </w:p>
    <w:p>
      <w:pPr>
        <w:spacing w:after="0" w:line="117" w:lineRule="exact"/>
        <w:rPr>
          <w:sz w:val="20"/>
          <w:szCs w:val="20"/>
          <w:color w:val="auto"/>
        </w:rPr>
      </w:pPr>
    </w:p>
    <w:p>
      <w:pPr>
        <w:ind w:left="740" w:right="60" w:hanging="368"/>
        <w:spacing w:after="0" w:line="257"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Initial Term, Mr. Kanter will be eligible to receive, subject to certain requirements described in the Employment Agreement, a severance payment equal to (x) the Base Salary he would have been paid through the end of the Initial Term plus (y) bonuses under the Company’s Annual Incentive Plan for the remaining partial and complete fiscal years in the Initial Term as if Mr. Kanter had remained employed through the end of the Initial Term. Bonuses will be calculated assuming target and any partial year will be prorated. The severance payment will be paid in 24 monthly installments; and</w:t>
      </w:r>
    </w:p>
    <w:p>
      <w:pPr>
        <w:spacing w:after="0" w:line="79" w:lineRule="exact"/>
        <w:rPr>
          <w:rFonts w:ascii="Arial" w:cs="Arial" w:eastAsia="Arial" w:hAnsi="Arial"/>
          <w:sz w:val="18"/>
          <w:szCs w:val="18"/>
          <w:color w:val="auto"/>
        </w:rPr>
      </w:pPr>
    </w:p>
    <w:p>
      <w:pPr>
        <w:jc w:val="both"/>
        <w:ind w:left="740" w:right="320" w:hanging="368"/>
        <w:spacing w:after="0" w:line="342" w:lineRule="auto"/>
        <w:tabs>
          <w:tab w:leader="none" w:pos="7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any one-year period that commences after the end of the Initial Term, Mr. Kanter will be eligible to receive a payment equal to (x) his then current Base Salary plus (y) the then value of his target bonus under the Annual Incentive Plan, payable in 24 monthly installments, and,</w:t>
      </w:r>
    </w:p>
    <w:p>
      <w:pPr>
        <w:spacing w:after="0" w:line="15" w:lineRule="exact"/>
        <w:rPr>
          <w:rFonts w:ascii="Arial" w:cs="Arial" w:eastAsia="Arial" w:hAnsi="Arial"/>
          <w:sz w:val="16"/>
          <w:szCs w:val="16"/>
          <w:color w:val="auto"/>
        </w:rPr>
      </w:pPr>
    </w:p>
    <w:p>
      <w:pPr>
        <w:ind w:left="740" w:right="300" w:hanging="368"/>
        <w:spacing w:after="0" w:line="263"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Company timely elects not to renew the Employment Agreement after the Initial Term, Mr. Kanter will be eligible to receive a payment equal to (i) three months of his then current Base Salary plus (ii) the then value of 25% of his target bonus under the Annual Incentive Plan, payable in 24 monthly installments.</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Mr. Kanter’s employment is terminated by him for Good Reason or by the Company without Justifiable Cause during the one-year period following a Change in Control, then Mr. Kanter will be eligible to receive, subject to certain requirements described in the Employment Agreement, a payment equal to</w:t>
      </w:r>
    </w:p>
    <w:p>
      <w:pPr>
        <w:ind w:right="420" w:firstLine="8"/>
        <w:spacing w:after="0" w:line="260" w:lineRule="auto"/>
        <w:tabs>
          <w:tab w:leader="none" w:pos="2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two times his then current Base Salary plus (ii) the then value of two times his target bonus under the Annual Incentive Plan, generally payable in a lump sum within 60 days of the termination of his employment following a Change in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Executives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have employment agreements with each of our Senior Executives (the “Sr. Exec. Employment Agreements”). The term of each employment agreement begins on the respective effective date and continues until terminated by either party. Our Senior Executives are eligible to participate in our AIP. For fiscal 2019, Messrs. Stratton, Reaves and Davey participated at a target rate of 55% and Messrs. Molloy, Chane and Gaeta participated at a target rate of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 senior executives would also be entitled to additional payments or acceleration of awards under the AIP and LTIP programs, in accordance with the terms of those plans.</w:t>
      </w:r>
    </w:p>
    <w:p>
      <w:pPr>
        <w:spacing w:after="0" w:line="178"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1" w:name="page32"/>
    <w:bookmarkEnd w:id="31"/>
    <w:p>
      <w:pPr>
        <w:ind w:right="2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Payouts to Former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A. Levin, Former Acting CEO</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entered into a Transition Agreement with Mr. Levin in March 2018 (as amended, the “Transition Agreement”). The Transition Agreement modified and supplemented certain terms of Mr. Levin’s Employment Agreement, which was last revised and restated as of November 5, 2009. Pursuant to the Transition Agreement, Mr. Levin’s employment agreement ended December 31, 2019. Under the terms of the Transition Agreement, Mr. Levin continued to serve as President, Chief Executive Officer and a director of the Company until January 1, 2019. As of that date, Mr. Levin resigned as President and Chief Executive Officer and as a director of the Company, but pursuant to the terms of the Transition Agreement, Mr. Levin remained employed by the Company to perform reasonable transition duties or other consulting activities or projects, through December 31, 2019. Accordingly, during for fiscal 2019, Mr. Levin was paid, on a pro-rata basis, his base salary of $811,200 and his annual automobile allowance of $10,000 through December 31, 2019. Mr. Levin was also eligible to participate in the 2019 AIP at a target rate of 100% of his $811,200 base salary.</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no successor CEO had been hired prior to December 31, 2018, pursuant to a letter agreement between the Company and Mr. Levin. Mr. Levin was compensated for serving as Acting CEO from January 1, 2019 until he resigned on April 1, 2019, at which point, Mr. Kanter assumed the position of President, Chief Executive Officer and a director of the Company.</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Levin will be entitled to receive the cash value of any performance award earned under the 2018-2020 LTIP, based on actual performance results, if and when such targets are achieved. At target, Mr. Levin would be entitled to receive $811,200.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Brian S. Reaves, Former Chief Operating Officer and James S. Davey, Former Chief Marketing Officer</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Pursuant to the terms of the employment agreements with Messrs. Reaves and Davey, each were entitled to receive 6 months of base salary and accrued vacation. Under the 2019 AIP plan, each received a pro-rated cash payout based on the then-estimated achievement of the Company’s Corporate and, if applicable, department goals. Messrs. Reaves and Davey also received a pro-rated vesting of time-based awards under the 2017-2018 LTIP and the 2018-2020 LTIP. The amounts paid to Messrs. Reaves and Davey in connection with their terminations are detailed above in the footnotes to the “</w:t>
      </w:r>
      <w:r>
        <w:rPr>
          <w:rFonts w:ascii="Arial" w:cs="Arial" w:eastAsia="Arial" w:hAnsi="Arial"/>
          <w:sz w:val="18"/>
          <w:szCs w:val="18"/>
          <w:i w:val="1"/>
          <w:iCs w:val="1"/>
          <w:color w:val="auto"/>
        </w:rPr>
        <w:t>All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table.</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Additionally, Messrs. Reaves and Davey will be entitled to receive, on a pro-rated basis, the cash value of any performance award earned under the 2018-2020 LTIP, if and when such performance targets are achieved. At target, Messrs. Reaves and Davey would be entitled to receive $97,436 and $69,951,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Estimated Potential Payments to Named Executive Officers</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following table shows the payments that would be made to our current Named Executive Officers assuming a “termination without cause” or a “resignation for good reason” (each a “Qualifying Termination”) or a Qualifying Termination following a Change in Control, as described in the employment agreements, as of February 1, 2020. Messrs. Levin, Reaves and Davey are not included in the below table, as their employment with the Company was terminated during fiscal 2019 and are discussed above.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Long-Term Incentive Plan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Continued</w:t>
            </w:r>
          </w:p>
        </w:tc>
        <w:tc>
          <w:tcPr>
            <w:tcW w:w="160" w:type="dxa"/>
            <w:vAlign w:val="bottom"/>
          </w:tcPr>
          <w:p>
            <w:pPr>
              <w:spacing w:after="0"/>
              <w:rPr>
                <w:sz w:val="17"/>
                <w:szCs w:val="17"/>
                <w:color w:val="auto"/>
              </w:rPr>
            </w:pPr>
          </w:p>
        </w:tc>
        <w:tc>
          <w:tcPr>
            <w:tcW w:w="960" w:type="dxa"/>
            <w:vAlign w:val="bottom"/>
          </w:tcPr>
          <w:p>
            <w:pPr>
              <w:jc w:val="center"/>
              <w:ind w:right="100"/>
              <w:spacing w:after="0"/>
              <w:rPr>
                <w:sz w:val="20"/>
                <w:szCs w:val="20"/>
                <w:color w:val="auto"/>
              </w:rPr>
            </w:pPr>
            <w:r>
              <w:rPr>
                <w:rFonts w:ascii="Arial" w:cs="Arial" w:eastAsia="Arial" w:hAnsi="Arial"/>
                <w:sz w:val="16"/>
                <w:szCs w:val="16"/>
                <w:b w:val="1"/>
                <w:bCs w:val="1"/>
                <w:color w:val="auto"/>
                <w:w w:val="92"/>
              </w:rPr>
              <w:t>Annual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Time-</w:t>
            </w:r>
          </w:p>
        </w:tc>
        <w:tc>
          <w:tcPr>
            <w:tcW w:w="12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Performance-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Total</w:t>
            </w:r>
          </w:p>
        </w:tc>
      </w:tr>
      <w:tr>
        <w:trPr>
          <w:trHeight w:val="199"/>
        </w:trPr>
        <w:tc>
          <w:tcPr>
            <w:tcW w:w="4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3"/>
              </w:rPr>
              <w:t>Base</w:t>
            </w:r>
          </w:p>
        </w:tc>
        <w:tc>
          <w:tcPr>
            <w:tcW w:w="160" w:type="dxa"/>
            <w:vAlign w:val="bottom"/>
          </w:tcPr>
          <w:p>
            <w:pPr>
              <w:spacing w:after="0"/>
              <w:rPr>
                <w:sz w:val="17"/>
                <w:szCs w:val="17"/>
                <w:color w:val="auto"/>
              </w:rPr>
            </w:pPr>
          </w:p>
        </w:tc>
        <w:tc>
          <w:tcPr>
            <w:tcW w:w="960" w:type="dxa"/>
            <w:vAlign w:val="bottom"/>
          </w:tcPr>
          <w:p>
            <w:pPr>
              <w:jc w:val="center"/>
              <w:ind w:right="80"/>
              <w:spacing w:after="0"/>
              <w:rPr>
                <w:sz w:val="20"/>
                <w:szCs w:val="20"/>
                <w:color w:val="auto"/>
              </w:rPr>
            </w:pPr>
            <w:r>
              <w:rPr>
                <w:rFonts w:ascii="Arial" w:cs="Arial" w:eastAsia="Arial" w:hAnsi="Arial"/>
                <w:sz w:val="16"/>
                <w:szCs w:val="16"/>
                <w:b w:val="1"/>
                <w:bCs w:val="1"/>
                <w:color w:val="auto"/>
                <w:w w:val="92"/>
              </w:rPr>
              <w:t>Incentive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Based</w:t>
            </w:r>
          </w:p>
        </w:tc>
        <w:tc>
          <w:tcPr>
            <w:tcW w:w="1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Based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Potential</w:t>
            </w:r>
          </w:p>
        </w:tc>
      </w:tr>
      <w:tr>
        <w:trPr>
          <w:trHeight w:val="179"/>
        </w:trPr>
        <w:tc>
          <w:tcPr>
            <w:tcW w:w="4920" w:type="dxa"/>
            <w:vAlign w:val="bottom"/>
            <w:gridSpan w:val="2"/>
          </w:tcPr>
          <w:p>
            <w:pPr>
              <w:spacing w:after="0" w:line="179" w:lineRule="exact"/>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5"/>
                <w:szCs w:val="15"/>
                <w:color w:val="auto"/>
              </w:rPr>
            </w:pPr>
          </w:p>
        </w:tc>
        <w:tc>
          <w:tcPr>
            <w:tcW w:w="1140" w:type="dxa"/>
            <w:vAlign w:val="bottom"/>
            <w:gridSpan w:val="2"/>
          </w:tcPr>
          <w:p>
            <w:pPr>
              <w:jc w:val="center"/>
              <w:ind w:right="360"/>
              <w:spacing w:after="0" w:line="179" w:lineRule="exact"/>
              <w:rPr>
                <w:sz w:val="20"/>
                <w:szCs w:val="20"/>
                <w:color w:val="auto"/>
              </w:rPr>
            </w:pPr>
            <w:r>
              <w:rPr>
                <w:rFonts w:ascii="Arial" w:cs="Arial" w:eastAsia="Arial" w:hAnsi="Arial"/>
                <w:sz w:val="13"/>
                <w:szCs w:val="13"/>
                <w:b w:val="1"/>
                <w:bCs w:val="1"/>
                <w:color w:val="auto"/>
              </w:rPr>
              <w:t>Salary</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960" w:type="dxa"/>
            <w:vAlign w:val="bottom"/>
          </w:tcPr>
          <w:p>
            <w:pPr>
              <w:jc w:val="center"/>
              <w:ind w:right="100"/>
              <w:spacing w:after="0" w:line="179" w:lineRule="exact"/>
              <w:rPr>
                <w:sz w:val="20"/>
                <w:szCs w:val="20"/>
                <w:color w:val="auto"/>
              </w:rPr>
            </w:pPr>
            <w:r>
              <w:rPr>
                <w:rFonts w:ascii="Arial" w:cs="Arial" w:eastAsia="Arial" w:hAnsi="Arial"/>
                <w:sz w:val="13"/>
                <w:szCs w:val="13"/>
                <w:b w:val="1"/>
                <w:bCs w:val="1"/>
                <w:color w:val="auto"/>
              </w:rPr>
              <w:t xml:space="preserve">Plan </w:t>
            </w:r>
            <w:r>
              <w:rPr>
                <w:rFonts w:ascii="Arial" w:cs="Arial" w:eastAsia="Arial" w:hAnsi="Arial"/>
                <w:sz w:val="20"/>
                <w:szCs w:val="20"/>
                <w:b w:val="1"/>
                <w:bCs w:val="1"/>
                <w:color w:val="auto"/>
                <w:vertAlign w:val="superscript"/>
              </w:rPr>
              <w:t>(2)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line="179"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20"/>
                <w:szCs w:val="20"/>
                <w:b w:val="1"/>
                <w:bCs w:val="1"/>
                <w:color w:val="auto"/>
                <w:vertAlign w:val="superscript"/>
              </w:rPr>
              <w:t>(3)</w:t>
            </w:r>
          </w:p>
        </w:tc>
        <w:tc>
          <w:tcPr>
            <w:tcW w:w="1220" w:type="dxa"/>
            <w:vAlign w:val="bottom"/>
            <w:gridSpan w:val="2"/>
          </w:tcPr>
          <w:p>
            <w:pPr>
              <w:ind w:left="20"/>
              <w:spacing w:after="0" w:line="179" w:lineRule="exact"/>
              <w:rPr>
                <w:sz w:val="20"/>
                <w:szCs w:val="20"/>
                <w:color w:val="auto"/>
              </w:rPr>
            </w:pPr>
            <w:r>
              <w:rPr>
                <w:rFonts w:ascii="Arial" w:cs="Arial" w:eastAsia="Arial" w:hAnsi="Arial"/>
                <w:sz w:val="13"/>
                <w:szCs w:val="13"/>
                <w:b w:val="1"/>
                <w:bCs w:val="1"/>
                <w:color w:val="auto"/>
              </w:rPr>
              <w:t xml:space="preserve">Compensation </w:t>
            </w:r>
            <w:r>
              <w:rPr>
                <w:rFonts w:ascii="Arial" w:cs="Arial" w:eastAsia="Arial" w:hAnsi="Arial"/>
                <w:sz w:val="20"/>
                <w:szCs w:val="20"/>
                <w:b w:val="1"/>
                <w:bCs w:val="1"/>
                <w:color w:val="auto"/>
                <w:vertAlign w:val="superscript"/>
              </w:rPr>
              <w:t>(4)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80"/>
              <w:spacing w:after="0" w:line="179" w:lineRule="exact"/>
              <w:rPr>
                <w:sz w:val="20"/>
                <w:szCs w:val="20"/>
                <w:color w:val="auto"/>
              </w:rPr>
            </w:pPr>
            <w:r>
              <w:rPr>
                <w:rFonts w:ascii="Arial" w:cs="Arial" w:eastAsia="Arial" w:hAnsi="Arial"/>
                <w:sz w:val="16"/>
                <w:szCs w:val="16"/>
                <w:b w:val="1"/>
                <w:bCs w:val="1"/>
                <w:color w:val="auto"/>
                <w:w w:val="89"/>
              </w:rPr>
              <w:t>Payments</w:t>
            </w:r>
          </w:p>
        </w:tc>
      </w:tr>
      <w:tr>
        <w:trPr>
          <w:trHeight w:val="21"/>
        </w:trPr>
        <w:tc>
          <w:tcPr>
            <w:tcW w:w="420" w:type="dxa"/>
            <w:vAlign w:val="bottom"/>
            <w:tcBorders>
              <w:top w:val="single" w:sz="8" w:color="auto"/>
              <w:bottom w:val="single" w:sz="8" w:color="CFF0FC"/>
            </w:tcBorders>
          </w:tcPr>
          <w:p>
            <w:pPr>
              <w:spacing w:after="0" w:line="20" w:lineRule="exact"/>
              <w:rPr>
                <w:sz w:val="1"/>
                <w:szCs w:val="1"/>
                <w:color w:val="auto"/>
              </w:rPr>
            </w:pPr>
          </w:p>
        </w:tc>
        <w:tc>
          <w:tcPr>
            <w:tcW w:w="45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209"/>
        </w:trPr>
        <w:tc>
          <w:tcPr>
            <w:tcW w:w="4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Harvey S. Kanter</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3,185,000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435,346</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200,766</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175,639</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3,996,751</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435,346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200,766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175,639</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3,751,751</w:t>
            </w: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Peter H. Stratton, Jr.</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108,625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138,250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532,846</w:t>
            </w: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395,000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108,625</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88,471</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138,250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730,346</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187,500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84,535</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131,250</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478,285</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131,250</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665,785</w:t>
            </w: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spacing w:after="0"/>
              <w:rPr>
                <w:sz w:val="20"/>
                <w:szCs w:val="20"/>
                <w:color w:val="auto"/>
              </w:rPr>
            </w:pPr>
            <w:r>
              <w:rPr>
                <w:rFonts w:ascii="Arial" w:cs="Arial" w:eastAsia="Arial" w:hAnsi="Arial"/>
                <w:sz w:val="16"/>
                <w:szCs w:val="16"/>
                <w:color w:val="auto"/>
              </w:rPr>
              <w:t>Francis C. Chane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63,440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63,554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100,333</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372,327</w:t>
            </w: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290,000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63,440</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63,554</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100,333</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517,327</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Anthony J. Gaeta</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4920" w:type="dxa"/>
            <w:vAlign w:val="bottom"/>
            <w:gridSpan w:val="2"/>
          </w:tcPr>
          <w:p>
            <w:pPr>
              <w:ind w:left="260"/>
              <w:spacing w:after="0"/>
              <w:rPr>
                <w:sz w:val="20"/>
                <w:szCs w:val="20"/>
                <w:color w:val="auto"/>
              </w:rPr>
            </w:pPr>
            <w:r>
              <w:rPr>
                <w:rFonts w:ascii="Arial" w:cs="Arial" w:eastAsia="Arial" w:hAnsi="Arial"/>
                <w:sz w:val="16"/>
                <w:szCs w:val="16"/>
                <w:color w:val="auto"/>
              </w:rPr>
              <w:t>Qualifying Termination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147,500</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43,176</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65,961</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100,917</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357,554</w:t>
            </w:r>
          </w:p>
        </w:tc>
        <w:tc>
          <w:tcPr>
            <w:tcW w:w="120" w:type="dxa"/>
            <w:vAlign w:val="bottom"/>
          </w:tcPr>
          <w:p>
            <w:pPr>
              <w:spacing w:after="0"/>
              <w:rPr>
                <w:sz w:val="18"/>
                <w:szCs w:val="18"/>
                <w:color w:val="auto"/>
              </w:rPr>
            </w:pPr>
          </w:p>
        </w:tc>
      </w:tr>
      <w:tr>
        <w:trPr>
          <w:trHeight w:val="219"/>
        </w:trPr>
        <w:tc>
          <w:tcPr>
            <w:tcW w:w="49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Qualifying Termination due to change in control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43,176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100,917</w:t>
            </w: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505,054</w:t>
            </w:r>
          </w:p>
        </w:tc>
        <w:tc>
          <w:tcPr>
            <w:tcW w:w="120" w:type="dxa"/>
            <w:vAlign w:val="bottom"/>
            <w:shd w:val="clear" w:color="auto" w:fill="CFF0FC"/>
          </w:tcPr>
          <w:p>
            <w:pPr>
              <w:spacing w:after="0"/>
              <w:rPr>
                <w:sz w:val="19"/>
                <w:szCs w:val="19"/>
                <w:color w:val="auto"/>
              </w:rPr>
            </w:pPr>
          </w:p>
        </w:tc>
      </w:tr>
    </w:tbl>
    <w:p>
      <w:pPr>
        <w:spacing w:after="0" w:line="206" w:lineRule="exact"/>
        <w:rPr>
          <w:sz w:val="20"/>
          <w:szCs w:val="20"/>
          <w:color w:val="auto"/>
        </w:rPr>
      </w:pPr>
    </w:p>
    <w:p>
      <w:pPr>
        <w:ind w:left="740" w:right="40" w:hanging="368"/>
        <w:spacing w:after="0" w:line="269"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Because Mr. Kanter is in the Initial Term of his Employment Agreement, for a Qualifying Termination, Mr. Kanter is entitled to receive, as continued base salary, the sum of the remaining base salary and annual incentive payout, assuming target, that he would have received during the Initial Term of his employment. For the other Named Executive Officers, continued base salary for Qualifying Termination assumes six months of salary, which includes one month for notice. For Mr. Kanter, continued base salary for Qualifying Termination due to a change in control is equal to (i) two times his then current Base Salary plus (ii) the then value of two times his target bonus under the Annual Incentive Plan. For the other Named Executive Officers continued base salary due to a change in control is equal to one-year base salary.</w:t>
      </w:r>
    </w:p>
    <w:p>
      <w:pPr>
        <w:spacing w:after="0" w:line="85" w:lineRule="exact"/>
        <w:rPr>
          <w:rFonts w:ascii="Arial" w:cs="Arial" w:eastAsia="Arial" w:hAnsi="Arial"/>
          <w:sz w:val="16"/>
          <w:szCs w:val="16"/>
          <w:color w:val="auto"/>
        </w:rPr>
      </w:pPr>
    </w:p>
    <w:p>
      <w:pPr>
        <w:ind w:left="740" w:hanging="368"/>
        <w:spacing w:after="0"/>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represent the actual incentive earned for 2019 AIP.</w:t>
      </w:r>
    </w:p>
    <w:p>
      <w:pPr>
        <w:spacing w:after="0" w:line="126" w:lineRule="exact"/>
        <w:rPr>
          <w:rFonts w:ascii="Arial" w:cs="Arial" w:eastAsia="Arial" w:hAnsi="Arial"/>
          <w:sz w:val="16"/>
          <w:szCs w:val="16"/>
          <w:color w:val="auto"/>
        </w:rPr>
      </w:pPr>
    </w:p>
    <w:p>
      <w:pPr>
        <w:ind w:left="740" w:right="40" w:hanging="368"/>
        <w:spacing w:after="0" w:line="269"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Time-based awards under our LTIPs represent time-based RSUs under our 2017-2018 LTIP, 2018-2020 LTIP and 2019-2021 LTIP. Because the respective performance period for the 2017-2018 LTIP is complete, all outstanding awards become fully vested under both a Qualifying Termination and Qualifying Termination due to a change in control. Because the 2018-2020 LTIP will have completed its second year of its performance period and the 2019-2021 LTIP will have completed its first year of its performance period, each participant would vest in shares based on a pro-rata vesting percentage, which is calculated based on the number of effective days of participation over the total number of days in the performance period. Mr. Kanter would also be entitled to receive a pro-rata vesting of his 240,000 RSUs which were granted to him in connection with his hiring.</w:t>
      </w:r>
    </w:p>
    <w:p>
      <w:pPr>
        <w:spacing w:after="0" w:line="85" w:lineRule="exact"/>
        <w:rPr>
          <w:rFonts w:ascii="Arial" w:cs="Arial" w:eastAsia="Arial" w:hAnsi="Arial"/>
          <w:sz w:val="16"/>
          <w:szCs w:val="16"/>
          <w:color w:val="auto"/>
        </w:rPr>
      </w:pPr>
    </w:p>
    <w:p>
      <w:pPr>
        <w:ind w:left="740" w:right="40" w:hanging="368"/>
        <w:spacing w:after="0" w:line="269" w:lineRule="auto"/>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Because the performance periods for the 2018-2020 LTIP and the 2019-2021 LTIP were not complete as of February 1, 2020, for a Qualifying Termination, each participant would be entitled to receive a pro-rated vesting percentage, at the end of the performance period for each of the respective LTIPs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 Mr. Kanter’s PSUs would forfeit unexercised unless if, during the following thirty-days after his termination, a performance target is achieved he would be entitled to any unvested PSUs that would have vested if he had not been terminated.</w:t>
      </w:r>
    </w:p>
    <w:p>
      <w:pPr>
        <w:spacing w:after="0" w:line="85" w:lineRule="exact"/>
        <w:rPr>
          <w:rFonts w:ascii="Arial" w:cs="Arial" w:eastAsia="Arial" w:hAnsi="Arial"/>
          <w:sz w:val="16"/>
          <w:szCs w:val="16"/>
          <w:color w:val="auto"/>
        </w:rPr>
      </w:pPr>
    </w:p>
    <w:p>
      <w:pPr>
        <w:ind w:left="740" w:hanging="368"/>
        <w:spacing w:after="0"/>
        <w:tabs>
          <w:tab w:leader="none" w:pos="7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outstanding time-based awards were valued using the closing stock price of our stock on January 31, 2020 of $1.11 per share.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 Policy</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120"/>
        <w:spacing w:after="0" w:line="263" w:lineRule="auto"/>
        <w:rPr>
          <w:sz w:val="20"/>
          <w:szCs w:val="20"/>
          <w:color w:val="auto"/>
        </w:rPr>
      </w:pPr>
      <w:r>
        <w:rPr>
          <w:rFonts w:ascii="Arial" w:cs="Arial" w:eastAsia="Arial" w:hAnsi="Arial"/>
          <w:sz w:val="18"/>
          <w:szCs w:val="18"/>
          <w:color w:val="auto"/>
        </w:rPr>
        <w:t>In addition, in August 2018, our Compensation Committee approved a clawback policy that will require our NEOs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Officers in fiscal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GRANTS OF PLAN-BASED AWARDS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Grant</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All Other</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All Other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Date</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rPr>
              <w:t>Fair</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Awards:</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or Base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Value of</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gridSpan w:val="6"/>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9"/>
          </w:tcPr>
          <w:p>
            <w:pPr>
              <w:jc w:val="center"/>
              <w:ind w:right="360"/>
              <w:spacing w:after="0" w:line="135" w:lineRule="exact"/>
              <w:rPr>
                <w:sz w:val="20"/>
                <w:szCs w:val="20"/>
                <w:color w:val="auto"/>
              </w:rPr>
            </w:pPr>
            <w:r>
              <w:rPr>
                <w:rFonts w:ascii="Arial" w:cs="Arial" w:eastAsia="Arial" w:hAnsi="Arial"/>
                <w:sz w:val="13"/>
                <w:szCs w:val="13"/>
                <w:b w:val="1"/>
                <w:bCs w:val="1"/>
                <w:color w:val="auto"/>
                <w:w w:val="87"/>
              </w:rPr>
              <w:t>Estimated Future Payouts</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89"/>
              </w:rPr>
              <w:t>Number of</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r>
      <w:tr>
        <w:trPr>
          <w:trHeight w:val="135"/>
        </w:trPr>
        <w:tc>
          <w:tcPr>
            <w:tcW w:w="1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0"/>
              </w:rPr>
              <w:t>Under Non-Equity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1"/>
              </w:rPr>
              <w:t>Under Equity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0"/>
              </w:rPr>
              <w:t>of Shares</w:t>
            </w:r>
          </w:p>
        </w:tc>
        <w:tc>
          <w:tcPr>
            <w:tcW w:w="2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of</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and</w:t>
            </w:r>
          </w:p>
        </w:tc>
      </w:tr>
      <w:tr>
        <w:trPr>
          <w:trHeight w:val="153"/>
        </w:trPr>
        <w:tc>
          <w:tcPr>
            <w:tcW w:w="18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6"/>
              </w:rPr>
              <w:t>Service</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Incentive Plan Awards</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3"/>
                <w:szCs w:val="13"/>
                <w:b w:val="1"/>
                <w:bCs w:val="1"/>
                <w:color w:val="auto"/>
              </w:rPr>
              <w:t>Incentive Plan Awards</w:t>
            </w:r>
          </w:p>
        </w:tc>
        <w:tc>
          <w:tcPr>
            <w:tcW w:w="4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5"/>
              </w:rPr>
              <w:t>of Stock</w:t>
            </w:r>
          </w:p>
        </w:tc>
        <w:tc>
          <w:tcPr>
            <w:tcW w:w="10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Underlying</w:t>
            </w: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Option</w:t>
            </w:r>
          </w:p>
        </w:tc>
      </w:tr>
      <w:tr>
        <w:trPr>
          <w:trHeight w:val="137"/>
        </w:trPr>
        <w:tc>
          <w:tcPr>
            <w:tcW w:w="1860" w:type="dxa"/>
            <w:vAlign w:val="bottom"/>
          </w:tcPr>
          <w:p>
            <w:pPr>
              <w:spacing w:after="0"/>
              <w:rPr>
                <w:sz w:val="11"/>
                <w:szCs w:val="11"/>
                <w:color w:val="auto"/>
              </w:rPr>
            </w:pPr>
          </w:p>
        </w:tc>
        <w:tc>
          <w:tcPr>
            <w:tcW w:w="580" w:type="dxa"/>
            <w:vAlign w:val="bottom"/>
          </w:tcPr>
          <w:p>
            <w:pPr>
              <w:jc w:val="right"/>
              <w:ind w:right="77"/>
              <w:spacing w:after="0" w:line="138" w:lineRule="exact"/>
              <w:rPr>
                <w:sz w:val="20"/>
                <w:szCs w:val="20"/>
                <w:color w:val="auto"/>
              </w:rPr>
            </w:pPr>
            <w:r>
              <w:rPr>
                <w:rFonts w:ascii="Arial" w:cs="Arial" w:eastAsia="Arial" w:hAnsi="Arial"/>
                <w:sz w:val="13"/>
                <w:szCs w:val="13"/>
                <w:b w:val="1"/>
                <w:bCs w:val="1"/>
                <w:color w:val="auto"/>
              </w:rPr>
              <w:t>Grant</w:t>
            </w:r>
          </w:p>
        </w:tc>
        <w:tc>
          <w:tcPr>
            <w:tcW w:w="5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Inception</w:t>
            </w:r>
          </w:p>
        </w:tc>
        <w:tc>
          <w:tcPr>
            <w:tcW w:w="100" w:type="dxa"/>
            <w:vAlign w:val="bottom"/>
          </w:tcPr>
          <w:p>
            <w:pPr>
              <w:spacing w:after="0"/>
              <w:rPr>
                <w:sz w:val="11"/>
                <w:szCs w:val="11"/>
                <w:color w:val="auto"/>
              </w:rPr>
            </w:pPr>
          </w:p>
        </w:tc>
        <w:tc>
          <w:tcPr>
            <w:tcW w:w="58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9"/>
              </w:rPr>
              <w:t>Threshold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Target</w:t>
            </w:r>
          </w:p>
        </w:tc>
        <w:tc>
          <w:tcPr>
            <w:tcW w:w="4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93"/>
              </w:rPr>
              <w:t>Maximum</w:t>
            </w:r>
          </w:p>
        </w:tc>
        <w:tc>
          <w:tcPr>
            <w:tcW w:w="200" w:type="dxa"/>
            <w:vAlign w:val="bottom"/>
          </w:tcPr>
          <w:p>
            <w:pPr>
              <w:spacing w:after="0"/>
              <w:rPr>
                <w:sz w:val="11"/>
                <w:szCs w:val="11"/>
                <w:color w:val="auto"/>
              </w:rPr>
            </w:pPr>
          </w:p>
        </w:tc>
        <w:tc>
          <w:tcPr>
            <w:tcW w:w="62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9"/>
              </w:rPr>
              <w:t>Threshold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Target</w:t>
            </w:r>
          </w:p>
        </w:tc>
        <w:tc>
          <w:tcPr>
            <w:tcW w:w="6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rPr>
              <w:t>Maximum</w:t>
            </w:r>
          </w:p>
        </w:tc>
        <w:tc>
          <w:tcPr>
            <w:tcW w:w="220" w:type="dxa"/>
            <w:vAlign w:val="bottom"/>
          </w:tcPr>
          <w:p>
            <w:pPr>
              <w:spacing w:after="0"/>
              <w:rPr>
                <w:sz w:val="11"/>
                <w:szCs w:val="11"/>
                <w:color w:val="auto"/>
              </w:rPr>
            </w:pPr>
          </w:p>
        </w:tc>
        <w:tc>
          <w:tcPr>
            <w:tcW w:w="5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or Units</w:t>
            </w: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38" w:lineRule="exact"/>
              <w:rPr>
                <w:sz w:val="20"/>
                <w:szCs w:val="20"/>
                <w:color w:val="auto"/>
              </w:rPr>
            </w:pPr>
            <w:r>
              <w:rPr>
                <w:rFonts w:ascii="Arial" w:cs="Arial" w:eastAsia="Arial" w:hAnsi="Arial"/>
                <w:sz w:val="13"/>
                <w:szCs w:val="13"/>
                <w:b w:val="1"/>
                <w:bCs w:val="1"/>
                <w:color w:val="auto"/>
                <w:w w:val="85"/>
              </w:rPr>
              <w:t>Options</w:t>
            </w:r>
          </w:p>
        </w:tc>
        <w:tc>
          <w:tcPr>
            <w:tcW w:w="5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5"/>
              </w:rPr>
              <w:t>Awards</w:t>
            </w:r>
          </w:p>
        </w:tc>
      </w:tr>
      <w:tr>
        <w:trPr>
          <w:trHeight w:val="153"/>
        </w:trPr>
        <w:tc>
          <w:tcPr>
            <w:tcW w:w="1860" w:type="dxa"/>
            <w:vAlign w:val="bottom"/>
          </w:tcPr>
          <w:p>
            <w:pPr>
              <w:spacing w:after="0"/>
              <w:rPr>
                <w:sz w:val="13"/>
                <w:szCs w:val="13"/>
                <w:color w:val="auto"/>
              </w:rPr>
            </w:pPr>
          </w:p>
        </w:tc>
        <w:tc>
          <w:tcPr>
            <w:tcW w:w="580" w:type="dxa"/>
            <w:vAlign w:val="bottom"/>
          </w:tcPr>
          <w:p>
            <w:pPr>
              <w:jc w:val="right"/>
              <w:ind w:right="117"/>
              <w:spacing w:after="0"/>
              <w:rPr>
                <w:sz w:val="20"/>
                <w:szCs w:val="20"/>
                <w:color w:val="auto"/>
              </w:rPr>
            </w:pPr>
            <w:r>
              <w:rPr>
                <w:rFonts w:ascii="Arial" w:cs="Arial" w:eastAsia="Arial" w:hAnsi="Arial"/>
                <w:sz w:val="13"/>
                <w:szCs w:val="13"/>
                <w:b w:val="1"/>
                <w:bCs w:val="1"/>
                <w:color w:val="auto"/>
              </w:rPr>
              <w:t>Date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97"/>
              <w:spacing w:after="0"/>
              <w:rPr>
                <w:sz w:val="20"/>
                <w:szCs w:val="20"/>
                <w:color w:val="auto"/>
              </w:rPr>
            </w:pPr>
            <w:r>
              <w:rPr>
                <w:rFonts w:ascii="Arial" w:cs="Arial" w:eastAsia="Arial" w:hAnsi="Arial"/>
                <w:sz w:val="13"/>
                <w:szCs w:val="13"/>
                <w:b w:val="1"/>
                <w:bCs w:val="1"/>
                <w:color w:val="auto"/>
                <w:w w:val="95"/>
              </w:rPr>
              <w:t>($) (1)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b w:val="1"/>
                <w:bCs w:val="1"/>
                <w:color w:val="auto"/>
                <w:w w:val="95"/>
              </w:rPr>
              <w:t>($) (1)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b w:val="1"/>
                <w:bCs w:val="1"/>
                <w:color w:val="auto"/>
                <w:w w:val="90"/>
              </w:rPr>
              <w:t>($) (1)</w:t>
            </w:r>
          </w:p>
        </w:tc>
        <w:tc>
          <w:tcPr>
            <w:tcW w:w="22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left="157"/>
              <w:spacing w:after="0"/>
              <w:rPr>
                <w:sz w:val="20"/>
                <w:szCs w:val="20"/>
                <w:color w:val="auto"/>
              </w:rPr>
            </w:pPr>
            <w:r>
              <w:rPr>
                <w:rFonts w:ascii="Arial" w:cs="Arial" w:eastAsia="Arial" w:hAnsi="Arial"/>
                <w:sz w:val="13"/>
                <w:szCs w:val="13"/>
                <w:b w:val="1"/>
                <w:bCs w:val="1"/>
                <w:color w:val="auto"/>
                <w:w w:val="87"/>
              </w:rPr>
              <w:t>(#)</w:t>
            </w:r>
          </w:p>
        </w:tc>
        <w:tc>
          <w:tcPr>
            <w:tcW w:w="22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7"/>
              </w:rPr>
              <w:t>($ / Sh)</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ind w:right="17"/>
              <w:spacing w:after="0"/>
              <w:rPr>
                <w:sz w:val="20"/>
                <w:szCs w:val="20"/>
                <w:color w:val="auto"/>
              </w:rPr>
            </w:pPr>
            <w:r>
              <w:rPr>
                <w:rFonts w:ascii="Arial" w:cs="Arial" w:eastAsia="Arial" w:hAnsi="Arial"/>
                <w:sz w:val="13"/>
                <w:szCs w:val="13"/>
                <w:b w:val="1"/>
                <w:bCs w:val="1"/>
                <w:color w:val="auto"/>
                <w:w w:val="87"/>
              </w:rPr>
              <w:t>($)</w:t>
            </w:r>
          </w:p>
        </w:tc>
        <w:tc>
          <w:tcPr>
            <w:tcW w:w="60" w:type="dxa"/>
            <w:vAlign w:val="bottom"/>
          </w:tcPr>
          <w:p>
            <w:pPr>
              <w:spacing w:after="0"/>
              <w:rPr>
                <w:sz w:val="13"/>
                <w:szCs w:val="13"/>
                <w:color w:val="auto"/>
              </w:rPr>
            </w:pPr>
          </w:p>
        </w:tc>
      </w:tr>
      <w:tr>
        <w:trPr>
          <w:trHeight w:val="142"/>
        </w:trPr>
        <w:tc>
          <w:tcPr>
            <w:tcW w:w="186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Harvey S. Kanter</w:t>
            </w:r>
          </w:p>
        </w:tc>
        <w:tc>
          <w:tcPr>
            <w:tcW w:w="5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46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8"/>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w w:val="95"/>
              </w:rPr>
              <w:t>-Sign-on time-based award (2)</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2/19/2019</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240,000</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rPr>
              <w:t>-Sign-on performance-based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award (2)</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2/19/2019</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720,000</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98"/>
              </w:rPr>
              <w:t>$ 1,029,600</w:t>
            </w:r>
          </w:p>
        </w:tc>
        <w:tc>
          <w:tcPr>
            <w:tcW w:w="60" w:type="dxa"/>
            <w:vAlign w:val="bottom"/>
            <w:shd w:val="clear" w:color="auto" w:fill="CFF0FC"/>
          </w:tcPr>
          <w:p>
            <w:pPr>
              <w:spacing w:after="0"/>
              <w:rPr>
                <w:sz w:val="12"/>
                <w:szCs w:val="12"/>
                <w:color w:val="auto"/>
              </w:rPr>
            </w:pPr>
          </w:p>
        </w:tc>
      </w:tr>
      <w:tr>
        <w:trPr>
          <w:trHeight w:val="148"/>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124,385</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621,923</w:t>
            </w:r>
          </w:p>
        </w:tc>
        <w:tc>
          <w:tcPr>
            <w:tcW w:w="34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w w:val="93"/>
              </w:rPr>
              <w:t>$ 1,243,846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6"/>
              </w:rPr>
              <w:t>-2019-2021 LTIP, Time-Based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182,675</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312,374</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312,375</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468,563</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78,094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312,375</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468,563</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tcPr>
          <w:p>
            <w:pPr>
              <w:spacing w:after="0" w:line="148" w:lineRule="exact"/>
              <w:rPr>
                <w:sz w:val="20"/>
                <w:szCs w:val="20"/>
                <w:color w:val="auto"/>
              </w:rPr>
            </w:pPr>
            <w:r>
              <w:rPr>
                <w:rFonts w:ascii="Arial" w:cs="Arial" w:eastAsia="Arial" w:hAnsi="Arial"/>
                <w:sz w:val="13"/>
                <w:szCs w:val="13"/>
                <w:color w:val="auto"/>
              </w:rPr>
              <w:t>David A. Levin</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860" w:type="dxa"/>
            <w:vAlign w:val="bottom"/>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162,240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811,200</w:t>
            </w:r>
          </w:p>
        </w:tc>
        <w:tc>
          <w:tcPr>
            <w:tcW w:w="34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w w:val="93"/>
              </w:rPr>
              <w:t>$ 1,216,800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1860" w:type="dxa"/>
            <w:vAlign w:val="bottom"/>
            <w:shd w:val="clear" w:color="auto" w:fill="CFF0FC"/>
          </w:tcPr>
          <w:p>
            <w:pPr>
              <w:spacing w:after="0"/>
              <w:rPr>
                <w:sz w:val="20"/>
                <w:szCs w:val="20"/>
                <w:color w:val="auto"/>
              </w:rPr>
            </w:pPr>
            <w:r>
              <w:rPr>
                <w:rFonts w:ascii="Arial" w:cs="Arial" w:eastAsia="Arial" w:hAnsi="Arial"/>
                <w:sz w:val="13"/>
                <w:szCs w:val="13"/>
                <w:color w:val="auto"/>
              </w:rPr>
              <w:t>Peter H. Stratton, Jr.</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43,450</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217,250</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325,875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6"/>
              </w:rPr>
              <w:t>-2019-2021 LTIP, Time-Based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69,125</w:t>
            </w: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40,423</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69,123</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17,281</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69,125</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103,688</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17,281</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69,125</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103,688</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tcPr>
          <w:p>
            <w:pPr>
              <w:spacing w:after="0" w:line="148" w:lineRule="exact"/>
              <w:rPr>
                <w:sz w:val="20"/>
                <w:szCs w:val="20"/>
                <w:color w:val="auto"/>
              </w:rPr>
            </w:pPr>
            <w:r>
              <w:rPr>
                <w:rFonts w:ascii="Arial" w:cs="Arial" w:eastAsia="Arial" w:hAnsi="Arial"/>
                <w:sz w:val="13"/>
                <w:szCs w:val="13"/>
                <w:color w:val="auto"/>
              </w:rPr>
              <w:t>Robert S. Molloy</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860" w:type="dxa"/>
            <w:vAlign w:val="bottom"/>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30,000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150,000</w:t>
            </w:r>
          </w:p>
        </w:tc>
        <w:tc>
          <w:tcPr>
            <w:tcW w:w="3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225,000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1860" w:type="dxa"/>
            <w:vAlign w:val="bottom"/>
          </w:tcPr>
          <w:p>
            <w:pPr>
              <w:ind w:left="160"/>
              <w:spacing w:after="0" w:line="135" w:lineRule="exact"/>
              <w:rPr>
                <w:sz w:val="20"/>
                <w:szCs w:val="20"/>
                <w:color w:val="auto"/>
              </w:rPr>
            </w:pPr>
            <w:r>
              <w:rPr>
                <w:rFonts w:ascii="Arial" w:cs="Arial" w:eastAsia="Arial" w:hAnsi="Arial"/>
                <w:sz w:val="13"/>
                <w:szCs w:val="13"/>
                <w:color w:val="auto"/>
                <w:w w:val="96"/>
              </w:rPr>
              <w:t>-2019-2021 LTIP, Time-Based</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8/7/2019</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2/3/2019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1860" w:type="dxa"/>
            <w:vAlign w:val="bottom"/>
          </w:tcPr>
          <w:p>
            <w:pPr>
              <w:ind w:left="160"/>
              <w:spacing w:after="0"/>
              <w:rPr>
                <w:sz w:val="20"/>
                <w:szCs w:val="20"/>
                <w:color w:val="auto"/>
              </w:rPr>
            </w:pPr>
            <w:r>
              <w:rPr>
                <w:rFonts w:ascii="Arial" w:cs="Arial" w:eastAsia="Arial" w:hAnsi="Arial"/>
                <w:sz w:val="13"/>
                <w:szCs w:val="13"/>
                <w:color w:val="auto"/>
              </w:rPr>
              <w:t>(4)</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38,377</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65,625</w:t>
            </w:r>
          </w:p>
        </w:tc>
        <w:tc>
          <w:tcPr>
            <w:tcW w:w="60" w:type="dxa"/>
            <w:vAlign w:val="bottom"/>
          </w:tcPr>
          <w:p>
            <w:pPr>
              <w:spacing w:after="0"/>
              <w:rPr>
                <w:sz w:val="12"/>
                <w:szCs w:val="12"/>
                <w:color w:val="auto"/>
              </w:rPr>
            </w:pPr>
          </w:p>
        </w:tc>
      </w:tr>
      <w:tr>
        <w:trPr>
          <w:trHeight w:val="135"/>
        </w:trPr>
        <w:tc>
          <w:tcPr>
            <w:tcW w:w="1860" w:type="dxa"/>
            <w:vAlign w:val="bottom"/>
          </w:tcPr>
          <w:p>
            <w:pPr>
              <w:ind w:left="160"/>
              <w:spacing w:after="0" w:line="135"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8/7/2019</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2/3/2019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860" w:type="dxa"/>
            <w:vAlign w:val="bottom"/>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16,406</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65,625</w:t>
            </w:r>
          </w:p>
        </w:tc>
        <w:tc>
          <w:tcPr>
            <w:tcW w:w="3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98,438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16,406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65,625</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98,438</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shd w:val="clear" w:color="auto" w:fill="CFF0FC"/>
          </w:tcPr>
          <w:p>
            <w:pPr>
              <w:spacing w:after="0"/>
              <w:rPr>
                <w:sz w:val="20"/>
                <w:szCs w:val="20"/>
                <w:color w:val="auto"/>
              </w:rPr>
            </w:pPr>
            <w:r>
              <w:rPr>
                <w:rFonts w:ascii="Arial" w:cs="Arial" w:eastAsia="Arial" w:hAnsi="Arial"/>
                <w:sz w:val="13"/>
                <w:szCs w:val="13"/>
                <w:color w:val="auto"/>
              </w:rPr>
              <w:t>Francis C. Chane</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23,069</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115,346</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173,019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6"/>
              </w:rPr>
              <w:t>-2019-2021 LTIP, Time-Based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50,750</w:t>
            </w: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29,678</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50,749</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12,688</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50,750</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76,125</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12,688</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50,750</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76,125</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tcPr>
          <w:p>
            <w:pPr>
              <w:spacing w:after="0" w:line="148" w:lineRule="exact"/>
              <w:rPr>
                <w:sz w:val="20"/>
                <w:szCs w:val="20"/>
                <w:color w:val="auto"/>
              </w:rPr>
            </w:pPr>
            <w:r>
              <w:rPr>
                <w:rFonts w:ascii="Arial" w:cs="Arial" w:eastAsia="Arial" w:hAnsi="Arial"/>
                <w:sz w:val="13"/>
                <w:szCs w:val="13"/>
                <w:color w:val="auto"/>
              </w:rPr>
              <w:t>Anthony J. Gaeta</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860" w:type="dxa"/>
            <w:vAlign w:val="bottom"/>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23,338</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116,692</w:t>
            </w:r>
          </w:p>
        </w:tc>
        <w:tc>
          <w:tcPr>
            <w:tcW w:w="3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175,038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1860" w:type="dxa"/>
            <w:vAlign w:val="bottom"/>
          </w:tcPr>
          <w:p>
            <w:pPr>
              <w:ind w:left="160"/>
              <w:spacing w:after="0" w:line="135" w:lineRule="exact"/>
              <w:rPr>
                <w:sz w:val="20"/>
                <w:szCs w:val="20"/>
                <w:color w:val="auto"/>
              </w:rPr>
            </w:pPr>
            <w:r>
              <w:rPr>
                <w:rFonts w:ascii="Arial" w:cs="Arial" w:eastAsia="Arial" w:hAnsi="Arial"/>
                <w:sz w:val="13"/>
                <w:szCs w:val="13"/>
                <w:color w:val="auto"/>
                <w:w w:val="96"/>
              </w:rPr>
              <w:t>-2019-2021 LTIP, Time-Based</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8"/>
        </w:trPr>
        <w:tc>
          <w:tcPr>
            <w:tcW w:w="1860" w:type="dxa"/>
            <w:vAlign w:val="bottom"/>
          </w:tcPr>
          <w:p>
            <w:pPr>
              <w:ind w:left="160"/>
              <w:spacing w:after="0"/>
              <w:rPr>
                <w:sz w:val="20"/>
                <w:szCs w:val="20"/>
                <w:color w:val="auto"/>
              </w:rPr>
            </w:pPr>
            <w:r>
              <w:rPr>
                <w:rFonts w:ascii="Arial" w:cs="Arial" w:eastAsia="Arial" w:hAnsi="Arial"/>
                <w:sz w:val="13"/>
                <w:szCs w:val="13"/>
                <w:color w:val="auto"/>
              </w:rPr>
              <w:t>(4)</w:t>
            </w:r>
          </w:p>
        </w:tc>
        <w:tc>
          <w:tcPr>
            <w:tcW w:w="580" w:type="dxa"/>
            <w:vAlign w:val="bottom"/>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tcPr>
          <w:p>
            <w:pPr>
              <w:jc w:val="right"/>
              <w:spacing w:after="0"/>
              <w:rPr>
                <w:sz w:val="20"/>
                <w:szCs w:val="20"/>
                <w:color w:val="auto"/>
              </w:rPr>
            </w:pPr>
            <w:r>
              <w:rPr>
                <w:rFonts w:ascii="Arial" w:cs="Arial" w:eastAsia="Arial" w:hAnsi="Arial"/>
                <w:sz w:val="13"/>
                <w:szCs w:val="13"/>
                <w:color w:val="auto"/>
              </w:rPr>
              <w:t>2/3/2019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51,625</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30,190</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51,625</w:t>
            </w:r>
          </w:p>
        </w:tc>
        <w:tc>
          <w:tcPr>
            <w:tcW w:w="60" w:type="dxa"/>
            <w:vAlign w:val="bottom"/>
          </w:tcPr>
          <w:p>
            <w:pPr>
              <w:spacing w:after="0"/>
              <w:rPr>
                <w:sz w:val="12"/>
                <w:szCs w:val="12"/>
                <w:color w:val="auto"/>
              </w:rPr>
            </w:pPr>
          </w:p>
        </w:tc>
      </w:tr>
      <w:tr>
        <w:trPr>
          <w:trHeight w:val="135"/>
        </w:trPr>
        <w:tc>
          <w:tcPr>
            <w:tcW w:w="1860" w:type="dxa"/>
            <w:vAlign w:val="bottom"/>
          </w:tcPr>
          <w:p>
            <w:pPr>
              <w:ind w:left="160"/>
              <w:spacing w:after="0" w:line="135"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1860" w:type="dxa"/>
            <w:vAlign w:val="bottom"/>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12,906</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51,625</w:t>
            </w:r>
          </w:p>
        </w:tc>
        <w:tc>
          <w:tcPr>
            <w:tcW w:w="340" w:type="dxa"/>
            <w:vAlign w:val="bottom"/>
          </w:tcPr>
          <w:p>
            <w:pPr>
              <w:spacing w:after="0"/>
              <w:rPr>
                <w:sz w:val="12"/>
                <w:szCs w:val="12"/>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77,438</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12,906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51,625</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77,438</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shd w:val="clear" w:color="auto" w:fill="CFF0FC"/>
          </w:tcPr>
          <w:p>
            <w:pPr>
              <w:spacing w:after="0"/>
              <w:rPr>
                <w:sz w:val="20"/>
                <w:szCs w:val="20"/>
                <w:color w:val="auto"/>
              </w:rPr>
            </w:pPr>
            <w:r>
              <w:rPr>
                <w:rFonts w:ascii="Arial" w:cs="Arial" w:eastAsia="Arial" w:hAnsi="Arial"/>
                <w:sz w:val="13"/>
                <w:szCs w:val="13"/>
                <w:color w:val="auto"/>
              </w:rPr>
              <w:t>Brian S. Reaves</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8"/>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275,000</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412,500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6"/>
              </w:rPr>
              <w:t>-2019-2021 LTIP, Time-Based</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87,500</w:t>
            </w:r>
          </w:p>
        </w:tc>
        <w:tc>
          <w:tcPr>
            <w:tcW w:w="3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51,169</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87,499</w:t>
            </w:r>
          </w:p>
        </w:tc>
        <w:tc>
          <w:tcPr>
            <w:tcW w:w="60" w:type="dxa"/>
            <w:vAlign w:val="bottom"/>
            <w:shd w:val="clear" w:color="auto" w:fill="CFF0FC"/>
          </w:tcPr>
          <w:p>
            <w:pPr>
              <w:spacing w:after="0"/>
              <w:rPr>
                <w:sz w:val="12"/>
                <w:szCs w:val="12"/>
                <w:color w:val="auto"/>
              </w:rPr>
            </w:pPr>
          </w:p>
        </w:tc>
      </w:tr>
      <w:tr>
        <w:trPr>
          <w:trHeight w:val="134"/>
        </w:trPr>
        <w:tc>
          <w:tcPr>
            <w:tcW w:w="1860" w:type="dxa"/>
            <w:vAlign w:val="bottom"/>
            <w:shd w:val="clear" w:color="auto" w:fill="CFF0FC"/>
          </w:tcPr>
          <w:p>
            <w:pPr>
              <w:ind w:left="160"/>
              <w:spacing w:after="0" w:line="134" w:lineRule="exact"/>
              <w:rPr>
                <w:sz w:val="20"/>
                <w:szCs w:val="20"/>
                <w:color w:val="auto"/>
              </w:rPr>
            </w:pPr>
            <w:r>
              <w:rPr>
                <w:rFonts w:ascii="Arial" w:cs="Arial" w:eastAsia="Arial" w:hAnsi="Arial"/>
                <w:sz w:val="13"/>
                <w:szCs w:val="13"/>
                <w:color w:val="auto"/>
                <w:w w:val="91"/>
              </w:rPr>
              <w:t>-2019-2021 LTIP, Performance-</w:t>
            </w:r>
          </w:p>
        </w:tc>
        <w:tc>
          <w:tcPr>
            <w:tcW w:w="58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9"/>
        </w:trPr>
        <w:tc>
          <w:tcPr>
            <w:tcW w:w="18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Based (4)</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8/7/2019</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2/3/2019</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21,875</w:t>
            </w:r>
          </w:p>
        </w:tc>
        <w:tc>
          <w:tcPr>
            <w:tcW w:w="4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87,500</w:t>
            </w:r>
          </w:p>
        </w:tc>
        <w:tc>
          <w:tcPr>
            <w:tcW w:w="34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131,250</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21,875</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87,500</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131,250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1860" w:type="dxa"/>
            <w:vAlign w:val="bottom"/>
          </w:tcPr>
          <w:p>
            <w:pPr>
              <w:spacing w:after="0" w:line="148" w:lineRule="exact"/>
              <w:rPr>
                <w:sz w:val="20"/>
                <w:szCs w:val="20"/>
                <w:color w:val="auto"/>
              </w:rPr>
            </w:pPr>
            <w:r>
              <w:rPr>
                <w:rFonts w:ascii="Arial" w:cs="Arial" w:eastAsia="Arial" w:hAnsi="Arial"/>
                <w:sz w:val="13"/>
                <w:szCs w:val="13"/>
                <w:color w:val="auto"/>
              </w:rPr>
              <w:t>James S. Davey</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0"/>
        </w:trPr>
        <w:tc>
          <w:tcPr>
            <w:tcW w:w="1860" w:type="dxa"/>
            <w:vAlign w:val="bottom"/>
          </w:tcPr>
          <w:p>
            <w:pPr>
              <w:ind w:left="160"/>
              <w:spacing w:after="0"/>
              <w:rPr>
                <w:sz w:val="20"/>
                <w:szCs w:val="20"/>
                <w:color w:val="auto"/>
              </w:rPr>
            </w:pPr>
            <w:r>
              <w:rPr>
                <w:rFonts w:ascii="Arial" w:cs="Arial" w:eastAsia="Arial" w:hAnsi="Arial"/>
                <w:sz w:val="13"/>
                <w:szCs w:val="13"/>
                <w:color w:val="auto"/>
              </w:rPr>
              <w:t>-2019 AIP (3)</w:t>
            </w:r>
          </w:p>
        </w:tc>
        <w:tc>
          <w:tcPr>
            <w:tcW w:w="5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5/1/2019</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36,000</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247,500</w:t>
            </w:r>
          </w:p>
        </w:tc>
        <w:tc>
          <w:tcPr>
            <w:tcW w:w="3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371,250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20" w:type="dxa"/>
            <w:vAlign w:val="bottom"/>
          </w:tcPr>
          <w:p>
            <w:pPr>
              <w:ind w:left="38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bl>
    <w:p>
      <w:pPr>
        <w:spacing w:after="0" w:line="204" w:lineRule="exact"/>
        <w:rPr>
          <w:sz w:val="20"/>
          <w:szCs w:val="20"/>
          <w:color w:val="auto"/>
        </w:rPr>
      </w:pPr>
    </w:p>
    <w:p>
      <w:pPr>
        <w:ind w:left="740" w:right="100" w:hanging="368"/>
        <w:spacing w:after="0" w:line="308" w:lineRule="auto"/>
        <w:tabs>
          <w:tab w:leader="none" w:pos="7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4 below for additional information on the 2019-2021 LTIP.</w:t>
      </w:r>
    </w:p>
    <w:p>
      <w:pPr>
        <w:spacing w:after="0" w:line="38" w:lineRule="exact"/>
        <w:rPr>
          <w:rFonts w:ascii="Arial" w:cs="Arial" w:eastAsia="Arial" w:hAnsi="Arial"/>
          <w:sz w:val="17"/>
          <w:szCs w:val="17"/>
          <w:color w:val="auto"/>
        </w:rPr>
      </w:pPr>
    </w:p>
    <w:p>
      <w:pPr>
        <w:ind w:left="740" w:right="20" w:hanging="368"/>
        <w:spacing w:after="0" w:line="259"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connection with Mr. Kanter’s hiring, he received 240,000 RSUs that will vest ratably over four years, with the first one-fourth vesting on April 1, 2020. He also received 720,000 PSUs. The PSUs vest in installments when the following milestones are met: one-third of the PSUs vest when the trailing 90-day VWAP is $4.00, one-third of the PSUs vest when the VWAP is $6.00 and one-third when the VWAP is $8.00. All PSUs will expire on April 1, 2023 if no performance metric is achieved.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left="368" w:hanging="368"/>
        <w:spacing w:after="0" w:line="275" w:lineRule="auto"/>
        <w:tabs>
          <w:tab w:leader="none" w:pos="36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threshold payout for each executive assumes the achievement of only the individual personal goals, target payout assumes 100%, and the maximum payout assumes 150% of the payout targets under the 2019 AIP, with the exception of the maximum payout for Mr. Kanter which is 200%. See “</w:t>
      </w:r>
      <w:r>
        <w:rPr>
          <w:rFonts w:ascii="Arial" w:cs="Arial" w:eastAsia="Arial" w:hAnsi="Arial"/>
          <w:sz w:val="17"/>
          <w:szCs w:val="17"/>
          <w:i w:val="1"/>
          <w:iCs w:val="1"/>
          <w:color w:val="auto"/>
        </w:rPr>
        <w:t>Compensation Components and Fiscal 2019 Compensation Decisions - Performance-based Annual Incentive Plan – 2019 AIP</w:t>
      </w:r>
      <w:r>
        <w:rPr>
          <w:rFonts w:ascii="Arial" w:cs="Arial" w:eastAsia="Arial" w:hAnsi="Arial"/>
          <w:sz w:val="17"/>
          <w:szCs w:val="17"/>
          <w:color w:val="auto"/>
        </w:rPr>
        <w:t>” for more information on the targets set under the 2019 AIP. The respective actual cash payment made to each of the Named Executive Officers under the 2019 AIP is included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for fiscal 2019.</w:t>
      </w:r>
    </w:p>
    <w:p>
      <w:pPr>
        <w:spacing w:after="0" w:line="68" w:lineRule="exact"/>
        <w:rPr>
          <w:rFonts w:ascii="Arial" w:cs="Arial" w:eastAsia="Arial" w:hAnsi="Arial"/>
          <w:sz w:val="17"/>
          <w:szCs w:val="17"/>
          <w:color w:val="auto"/>
        </w:rPr>
      </w:pPr>
    </w:p>
    <w:p>
      <w:pPr>
        <w:ind w:left="368" w:right="40" w:hanging="368"/>
        <w:spacing w:after="0" w:line="288" w:lineRule="auto"/>
        <w:tabs>
          <w:tab w:leader="none" w:pos="368"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August 7, 2019, the Compensation Committee approved the performance targets for the 2019-2021 LTIP. The performance-based awards represent 50% of the total potential payout under the 2019-2021 LTIP, of which 50% is payable in cash and 50% payable in equity. The amounts in the above table represent the dollar value of any future grant of cash and equity assuming a potential payout at threshold, target and maximum for each executive estimated based on achieving 25% (the payout of achieving the threshold of one metric), 100% and 150%, respectively, of the payout targets set by the Compensation Committee. The actual grant of equity will occur only if the performance targets are achieved. The remaining 50% represents time-based awards, which were granted 50% cash and 50% in RSUs. The above table reflects the cash award and the RSUs that were granted on August 7, 2019. The cash award and the RSUs vest in four equal tranches, with the first tranche vesting on August 7, 2020 and the remaining tranches vesting on April 1, 2021, April 1, 2022 and April 1, 2023. In connection with Mr. Reaves termination of employment, all awards granted under the 2019-2021 LTIP were forfeited. See “</w:t>
      </w:r>
      <w:r>
        <w:rPr>
          <w:rFonts w:ascii="Arial" w:cs="Arial" w:eastAsia="Arial" w:hAnsi="Arial"/>
          <w:sz w:val="16"/>
          <w:szCs w:val="16"/>
          <w:i w:val="1"/>
          <w:iCs w:val="1"/>
          <w:color w:val="auto"/>
        </w:rPr>
        <w:t>Compensation Components and Fiscal 2019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Decisions - Long-Term Incentive Plans - 2019-2021 Performance Period</w:t>
      </w:r>
      <w:r>
        <w:rPr>
          <w:rFonts w:ascii="Arial" w:cs="Arial" w:eastAsia="Arial" w:hAnsi="Arial"/>
          <w:sz w:val="16"/>
          <w:szCs w:val="16"/>
          <w:color w:val="auto"/>
        </w:rPr>
        <w:t>” above for more information on the targets.</w:t>
      </w:r>
    </w:p>
    <w:p>
      <w:pPr>
        <w:spacing w:after="0" w:line="200" w:lineRule="exact"/>
        <w:rPr>
          <w:sz w:val="20"/>
          <w:szCs w:val="20"/>
          <w:color w:val="auto"/>
        </w:rPr>
      </w:pPr>
    </w:p>
    <w:p>
      <w:pPr>
        <w:spacing w:after="0" w:line="211" w:lineRule="exact"/>
        <w:rPr>
          <w:sz w:val="20"/>
          <w:szCs w:val="20"/>
          <w:color w:val="auto"/>
        </w:rPr>
      </w:pPr>
    </w:p>
    <w:p>
      <w:pPr>
        <w:jc w:val="center"/>
        <w:ind w:right="33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8"/>
          </w:cols>
          <w:pgMar w:left="692" w:top="449" w:right="359" w:bottom="1440" w:gutter="0" w:footer="0" w:header="0"/>
        </w:sectPr>
      </w:pPr>
    </w:p>
    <w:bookmarkStart w:id="35" w:name="page36"/>
    <w:bookmarkEnd w:id="35"/>
    <w:p>
      <w:pPr>
        <w:ind w:right="18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OUTSTANDING EQUITY AWARDS AT FISCAL YEAR-END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Option Awards</w:t>
            </w: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589"/>
              <w:spacing w:after="0"/>
              <w:rPr>
                <w:sz w:val="20"/>
                <w:szCs w:val="20"/>
                <w:color w:val="auto"/>
              </w:rPr>
            </w:pPr>
            <w:r>
              <w:rPr>
                <w:rFonts w:ascii="Arial" w:cs="Arial" w:eastAsia="Arial" w:hAnsi="Arial"/>
                <w:sz w:val="13"/>
                <w:szCs w:val="13"/>
                <w:b w:val="1"/>
                <w:bCs w:val="1"/>
                <w:color w:val="auto"/>
              </w:rPr>
              <w:t>Stock Awards</w:t>
            </w: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60"/>
              <w:spacing w:after="0" w:line="143" w:lineRule="exact"/>
              <w:rPr>
                <w:sz w:val="20"/>
                <w:szCs w:val="20"/>
                <w:color w:val="auto"/>
              </w:rPr>
            </w:pPr>
            <w:r>
              <w:rPr>
                <w:rFonts w:ascii="Arial" w:cs="Arial" w:eastAsia="Arial" w:hAnsi="Arial"/>
                <w:sz w:val="13"/>
                <w:szCs w:val="13"/>
                <w:b w:val="1"/>
                <w:bCs w:val="1"/>
                <w:color w:val="auto"/>
              </w:rPr>
              <w:t>Equity</w:t>
            </w:r>
          </w:p>
        </w:tc>
      </w:tr>
      <w:tr>
        <w:trPr>
          <w:trHeight w:val="149"/>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Incentive</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Plan</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Awards:</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Market or</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2"/>
              </w:rPr>
              <w:t>Incentive</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Payout</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Incentive</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Plan</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Value of</w:t>
            </w:r>
          </w:p>
        </w:tc>
      </w:tr>
      <w:tr>
        <w:trPr>
          <w:trHeight w:val="149"/>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Plan</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9"/>
              <w:spacing w:after="0"/>
              <w:rPr>
                <w:sz w:val="20"/>
                <w:szCs w:val="20"/>
                <w:color w:val="auto"/>
              </w:rPr>
            </w:pPr>
            <w:r>
              <w:rPr>
                <w:rFonts w:ascii="Arial" w:cs="Arial" w:eastAsia="Arial" w:hAnsi="Arial"/>
                <w:sz w:val="13"/>
                <w:szCs w:val="13"/>
                <w:b w:val="1"/>
                <w:bCs w:val="1"/>
                <w:color w:val="auto"/>
              </w:rPr>
              <w:t>Market</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3"/>
              </w:rPr>
              <w:t>Awards:</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3"/>
              </w:rPr>
              <w:t>Unearned</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Awards: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9"/>
              <w:spacing w:after="0"/>
              <w:rPr>
                <w:sz w:val="20"/>
                <w:szCs w:val="20"/>
                <w:color w:val="auto"/>
              </w:rPr>
            </w:pPr>
            <w:r>
              <w:rPr>
                <w:rFonts w:ascii="Arial" w:cs="Arial" w:eastAsia="Arial" w:hAnsi="Arial"/>
                <w:sz w:val="13"/>
                <w:szCs w:val="13"/>
                <w:b w:val="1"/>
                <w:bCs w:val="1"/>
                <w:color w:val="auto"/>
                <w:w w:val="94"/>
              </w:rPr>
              <w:t>Value of</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Shares,</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Number of</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3"/>
              </w:rPr>
              <w:t>Shares 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87"/>
              </w:rPr>
              <w:t>Shares</w:t>
            </w:r>
          </w:p>
        </w:tc>
        <w:tc>
          <w:tcPr>
            <w:tcW w:w="124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w w:val="92"/>
              </w:rPr>
              <w:t>Unearned Shares,</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Units or</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Number of</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Securities</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4"/>
              </w:rPr>
              <w:t>Units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93"/>
              </w:rPr>
              <w:t>or Units</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Units or</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Other</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Underlying</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Stock</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of Stock</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Other</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Rights</w:t>
            </w:r>
          </w:p>
        </w:tc>
      </w:tr>
      <w:tr>
        <w:trPr>
          <w:trHeight w:val="149"/>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0"/>
              </w:rPr>
              <w:t>Unexercised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Underlying</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Unexercised</w:t>
            </w:r>
          </w:p>
        </w:tc>
        <w:tc>
          <w:tcPr>
            <w:tcW w:w="9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Option</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That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69"/>
              <w:spacing w:after="0"/>
              <w:rPr>
                <w:sz w:val="20"/>
                <w:szCs w:val="20"/>
                <w:color w:val="auto"/>
              </w:rPr>
            </w:pPr>
            <w:r>
              <w:rPr>
                <w:rFonts w:ascii="Arial" w:cs="Arial" w:eastAsia="Arial" w:hAnsi="Arial"/>
                <w:sz w:val="13"/>
                <w:szCs w:val="13"/>
                <w:b w:val="1"/>
                <w:bCs w:val="1"/>
                <w:color w:val="auto"/>
              </w:rPr>
              <w:t>That</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5"/>
              </w:rPr>
              <w:t>Rights That</w:t>
            </w:r>
          </w:p>
        </w:tc>
        <w:tc>
          <w:tcPr>
            <w:tcW w:w="460" w:type="dxa"/>
            <w:vAlign w:val="bottom"/>
          </w:tcPr>
          <w:p>
            <w:pPr>
              <w:spacing w:after="0"/>
              <w:rPr>
                <w:sz w:val="12"/>
                <w:szCs w:val="12"/>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That Have</w:t>
            </w:r>
          </w:p>
        </w:tc>
      </w:tr>
      <w:tr>
        <w:trPr>
          <w:trHeight w:val="148"/>
        </w:trPr>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Unexercised</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Unearned</w:t>
            </w:r>
          </w:p>
        </w:tc>
        <w:tc>
          <w:tcPr>
            <w:tcW w:w="9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9"/>
              </w:rPr>
              <w:t>Exercise</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Have Not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9"/>
              <w:spacing w:after="0"/>
              <w:rPr>
                <w:sz w:val="20"/>
                <w:szCs w:val="20"/>
                <w:color w:val="auto"/>
              </w:rPr>
            </w:pPr>
            <w:r>
              <w:rPr>
                <w:rFonts w:ascii="Arial" w:cs="Arial" w:eastAsia="Arial" w:hAnsi="Arial"/>
                <w:sz w:val="13"/>
                <w:szCs w:val="13"/>
                <w:b w:val="1"/>
                <w:bCs w:val="1"/>
                <w:color w:val="auto"/>
                <w:w w:val="96"/>
              </w:rPr>
              <w:t>Have</w:t>
            </w:r>
          </w:p>
        </w:tc>
        <w:tc>
          <w:tcPr>
            <w:tcW w:w="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9"/>
              </w:rPr>
              <w:t>Have Not</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Not</w:t>
            </w:r>
          </w:p>
        </w:tc>
      </w:tr>
      <w:tr>
        <w:trPr>
          <w:trHeight w:val="161"/>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Options (#)</w:t>
            </w: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Options</w:t>
            </w:r>
          </w:p>
        </w:tc>
        <w:tc>
          <w:tcPr>
            <w:tcW w:w="9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4"/>
              </w:rPr>
              <w:t>Price</w:t>
            </w: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Option Expiration</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Vested</w:t>
            </w:r>
          </w:p>
        </w:tc>
        <w:tc>
          <w:tcPr>
            <w:tcW w:w="4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Not Vested</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4"/>
              </w:rPr>
              <w:t>Vested</w:t>
            </w:r>
          </w:p>
        </w:tc>
        <w:tc>
          <w:tcPr>
            <w:tcW w:w="4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Vested</w:t>
            </w:r>
          </w:p>
        </w:tc>
      </w:tr>
      <w:tr>
        <w:trPr>
          <w:trHeight w:val="155"/>
        </w:trPr>
        <w:tc>
          <w:tcPr>
            <w:tcW w:w="15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00" w:type="dxa"/>
            <w:vAlign w:val="bottom"/>
          </w:tcPr>
          <w:p>
            <w:pPr>
              <w:spacing w:after="0"/>
              <w:rPr>
                <w:sz w:val="13"/>
                <w:szCs w:val="13"/>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Unexercisable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380" w:type="dxa"/>
            <w:vAlign w:val="bottom"/>
          </w:tcPr>
          <w:p>
            <w:pPr>
              <w:jc w:val="center"/>
              <w:ind w:left="19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jc w:val="right"/>
              <w:ind w:right="212"/>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3"/>
                <w:szCs w:val="13"/>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Date</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69"/>
              <w:spacing w:after="0"/>
              <w:rPr>
                <w:sz w:val="20"/>
                <w:szCs w:val="20"/>
                <w:color w:val="auto"/>
              </w:rPr>
            </w:pPr>
            <w:r>
              <w:rPr>
                <w:rFonts w:ascii="Arial" w:cs="Arial" w:eastAsia="Arial" w:hAnsi="Arial"/>
                <w:sz w:val="13"/>
                <w:szCs w:val="13"/>
                <w:b w:val="1"/>
                <w:bCs w:val="1"/>
                <w:color w:val="auto"/>
              </w:rPr>
              <w:t>($)(1)</w:t>
            </w:r>
          </w:p>
        </w:tc>
        <w:tc>
          <w:tcPr>
            <w:tcW w:w="1240" w:type="dxa"/>
            <w:vAlign w:val="bottom"/>
            <w:gridSpan w:val="2"/>
          </w:tcPr>
          <w:p>
            <w:pPr>
              <w:jc w:val="center"/>
              <w:ind w:left="133"/>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center"/>
              <w:ind w:left="390"/>
              <w:spacing w:after="0"/>
              <w:rPr>
                <w:sz w:val="20"/>
                <w:szCs w:val="20"/>
                <w:color w:val="auto"/>
              </w:rPr>
            </w:pPr>
            <w:r>
              <w:rPr>
                <w:rFonts w:ascii="Arial" w:cs="Arial" w:eastAsia="Arial" w:hAnsi="Arial"/>
                <w:sz w:val="13"/>
                <w:szCs w:val="13"/>
                <w:b w:val="1"/>
                <w:bCs w:val="1"/>
                <w:color w:val="auto"/>
              </w:rPr>
              <w:t>($)(1)</w:t>
            </w:r>
          </w:p>
        </w:tc>
        <w:tc>
          <w:tcPr>
            <w:tcW w:w="60" w:type="dxa"/>
            <w:vAlign w:val="bottom"/>
          </w:tcPr>
          <w:p>
            <w:pPr>
              <w:spacing w:after="0"/>
              <w:rPr>
                <w:sz w:val="13"/>
                <w:szCs w:val="13"/>
                <w:color w:val="auto"/>
              </w:rPr>
            </w:pPr>
          </w:p>
        </w:tc>
      </w:tr>
      <w:tr>
        <w:trPr>
          <w:trHeight w:val="156"/>
        </w:trPr>
        <w:tc>
          <w:tcPr>
            <w:tcW w:w="15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Harvey S. Kanter</w:t>
            </w:r>
          </w:p>
        </w:tc>
        <w:tc>
          <w:tcPr>
            <w:tcW w:w="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ind w:left="66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ind w:left="640"/>
              <w:spacing w:after="0" w:line="155"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720,000</w:t>
            </w:r>
          </w:p>
        </w:tc>
        <w:tc>
          <w:tcPr>
            <w:tcW w:w="46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6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799,200</w:t>
            </w:r>
          </w:p>
        </w:tc>
        <w:tc>
          <w:tcPr>
            <w:tcW w:w="60" w:type="dxa"/>
            <w:vAlign w:val="bottom"/>
            <w:tcBorders>
              <w:top w:val="single" w:sz="8" w:color="CFF0FC"/>
            </w:tcBorders>
            <w:shd w:val="clear" w:color="auto" w:fill="CFF0FC"/>
          </w:tcPr>
          <w:p>
            <w:pPr>
              <w:spacing w:after="0"/>
              <w:rPr>
                <w:sz w:val="13"/>
                <w:szCs w:val="13"/>
                <w:color w:val="auto"/>
              </w:rPr>
            </w:pP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240,000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266,400</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182,675</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202,769</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86"/>
        </w:trPr>
        <w:tc>
          <w:tcPr>
            <w:tcW w:w="1540" w:type="dxa"/>
            <w:vAlign w:val="bottom"/>
          </w:tcPr>
          <w:p>
            <w:pPr>
              <w:spacing w:after="0"/>
              <w:rPr>
                <w:sz w:val="20"/>
                <w:szCs w:val="20"/>
                <w:color w:val="auto"/>
              </w:rPr>
            </w:pPr>
            <w:r>
              <w:rPr>
                <w:rFonts w:ascii="Arial" w:cs="Arial" w:eastAsia="Arial" w:hAnsi="Arial"/>
                <w:sz w:val="14"/>
                <w:szCs w:val="14"/>
                <w:b w:val="1"/>
                <w:bCs w:val="1"/>
                <w:color w:val="auto"/>
              </w:rPr>
              <w:t>David A. Levin</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195,942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3/31/2020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38"/>
        </w:trPr>
        <w:tc>
          <w:tcPr>
            <w:tcW w:w="154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2"/>
        </w:trPr>
        <w:tc>
          <w:tcPr>
            <w:tcW w:w="15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Peter H. Stratton, Jr.</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3/16/2021</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33,816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21,798</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24,196</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35,509</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39,415</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40,423</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44,870</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57"/>
        </w:trPr>
        <w:tc>
          <w:tcPr>
            <w:tcW w:w="1540" w:type="dxa"/>
            <w:vAlign w:val="bottom"/>
          </w:tcPr>
          <w:p>
            <w:pPr>
              <w:spacing w:after="0" w:line="157" w:lineRule="exact"/>
              <w:rPr>
                <w:sz w:val="20"/>
                <w:szCs w:val="20"/>
                <w:color w:val="auto"/>
              </w:rPr>
            </w:pPr>
            <w:r>
              <w:rPr>
                <w:rFonts w:ascii="Arial" w:cs="Arial" w:eastAsia="Arial" w:hAnsi="Arial"/>
                <w:sz w:val="14"/>
                <w:szCs w:val="14"/>
                <w:b w:val="1"/>
                <w:bCs w:val="1"/>
                <w:color w:val="auto"/>
              </w:rPr>
              <w:t>Robert S. Molloy</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20,606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66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line="157"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3.20</w:t>
            </w:r>
          </w:p>
        </w:tc>
        <w:tc>
          <w:tcPr>
            <w:tcW w:w="22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color w:val="auto"/>
                <w:w w:val="93"/>
              </w:rPr>
              <w:t>3/19/2020</w:t>
            </w:r>
          </w:p>
        </w:tc>
        <w:tc>
          <w:tcPr>
            <w:tcW w:w="1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13,955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4.19</w:t>
            </w: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3/16/2021</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54,951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5.04</w:t>
            </w:r>
          </w:p>
        </w:tc>
        <w:tc>
          <w:tcPr>
            <w:tcW w:w="2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5/28/2023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21,184</w:t>
            </w: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23,514</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33,711</w:t>
            </w: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37,419</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2"/>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38,377</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42,598</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47"/>
        </w:trPr>
        <w:tc>
          <w:tcPr>
            <w:tcW w:w="154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15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Francis C. Chane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38,888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jc w:val="right"/>
              <w:ind w:right="230"/>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5/28/2023</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15,043</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16,698</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25,620</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28,438</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ind w:left="6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29,678</w:t>
            </w: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32,943</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57"/>
        </w:trPr>
        <w:tc>
          <w:tcPr>
            <w:tcW w:w="1540" w:type="dxa"/>
            <w:vAlign w:val="bottom"/>
          </w:tcPr>
          <w:p>
            <w:pPr>
              <w:spacing w:after="0" w:line="157" w:lineRule="exact"/>
              <w:rPr>
                <w:sz w:val="20"/>
                <w:szCs w:val="20"/>
                <w:color w:val="auto"/>
              </w:rPr>
            </w:pPr>
            <w:r>
              <w:rPr>
                <w:rFonts w:ascii="Arial" w:cs="Arial" w:eastAsia="Arial" w:hAnsi="Arial"/>
                <w:sz w:val="14"/>
                <w:szCs w:val="14"/>
                <w:b w:val="1"/>
                <w:bCs w:val="1"/>
                <w:color w:val="auto"/>
              </w:rPr>
              <w:t>Anthony J. Gaeta</w:t>
            </w:r>
          </w:p>
        </w:tc>
        <w:tc>
          <w:tcPr>
            <w:tcW w:w="12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color w:val="auto"/>
              </w:rPr>
              <w:t>18,719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ind w:left="660"/>
              <w:spacing w:after="0" w:line="157"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line="157" w:lineRule="exact"/>
              <w:rPr>
                <w:sz w:val="20"/>
                <w:szCs w:val="20"/>
                <w:color w:val="auto"/>
              </w:rPr>
            </w:pPr>
            <w:r>
              <w:rPr>
                <w:rFonts w:ascii="Arial" w:cs="Arial" w:eastAsia="Arial" w:hAnsi="Arial"/>
                <w:sz w:val="14"/>
                <w:szCs w:val="14"/>
                <w:color w:val="auto"/>
              </w:rPr>
              <w:t>—</w:t>
            </w:r>
          </w:p>
        </w:tc>
        <w:tc>
          <w:tcPr>
            <w:tcW w:w="380" w:type="dxa"/>
            <w:vAlign w:val="bottom"/>
          </w:tcPr>
          <w:p>
            <w:pPr>
              <w:jc w:val="right"/>
              <w:ind w:right="230"/>
              <w:spacing w:after="0" w:line="157"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57" w:lineRule="exact"/>
              <w:rPr>
                <w:sz w:val="20"/>
                <w:szCs w:val="20"/>
                <w:color w:val="auto"/>
              </w:rPr>
            </w:pPr>
            <w:r>
              <w:rPr>
                <w:rFonts w:ascii="Arial" w:cs="Arial" w:eastAsia="Arial" w:hAnsi="Arial"/>
                <w:sz w:val="14"/>
                <w:szCs w:val="14"/>
                <w:color w:val="auto"/>
              </w:rPr>
              <w:t>5.04</w:t>
            </w:r>
          </w:p>
        </w:tc>
        <w:tc>
          <w:tcPr>
            <w:tcW w:w="22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color w:val="auto"/>
                <w:w w:val="93"/>
              </w:rPr>
              <w:t>5/28/2023</w:t>
            </w:r>
          </w:p>
        </w:tc>
        <w:tc>
          <w:tcPr>
            <w:tcW w:w="10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7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16,778</w:t>
            </w:r>
          </w:p>
        </w:tc>
        <w:tc>
          <w:tcPr>
            <w:tcW w:w="4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18,624</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25,620</w:t>
            </w:r>
          </w:p>
        </w:tc>
        <w:tc>
          <w:tcPr>
            <w:tcW w:w="4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28,438</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2"/>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30,190</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33,511</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bl>
    <w:p>
      <w:pPr>
        <w:spacing w:after="0" w:line="214" w:lineRule="exact"/>
        <w:rPr>
          <w:sz w:val="20"/>
          <w:szCs w:val="20"/>
          <w:color w:val="auto"/>
        </w:rPr>
      </w:pPr>
    </w:p>
    <w:p>
      <w:pPr>
        <w:ind w:left="740" w:hanging="368"/>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$1.11 on January 31, 2020.</w:t>
      </w:r>
    </w:p>
    <w:p>
      <w:pPr>
        <w:spacing w:after="0" w:line="130" w:lineRule="exact"/>
        <w:rPr>
          <w:rFonts w:ascii="Arial" w:cs="Arial" w:eastAsia="Arial" w:hAnsi="Arial"/>
          <w:sz w:val="18"/>
          <w:szCs w:val="18"/>
          <w:color w:val="auto"/>
        </w:rPr>
      </w:pPr>
    </w:p>
    <w:p>
      <w:pPr>
        <w:jc w:val="both"/>
        <w:ind w:left="740" w:right="20" w:hanging="368"/>
        <w:spacing w:after="0" w:line="259"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awards represent sign-on awards to Mr. Kanter and consists of a grant of 240,000 RSUs that will vest ratably over four years, beginning on April 1, 2020 and a grant of 720,000 PSUs that will vest in installments when the following milestones are met: one-third of the PSUs vest when the trailing 90-day VWAP is $4.00, one-third of the PSUs vest when the VWAP is $6.00 and one-third when the VWAP is $8.00. All PSUs will expire on April 1, 2023 if no performance metric is achieved.</w:t>
      </w:r>
    </w:p>
    <w:p>
      <w:pPr>
        <w:spacing w:after="0" w:line="78" w:lineRule="exact"/>
        <w:rPr>
          <w:rFonts w:ascii="Arial" w:cs="Arial" w:eastAsia="Arial" w:hAnsi="Arial"/>
          <w:sz w:val="18"/>
          <w:szCs w:val="18"/>
          <w:color w:val="auto"/>
        </w:rPr>
      </w:pPr>
    </w:p>
    <w:p>
      <w:pPr>
        <w:ind w:left="740" w:right="16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August 7, 2019 in connection with our 2019-2021 LTIP. These awards vest in four equal installments on August 7, 2020, April 1, 2021, April 1, 2022 and April 1, 2023.</w:t>
      </w:r>
    </w:p>
    <w:p>
      <w:pPr>
        <w:spacing w:after="0" w:line="62"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April 3, 2017 (and an incremental award on November 27, 2017 to Mr. Gaeta related to his promotion) in connection with our 2017-2018 LTIP. These awards vested on April 1, 2020.</w:t>
      </w:r>
    </w:p>
    <w:p>
      <w:pPr>
        <w:spacing w:after="0" w:line="62"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October 24, 2018 in connection with our 2018-2020 LTIP. These awards vest in three remaining tranches on April 1, 2020, April 1, 2021 and April 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right="400"/>
        <w:spacing w:after="0" w:line="342" w:lineRule="auto"/>
        <w:rPr>
          <w:sz w:val="20"/>
          <w:szCs w:val="20"/>
          <w:color w:val="auto"/>
        </w:rPr>
      </w:pPr>
      <w:r>
        <w:rPr>
          <w:rFonts w:ascii="Arial" w:cs="Arial" w:eastAsia="Arial" w:hAnsi="Arial"/>
          <w:sz w:val="16"/>
          <w:szCs w:val="16"/>
          <w:b w:val="1"/>
          <w:bCs w:val="1"/>
          <w:i w:val="1"/>
          <w:iCs w:val="1"/>
          <w:color w:val="auto"/>
        </w:rPr>
        <w:t xml:space="preserve">Option Exercises and Stock Vested Table. </w:t>
      </w:r>
      <w:r>
        <w:rPr>
          <w:rFonts w:ascii="Arial" w:cs="Arial" w:eastAsia="Arial" w:hAnsi="Arial"/>
          <w:sz w:val="16"/>
          <w:szCs w:val="16"/>
          <w:color w:val="auto"/>
        </w:rPr>
        <w:t>The following table sets forth information for the Named Executive Officers with respect to the exercise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awards and the vesting of stock awards during fiscal 2019. No options were exercised by any Named Executive Officer in fiscal 2019.</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OPTION EXERCISES AND STOCK VESTED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280"/>
              <w:spacing w:after="0" w:line="143" w:lineRule="exact"/>
              <w:rPr>
                <w:sz w:val="20"/>
                <w:szCs w:val="20"/>
                <w:color w:val="auto"/>
              </w:rPr>
            </w:pPr>
            <w:r>
              <w:rPr>
                <w:rFonts w:ascii="Arial" w:cs="Arial" w:eastAsia="Arial" w:hAnsi="Arial"/>
                <w:sz w:val="13"/>
                <w:szCs w:val="13"/>
                <w:b w:val="1"/>
                <w:bCs w:val="1"/>
                <w:color w:val="auto"/>
                <w:w w:val="94"/>
              </w:rPr>
              <w:t>Number of shares</w:t>
            </w:r>
          </w:p>
        </w:tc>
        <w:tc>
          <w:tcPr>
            <w:tcW w:w="300" w:type="dxa"/>
            <w:vAlign w:val="bottom"/>
          </w:tcPr>
          <w:p>
            <w:pPr>
              <w:spacing w:after="0"/>
              <w:rPr>
                <w:sz w:val="12"/>
                <w:szCs w:val="12"/>
                <w:color w:val="auto"/>
              </w:rPr>
            </w:pPr>
          </w:p>
        </w:tc>
        <w:tc>
          <w:tcPr>
            <w:tcW w:w="1380" w:type="dxa"/>
            <w:vAlign w:val="bottom"/>
            <w:gridSpan w:val="2"/>
          </w:tcPr>
          <w:p>
            <w:pPr>
              <w:jc w:val="center"/>
              <w:ind w:right="440"/>
              <w:spacing w:after="0" w:line="143" w:lineRule="exact"/>
              <w:rPr>
                <w:sz w:val="20"/>
                <w:szCs w:val="20"/>
                <w:color w:val="auto"/>
              </w:rPr>
            </w:pPr>
            <w:r>
              <w:rPr>
                <w:rFonts w:ascii="Arial" w:cs="Arial" w:eastAsia="Arial" w:hAnsi="Arial"/>
                <w:sz w:val="13"/>
                <w:szCs w:val="13"/>
                <w:b w:val="1"/>
                <w:bCs w:val="1"/>
                <w:color w:val="auto"/>
                <w:w w:val="94"/>
              </w:rPr>
              <w:t>Value Realized</w:t>
            </w:r>
          </w:p>
        </w:tc>
      </w:tr>
      <w:tr>
        <w:trPr>
          <w:trHeight w:val="148"/>
        </w:trPr>
        <w:tc>
          <w:tcPr>
            <w:tcW w:w="7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Vested (1)</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0"/>
              </w:rPr>
              <w:t>on Vesting</w:t>
            </w:r>
          </w:p>
        </w:tc>
      </w:tr>
      <w:tr>
        <w:trPr>
          <w:trHeight w:val="161"/>
        </w:trPr>
        <w:tc>
          <w:tcPr>
            <w:tcW w:w="772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center"/>
              <w:ind w:right="236"/>
              <w:spacing w:after="0"/>
              <w:rPr>
                <w:sz w:val="20"/>
                <w:szCs w:val="20"/>
                <w:color w:val="auto"/>
              </w:rPr>
            </w:pPr>
            <w:r>
              <w:rPr>
                <w:rFonts w:ascii="Arial" w:cs="Arial" w:eastAsia="Arial" w:hAnsi="Arial"/>
                <w:sz w:val="13"/>
                <w:szCs w:val="13"/>
                <w:b w:val="1"/>
                <w:bCs w:val="1"/>
                <w:color w:val="auto"/>
                <w:w w:val="95"/>
              </w:rPr>
              <w:t>($) (2)</w:t>
            </w:r>
          </w:p>
        </w:tc>
        <w:tc>
          <w:tcPr>
            <w:tcW w:w="120" w:type="dxa"/>
            <w:vAlign w:val="bottom"/>
          </w:tcPr>
          <w:p>
            <w:pPr>
              <w:spacing w:after="0"/>
              <w:rPr>
                <w:sz w:val="14"/>
                <w:szCs w:val="14"/>
                <w:color w:val="auto"/>
              </w:rPr>
            </w:pPr>
          </w:p>
        </w:tc>
      </w:tr>
      <w:tr>
        <w:trPr>
          <w:trHeight w:val="223"/>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560" w:type="dxa"/>
            <w:vAlign w:val="bottom"/>
          </w:tcPr>
          <w:p>
            <w:pPr>
              <w:jc w:val="right"/>
              <w:spacing w:after="0"/>
              <w:rPr>
                <w:sz w:val="20"/>
                <w:szCs w:val="20"/>
                <w:color w:val="auto"/>
              </w:rPr>
            </w:pPr>
            <w:r>
              <w:rPr>
                <w:rFonts w:ascii="Arial" w:cs="Arial" w:eastAsia="Arial" w:hAnsi="Arial"/>
                <w:sz w:val="18"/>
                <w:szCs w:val="18"/>
                <w:color w:val="auto"/>
              </w:rPr>
              <w:t>361,573</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601,756</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120,788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1560" w:type="dxa"/>
            <w:vAlign w:val="bottom"/>
          </w:tcPr>
          <w:p>
            <w:pPr>
              <w:jc w:val="right"/>
              <w:spacing w:after="0"/>
              <w:rPr>
                <w:sz w:val="20"/>
                <w:szCs w:val="20"/>
                <w:color w:val="auto"/>
              </w:rPr>
            </w:pPr>
            <w:r>
              <w:rPr>
                <w:rFonts w:ascii="Arial" w:cs="Arial" w:eastAsia="Arial" w:hAnsi="Arial"/>
                <w:sz w:val="18"/>
                <w:szCs w:val="18"/>
                <w:color w:val="auto"/>
              </w:rPr>
              <w:t>56,003</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116,331</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83,938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Anthony J. Gaeta</w:t>
            </w:r>
          </w:p>
        </w:tc>
        <w:tc>
          <w:tcPr>
            <w:tcW w:w="1560" w:type="dxa"/>
            <w:vAlign w:val="bottom"/>
          </w:tcPr>
          <w:p>
            <w:pPr>
              <w:jc w:val="right"/>
              <w:spacing w:after="0"/>
              <w:rPr>
                <w:sz w:val="20"/>
                <w:szCs w:val="20"/>
                <w:color w:val="auto"/>
              </w:rPr>
            </w:pPr>
            <w:r>
              <w:rPr>
                <w:rFonts w:ascii="Arial" w:cs="Arial" w:eastAsia="Arial" w:hAnsi="Arial"/>
                <w:sz w:val="18"/>
                <w:szCs w:val="18"/>
                <w:color w:val="auto"/>
              </w:rPr>
              <w:t>37,157</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76,348</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170,907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James S. Davey</w:t>
            </w:r>
          </w:p>
        </w:tc>
        <w:tc>
          <w:tcPr>
            <w:tcW w:w="1560" w:type="dxa"/>
            <w:vAlign w:val="bottom"/>
          </w:tcPr>
          <w:p>
            <w:pPr>
              <w:jc w:val="right"/>
              <w:spacing w:after="0"/>
              <w:rPr>
                <w:sz w:val="20"/>
                <w:szCs w:val="20"/>
                <w:color w:val="auto"/>
              </w:rPr>
            </w:pPr>
            <w:r>
              <w:rPr>
                <w:rFonts w:ascii="Arial" w:cs="Arial" w:eastAsia="Arial" w:hAnsi="Arial"/>
                <w:sz w:val="18"/>
                <w:szCs w:val="18"/>
                <w:color w:val="auto"/>
              </w:rPr>
              <w:t>72,307</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150,560</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ind w:left="740" w:hanging="368"/>
        <w:spacing w:after="0"/>
        <w:tabs>
          <w:tab w:leader="none" w:pos="7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stock awards that vested during fiscal 2019 include awards granted under the 2016-2017 LTIP, 2017-2018 LTIP and 2018-2020 LTIP.</w:t>
      </w:r>
    </w:p>
    <w:p>
      <w:pPr>
        <w:spacing w:after="0" w:line="128" w:lineRule="exact"/>
        <w:rPr>
          <w:rFonts w:ascii="Arial" w:cs="Arial" w:eastAsia="Arial" w:hAnsi="Arial"/>
          <w:sz w:val="17"/>
          <w:szCs w:val="17"/>
          <w:color w:val="auto"/>
        </w:rPr>
      </w:pPr>
    </w:p>
    <w:p>
      <w:pPr>
        <w:ind w:left="740" w:right="200" w:hanging="368"/>
        <w:spacing w:after="0" w:line="311" w:lineRule="auto"/>
        <w:tabs>
          <w:tab w:leader="none" w:pos="7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w:t>
      </w:r>
      <w:r>
        <w:rPr>
          <w:rFonts w:ascii="Arial" w:cs="Arial" w:eastAsia="Arial" w:hAnsi="Arial"/>
          <w:sz w:val="18"/>
          <w:szCs w:val="18"/>
          <w:i w:val="1"/>
          <w:iCs w:val="1"/>
          <w:color w:val="auto"/>
        </w:rPr>
        <w:t>All Other Compensation</w:t>
      </w:r>
      <w:r>
        <w:rPr>
          <w:rFonts w:ascii="Arial" w:cs="Arial" w:eastAsia="Arial" w:hAnsi="Arial"/>
          <w:sz w:val="18"/>
          <w:szCs w:val="18"/>
          <w:color w:val="auto"/>
        </w:rPr>
        <w:t>” table. In May 2018, in connection with our cost reduction initiatives, employer contributions to the 401(k) Plan were suspended, effective July 1, 2018 until December 31, 2019. As a result, there were no employer contributions in fiscal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had a key man life insurance policy on the life of Mr. Levin in the amount of $2,000,000 until January 15,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 (JMI)</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Seymour Holtzman currently serves as a member of the Board. Mr. Holtzman served as the Company’s Executive Chairman of the Board from August 2014 through January 2019, and as it Chairman of the Board from April 2000 to August 2014. Mr. Holtzman is the chairman, chief executive officer and president and, together with his wife, indirectly, the majority shareholder of Jewelcor Management, Inc. (“JMI”).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160"/>
        <w:spacing w:after="0" w:line="273" w:lineRule="auto"/>
        <w:rPr>
          <w:sz w:val="20"/>
          <w:szCs w:val="20"/>
          <w:color w:val="auto"/>
        </w:rPr>
      </w:pPr>
      <w:r>
        <w:rPr>
          <w:rFonts w:ascii="Arial" w:cs="Arial" w:eastAsia="Arial" w:hAnsi="Arial"/>
          <w:sz w:val="17"/>
          <w:szCs w:val="17"/>
          <w:color w:val="auto"/>
        </w:rPr>
        <w:t>Mr. Holtzman currently receives compensation pursuant to an Employment and Chairman Compensation Agreement entered into in August 2014, most recently amended in August 2018 (as amended, the “Compensation Agreement”). Pursuant to the terms of the Compensation Agreement, Mr. Holtzman was receiving an annual compensation of $200,000 for his services as Executive Chairman and $24,000 for his services as an employee of the Company, reporting to the Board. Effective August 9, 2018, the Compensation Agreement was further amended to reduce his annual compensation as Executive Chairman to $176,000 and to provide written notification to Mr. Holtzman that the Company would not be extending the term of the Compensation Agreement and, as a result, the Compensation Agreement will terminate on August 7, 2020.</w:t>
      </w:r>
    </w:p>
    <w:p>
      <w:pPr>
        <w:spacing w:after="0" w:line="178"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On January 24, 2019, the Board voted to adopt an independent Board chairperson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complete summary of all compensation and consulting fees paid to Mr. Holtzman is described above under “</w:t>
      </w:r>
      <w:r>
        <w:rPr>
          <w:rFonts w:ascii="Arial" w:cs="Arial" w:eastAsia="Arial" w:hAnsi="Arial"/>
          <w:sz w:val="18"/>
          <w:szCs w:val="18"/>
          <w:i w:val="1"/>
          <w:iCs w:val="1"/>
          <w:color w:val="auto"/>
        </w:rPr>
        <w:t>Director Compensation- Former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Chairman Compensation.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its charter, the Audit Committee reviews all related party transactions on an ongoing basis and, to the extent required by the Sarbanes−Oxley Act of 2002, the SEC or Nasdaq, all such transactions must be approved by the Audit Committee except as otherwise delegated by the Audit Committee to another independent body of the Board.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 required under the Dodd-Frank Act, and in accordance with the recommendation by our Board and approval by our stockholders in 2017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 to ensure that the compensation paid to our Named Executive Officers, as well as the structure of our incentive programs, is consistent with that of our identified peers.</w:t>
      </w:r>
    </w:p>
    <w:p>
      <w:pPr>
        <w:spacing w:after="0" w:line="19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section of this Proxy Statement, including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provides a summary of our financial performance in fiscal 2019 and describes our executive compensation programs and the decisions made by the Compensation Committee with respect to compensation for fiscal 2019. We encourage you to read our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for a complete discussion of our executive compensation program, including detailed information about the fiscal 2019 compensation of our Named Executive Officers.</w:t>
      </w:r>
    </w:p>
    <w:p>
      <w:pPr>
        <w:spacing w:after="0" w:line="157"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executive officers. The affirmative vote of a majority of the shares of common stock properly cast at the Annual Meeting, in person or by proxy, is necessary to approve this proposal. Accordingly, we ask our stockholders to vote on the following resolution at the Annual Meeting:</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8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approval of the compensation of our Named Executive Officers as disclosed in this Proxy Statement.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AMENDMENT TO THE COMPANY’S CERTIFICATE OF INCORPORATION TO EFFECT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REVERSE STOCK SPLIT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June 2020, our Board approved, and is recommending that our stockholders approve, an amendment (the “Amendment”) to our Restated Certificate of Incorporation, as amended (our “Certificate of Incorporation”), to effect a reverse stock split of our issued and outstanding common stock at a ratio of not less than 1-for-2 and not more than 1-for-15, such ratio, and the implementation and timing of such reverse stock split, to be determined in the sole discretion of the Company's Board of Directors (the “Reverse Stock Split”).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approved by our stockholders, the final decision of whether to proceed with the Reverse Stock Split and the effective time of the Reverse Stock Split will be determined by our Board in its sole discretion. Even if approved by our stockholders, the Board may elect, in its sole discretion, to abandon the proposed Amendment and not effect the Reverse Stock Split.</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The Amendment to effect the Reverse Stock Split, if any, will include the split ratio fixed by our Board, within the range approved by our stockholders at the Annual Meeting. The ratio, if any, selected by our Board for the Reverse Stock Split would be publicly disclosed by us to stockholders on or before the date on which the Amendment reflecting the Reverse Stock Split is filed with the Secretary of State of the State of Delaware. The text of the proposed Amendment is included as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Upon the effectiveness of the Amendment, all issued and outstanding shares of our common stock and treasury shares will be reclassified and converted into a lesser number of shares, such that one share of our common stock will be issued for a specified number of shares within the approved Reverse Stock Split range.</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If this Proposal 3 is approved by our stockholders at the Annual Meeting, no further approval or authorization of our stockholders will be required to effect the Reverse Stock Split. If our Board of Directors does not effect the Reverse Stock Split during the 12-month period following the Annual Meeting, any authority granted to our Board of Directors by our stockholders pursuant to this Proposal 3 will terminate.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Reasons We Are Seeking Approval of the Reverse Stock Split</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common stock is publicly traded and listed on The Nasdaq Global Select Market tier of The Nasdaq Stock Market (“Nasdaq”) under the symbol “DXLG.” Nasdaq has continued listing standards that that we must maintain to avoid delisting, including, among others, a minimum bid price requirement of $1.00 per share (the “Minimum Bid Price Requirement”). On April 9, 2020, we received a letter from the Listing Qualifications staff of Nasdaq notifying us that, based upon the closing bid price of our common stock for the last 30 consecutive trading days, we were not in compliance with the Minimum Bid Price Requirement. At that time, we were granted a 180 calendar-day grace period to regain compliance with the Minimum Bid Price Requirement. On April 17, 2020, we received a follow-up letter from the Listing Qualifications staff notifying us that Nasdaq had determined to toll all compliance periods through June 30, 2020. Accordingly, the Company’s 180 calendar-day grace period to regain compliance with the Minimum Bid Price Requirement was extended to December 21, 2020. If we are unable to regain compliance during the initial grace period, we may be eligible for an additional 180-day period to regain compliance if we meet certain requirements, including providing written notice to Nasdaq of our intent to cure the deficiency during this second grace period, if necessary, by effecting a reverse stock split.</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Our primary reason in seeking stockholder approval for this Reverse Stock Split is to provide the Board the ability, if necessary, to increase the price of our common stock in order to meet the Minimum Bid Price Requirement for continued listing of our common stock on Nasdaq should we be unable to regain compliance during the initial grace period or any additional grace period provided by Nasdaq. A Reverse Stock Split may also make our common stock more attractive to a broader range of investors </w:t>
      </w:r>
      <w:r>
        <w:rPr>
          <w:rFonts w:ascii="Arial" w:cs="Arial" w:eastAsia="Arial" w:hAnsi="Arial"/>
          <w:sz w:val="18"/>
          <w:szCs w:val="18"/>
          <w:color w:val="212121"/>
        </w:rPr>
        <w:t>who may prefer to invest in shares that trade at higher share prices</w:t>
      </w:r>
      <w:r>
        <w:rPr>
          <w:rFonts w:ascii="Arial" w:cs="Arial" w:eastAsia="Arial" w:hAnsi="Arial"/>
          <w:sz w:val="18"/>
          <w:szCs w:val="18"/>
          <w:color w:val="auto"/>
        </w:rPr>
        <w:t xml:space="preserve"> and, therefore, potentially increase the trading volume and liquidity of our common stock. Accordingly, we believe that authority granted to our Board to effect the Reverse Stock Split is in the best interests of the Company and our stockholders.</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evaluating the Reverse Stock Split, our Board took into consideration a number of positive and negative factors commonly associated with reverse stock splits, including those discussed below under </w:t>
      </w:r>
      <w:r>
        <w:rPr>
          <w:rFonts w:ascii="Arial" w:cs="Arial" w:eastAsia="Arial" w:hAnsi="Arial"/>
          <w:sz w:val="18"/>
          <w:szCs w:val="18"/>
          <w:i w:val="1"/>
          <w:iCs w:val="1"/>
          <w:color w:val="auto"/>
        </w:rPr>
        <w:t>Certain Risks and Potential Disadvantages Associated with the Reverse Stock Split</w:t>
      </w:r>
      <w:r>
        <w:rPr>
          <w:rFonts w:ascii="Arial" w:cs="Arial" w:eastAsia="Arial" w:hAnsi="Arial"/>
          <w:sz w:val="18"/>
          <w:szCs w:val="18"/>
          <w:color w:val="auto"/>
        </w:rPr>
        <w:t>. Our Board determined, however, that the potential negative factors were significantly outweighed by the potential benefits, and believes that the increase of the per share market price of our common stock that may result from the Reverse Stock Split may allow us to maintain the listing of our common stock on The Nasdaq Global Select Market or another tier of Nasdaq, such as The Nasdaq Capital Market tier, encourage greater interest in our common stock from market participants, and enhance the marketability of our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right="200"/>
        <w:spacing w:after="0" w:line="296" w:lineRule="auto"/>
        <w:rPr>
          <w:sz w:val="20"/>
          <w:szCs w:val="20"/>
          <w:color w:val="auto"/>
        </w:rPr>
      </w:pPr>
      <w:r>
        <w:rPr>
          <w:rFonts w:ascii="Arial" w:cs="Arial" w:eastAsia="Arial" w:hAnsi="Arial"/>
          <w:sz w:val="16"/>
          <w:szCs w:val="16"/>
          <w:color w:val="auto"/>
        </w:rPr>
        <w:t>Reducing the number of issued and outstanding shares of our common stock through the Reverse Stock Split is intended, absent other factors, to increase the per share market price of our common stock. However, other factors, such as our financial results, the impact of the COVID-19 pandemic on our business and the U.S. and global economies, market conditions and the market perception of our business may adversely affect the market price of our common stock. In addition, the Reverse Stock Split will result in additional authorized and unissued shares becoming available for general corporate purposes as the Board may determine from time to time, including for use under the Company's equity compensation plans.</w:t>
      </w:r>
    </w:p>
    <w:p>
      <w:pPr>
        <w:spacing w:after="0" w:line="16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a result, there can be no assurance that the Reverse Stock Split, if completed, will result in the intended benefits described above, that the market price of our common stock will increase following the Reverse Stock Split, that the market price of our common stock will not decrease in the future, or that our common stock will achieve a high enough price per share to permit its continued listing on Nasdaq.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Potential Disadvantages Associated with the Reverse Stock Split</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Before voting on this proposal, you should consider the following risks and potential disadvantages associated with the implementation of the Reverse Stock Split.</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There can be no assurance that the per share market price of our common stock following the Reverse Stock Split will remain unchanged or increase in proportion to the reduction in the number of shares of our common stock issued and outstanding before the Reverse Stock Split.</w:t>
      </w:r>
    </w:p>
    <w:p>
      <w:pPr>
        <w:spacing w:after="0" w:line="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There can be no assurance that the market price per share of our common stock after the Reverse Stock Split will be unchanged or increase in proportion to the reduction in the number of shares of our common stock issued and outstanding before the Reverse Stock Split. For example, based on the closing price of our common stock on June 19, 2020, of $[0.53] per share, if our Board were to implement the Reverse Stock Split and utilize a ratio of 1-for-10 shares, the per share price of our common stock immediately after giving effect to the Reverse Stock Split would be $[5.30]. We cannot assure you that our common stock will continue to trade at that per share price following the Reverse Stock Split, and the per share price may fluctuate and potentially decline after the Reverse Stock Split.</w:t>
      </w:r>
    </w:p>
    <w:p>
      <w:pPr>
        <w:spacing w:after="0" w:line="192"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If the Reverse Stock Split is approved and effected, the resulting per-share market price may not attract institutional investors or investment funds and may not satisfy the investing guidelines of such investors and, consequently, the trading liquidity of our common stock may not improve.</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our Board believes that a higher stock price may help generate investor interest, there can be no assurance that the Reverse Stock Split will result in a per-share market price that will attract institutional investors or investment funds or that such share price will satisfy the investing guidelines of institutional investors or investment funds. As a result, the trading liquidity of our common stock may not necessarily improve.</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Reverse Stock Split will have the effect of increasing the number of authorized and unissued shares of our common stock, which may have a dilutive effect on our earnings per share, voting power and other interests of existing stockholders.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Reverse Stock Split will not apply to the number of authorized shares available for issuance under our Certificate of Incorporation. Therefore, because the number of issued and outstanding shares of common stock will decrease as a result of the Reverse Stock Split it will have the effect of increasing the number of authorized shares available for issuance. Future issuances of common stock may, depending on the circumstances, have a dilutive effect on the earnings per share, voting power and other interests of our existing stockholders. For example, we may use the additional authorized but unissued shares to restructure existing indebtedness, raise additional capital through equity financing, enter into strategic partnerships, or sell securities convertible into or exercisable for our common stock, any of which may result in substantial dilution to our existing stockholders.</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Reverse Stock Split may result in some stockholders owning “odd lots” that may be more difficult to sell or require greater transaction costs per share to sell.</w:t>
      </w:r>
    </w:p>
    <w:p>
      <w:pPr>
        <w:spacing w:after="0" w:line="6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reduced number of issued shares of common stock resulting from the Reverse Stock Split could adversely affect the liquidity of our common stock.</w:t>
      </w:r>
    </w:p>
    <w:p>
      <w:pPr>
        <w:spacing w:after="0" w:line="1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Although our Board believes that the decrease in the number of shares of common stock issued as a consequence of the Reverse Stock Split and the anticipated increase in the market price of our common stock could encourage interest in our common stock and possibly promote greater liquidity for our stockholders, such liquidity could also be adversely affected by the reduced number of shares issued after the Reverse Stock Split.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Potential Anti-Takeover Effect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 rules require disclosure and discussion of the effects of any proposal that could be used as an anti-takeover device. This proposal, if adopted and implemented, will result in a relative increase in the number of authorized but unissued shares of our common stock vis-à-vis the outstanding shares of our common stock and could, under certain circumstances, have an anti-takeover effect, although that is not the purpose or intent of the proposal. A relative increase in the number of authorized but unissued shares of common stock could have other effects on our stockholders, depending upon the exact nature and circumstances of any actual issuances of authorized shares. A relative increase in our authorized but unissued shares of common stock could potentially deter takeovers, including takeovers that our Board determines are not in the best interest of our stockholders, in that additional shares could be issued (within the limits imposed by applicable law) in one or more transactions that could make a change in control or takeover more difficult. Our Board is not aware of any attempt to take control of our business and has not considered the Reverse Stock Split to be a tool to be utilized as a type of anti-takeover device. We currently have no plans, proposals or arrangements to issue any shares of common stock that would become newly available for issuance as a result of the Reverse Stock Split.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Outstanding Common Stock; Procedure for Effecting the Reverse Stock Split</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If our stockholders approve the Reverse Stock Split, and if our Board elects to proceed with the Reverse Stock Split, our Board will determine the ratio of the Reverse Stock Split to be implemented within the range approved by our stockholders, and we will file the Amendment with the Secretary of State of the State of Delaware reflecting the designated ratio.</w:t>
      </w:r>
    </w:p>
    <w:p>
      <w:pPr>
        <w:spacing w:after="0" w:line="1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table below illustrates a range of the possible Reverse Stock Split ratios with the implied number of issued and outstanding shares of Common Stock resulting from the Reverse Stock Split, based on [51,078,020] shares of our Common Stock issued and outstanding as of June 19, 2020: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w w:val="94"/>
              </w:rPr>
              <w:t>Prior to Reverse Stock Split</w:t>
            </w:r>
          </w:p>
        </w:tc>
        <w:tc>
          <w:tcPr>
            <w:tcW w:w="1340" w:type="dxa"/>
            <w:vAlign w:val="bottom"/>
          </w:tcPr>
          <w:p>
            <w:pPr>
              <w:spacing w:after="0"/>
              <w:rPr>
                <w:sz w:val="19"/>
                <w:szCs w:val="19"/>
                <w:color w:val="auto"/>
              </w:rPr>
            </w:pPr>
          </w:p>
        </w:tc>
        <w:tc>
          <w:tcPr>
            <w:tcW w:w="4560" w:type="dxa"/>
            <w:vAlign w:val="bottom"/>
            <w:gridSpan w:val="5"/>
          </w:tcPr>
          <w:p>
            <w:pPr>
              <w:ind w:left="880"/>
              <w:spacing w:after="0"/>
              <w:rPr>
                <w:sz w:val="20"/>
                <w:szCs w:val="20"/>
                <w:color w:val="auto"/>
              </w:rPr>
            </w:pPr>
            <w:r>
              <w:rPr>
                <w:rFonts w:ascii="Arial" w:cs="Arial" w:eastAsia="Arial" w:hAnsi="Arial"/>
                <w:sz w:val="18"/>
                <w:szCs w:val="18"/>
                <w:color w:val="auto"/>
              </w:rPr>
              <w:t>Immediately After Reverse Stock Split</w:t>
            </w:r>
          </w:p>
        </w:tc>
      </w:tr>
      <w:tr>
        <w:trPr>
          <w:trHeight w:val="216"/>
        </w:trPr>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93"/>
              </w:rPr>
              <w:t>Closing</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93"/>
              </w:rPr>
              <w:t>Closing</w:t>
            </w:r>
          </w:p>
        </w:tc>
        <w:tc>
          <w:tcPr>
            <w:tcW w:w="12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Stock Price</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2"/>
              </w:rPr>
              <w:t>Stock Price</w:t>
            </w:r>
          </w:p>
        </w:tc>
        <w:tc>
          <w:tcPr>
            <w:tcW w:w="12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Shares, Net of</w:t>
            </w:r>
          </w:p>
        </w:tc>
        <w:tc>
          <w:tcPr>
            <w:tcW w:w="220" w:type="dxa"/>
            <w:vAlign w:val="bottom"/>
          </w:tcPr>
          <w:p>
            <w:pPr>
              <w:spacing w:after="0"/>
              <w:rPr>
                <w:sz w:val="18"/>
                <w:szCs w:val="18"/>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color w:val="auto"/>
                <w:w w:val="92"/>
              </w:rPr>
              <w:t>at</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Shares, Net of</w:t>
            </w:r>
          </w:p>
        </w:tc>
        <w:tc>
          <w:tcPr>
            <w:tcW w:w="18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79"/>
              </w:rPr>
              <w:t>at</w:t>
            </w:r>
          </w:p>
        </w:tc>
        <w:tc>
          <w:tcPr>
            <w:tcW w:w="1220" w:type="dxa"/>
            <w:vAlign w:val="bottom"/>
          </w:tcPr>
          <w:p>
            <w:pPr>
              <w:spacing w:after="0"/>
              <w:rPr>
                <w:sz w:val="18"/>
                <w:szCs w:val="18"/>
                <w:color w:val="auto"/>
              </w:rPr>
            </w:pPr>
          </w:p>
        </w:tc>
      </w:tr>
      <w:tr>
        <w:trPr>
          <w:trHeight w:val="216"/>
        </w:trPr>
        <w:tc>
          <w:tcPr>
            <w:tcW w:w="1680" w:type="dxa"/>
            <w:vAlign w:val="bottom"/>
          </w:tcPr>
          <w:p>
            <w:pPr>
              <w:spacing w:after="0"/>
              <w:rPr>
                <w:sz w:val="18"/>
                <w:szCs w:val="18"/>
                <w:color w:val="auto"/>
              </w:rPr>
            </w:pPr>
          </w:p>
        </w:tc>
        <w:tc>
          <w:tcPr>
            <w:tcW w:w="1380" w:type="dxa"/>
            <w:vAlign w:val="bottom"/>
          </w:tcPr>
          <w:p>
            <w:pPr>
              <w:ind w:left="420"/>
              <w:spacing w:after="0"/>
              <w:rPr>
                <w:sz w:val="20"/>
                <w:szCs w:val="20"/>
                <w:color w:val="auto"/>
              </w:rPr>
            </w:pPr>
            <w:r>
              <w:rPr>
                <w:rFonts w:ascii="Arial" w:cs="Arial" w:eastAsia="Arial" w:hAnsi="Arial"/>
                <w:sz w:val="18"/>
                <w:szCs w:val="18"/>
                <w:color w:val="auto"/>
              </w:rPr>
              <w:t>Authorized</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Treasury</w:t>
            </w:r>
          </w:p>
        </w:tc>
        <w:tc>
          <w:tcPr>
            <w:tcW w:w="22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86"/>
              </w:rPr>
              <w:t>June 19,</w:t>
            </w:r>
          </w:p>
        </w:tc>
        <w:tc>
          <w:tcPr>
            <w:tcW w:w="134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Arial" w:cs="Arial" w:eastAsia="Arial" w:hAnsi="Arial"/>
                <w:sz w:val="18"/>
                <w:szCs w:val="18"/>
                <w:color w:val="auto"/>
              </w:rPr>
              <w:t>Authorized</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Treasury</w:t>
            </w:r>
          </w:p>
        </w:tc>
        <w:tc>
          <w:tcPr>
            <w:tcW w:w="18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86"/>
              </w:rPr>
              <w:t>June 19,</w:t>
            </w:r>
          </w:p>
        </w:tc>
        <w:tc>
          <w:tcPr>
            <w:tcW w:w="1220" w:type="dxa"/>
            <w:vAlign w:val="bottom"/>
          </w:tcPr>
          <w:p>
            <w:pPr>
              <w:spacing w:after="0"/>
              <w:rPr>
                <w:sz w:val="18"/>
                <w:szCs w:val="18"/>
                <w:color w:val="auto"/>
              </w:rPr>
            </w:pPr>
          </w:p>
        </w:tc>
      </w:tr>
      <w:tr>
        <w:trPr>
          <w:trHeight w:val="230"/>
        </w:trPr>
        <w:tc>
          <w:tcPr>
            <w:tcW w:w="1680" w:type="dxa"/>
            <w:vAlign w:val="bottom"/>
          </w:tcPr>
          <w:p>
            <w:pPr>
              <w:jc w:val="right"/>
              <w:ind w:right="410"/>
              <w:spacing w:after="0"/>
              <w:rPr>
                <w:sz w:val="20"/>
                <w:szCs w:val="20"/>
                <w:color w:val="auto"/>
              </w:rPr>
            </w:pPr>
            <w:r>
              <w:rPr>
                <w:rFonts w:ascii="Arial" w:cs="Arial" w:eastAsia="Arial" w:hAnsi="Arial"/>
                <w:sz w:val="18"/>
                <w:szCs w:val="18"/>
                <w:color w:val="auto"/>
                <w:w w:val="93"/>
              </w:rPr>
              <w:t>Proposed Ratio</w:t>
            </w:r>
          </w:p>
        </w:tc>
        <w:tc>
          <w:tcPr>
            <w:tcW w:w="1380" w:type="dxa"/>
            <w:vAlign w:val="bottom"/>
          </w:tcPr>
          <w:p>
            <w:pPr>
              <w:ind w:left="580"/>
              <w:spacing w:after="0"/>
              <w:rPr>
                <w:sz w:val="20"/>
                <w:szCs w:val="20"/>
                <w:color w:val="auto"/>
              </w:rPr>
            </w:pPr>
            <w:r>
              <w:rPr>
                <w:rFonts w:ascii="Arial" w:cs="Arial" w:eastAsia="Arial" w:hAnsi="Arial"/>
                <w:sz w:val="18"/>
                <w:szCs w:val="18"/>
                <w:color w:val="auto"/>
              </w:rPr>
              <w:t>Shares</w:t>
            </w: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color w:val="auto"/>
                <w:w w:val="89"/>
              </w:rPr>
              <w:t>2020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92"/>
              </w:rPr>
              <w:t>Market Value</w:t>
            </w:r>
          </w:p>
        </w:tc>
        <w:tc>
          <w:tcPr>
            <w:tcW w:w="1180" w:type="dxa"/>
            <w:vAlign w:val="bottom"/>
          </w:tcPr>
          <w:p>
            <w:pPr>
              <w:ind w:left="380"/>
              <w:spacing w:after="0"/>
              <w:rPr>
                <w:sz w:val="20"/>
                <w:szCs w:val="20"/>
                <w:color w:val="auto"/>
              </w:rPr>
            </w:pPr>
            <w:r>
              <w:rPr>
                <w:rFonts w:ascii="Arial" w:cs="Arial" w:eastAsia="Arial" w:hAnsi="Arial"/>
                <w:sz w:val="18"/>
                <w:szCs w:val="18"/>
                <w:color w:val="auto"/>
              </w:rPr>
              <w:t>Shares</w:t>
            </w: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80" w:type="dxa"/>
            <w:vAlign w:val="bottom"/>
          </w:tcPr>
          <w:p>
            <w:pPr>
              <w:spacing w:after="0"/>
              <w:rPr>
                <w:sz w:val="20"/>
                <w:szCs w:val="20"/>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Market Value</w:t>
            </w:r>
          </w:p>
        </w:tc>
      </w:tr>
      <w:tr>
        <w:trPr>
          <w:trHeight w:val="243"/>
        </w:trPr>
        <w:tc>
          <w:tcPr>
            <w:tcW w:w="16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2:1</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3"/>
              </w:rPr>
              <w:t>100,000,000</w:t>
            </w:r>
          </w:p>
        </w:tc>
        <w:tc>
          <w:tcPr>
            <w:tcW w:w="11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5"/>
              </w:rPr>
              <w:t>[51,078,020]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34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3"/>
              </w:rPr>
              <w:t>$ [27,071,351]</w:t>
            </w:r>
          </w:p>
        </w:tc>
        <w:tc>
          <w:tcPr>
            <w:tcW w:w="11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3"/>
              </w:rPr>
              <w:t>100,000,000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[25,539,010]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$[27,071,351]</w:t>
            </w:r>
          </w:p>
        </w:tc>
      </w:tr>
      <w:tr>
        <w:trPr>
          <w:trHeight w:val="229"/>
        </w:trPr>
        <w:tc>
          <w:tcPr>
            <w:tcW w:w="1680" w:type="dxa"/>
            <w:vAlign w:val="bottom"/>
          </w:tcPr>
          <w:p>
            <w:pPr>
              <w:jc w:val="right"/>
              <w:ind w:right="330"/>
              <w:spacing w:after="0"/>
              <w:rPr>
                <w:sz w:val="20"/>
                <w:szCs w:val="20"/>
                <w:color w:val="auto"/>
              </w:rPr>
            </w:pPr>
            <w:r>
              <w:rPr>
                <w:rFonts w:ascii="Arial" w:cs="Arial" w:eastAsia="Arial" w:hAnsi="Arial"/>
                <w:sz w:val="18"/>
                <w:szCs w:val="18"/>
                <w:color w:val="auto"/>
              </w:rPr>
              <w:t>5:1</w:t>
            </w:r>
          </w:p>
        </w:tc>
        <w:tc>
          <w:tcPr>
            <w:tcW w:w="1380" w:type="dxa"/>
            <w:vAlign w:val="bottom"/>
          </w:tcPr>
          <w:p>
            <w:pPr>
              <w:ind w:left="420"/>
              <w:spacing w:after="0"/>
              <w:rPr>
                <w:sz w:val="20"/>
                <w:szCs w:val="20"/>
                <w:color w:val="auto"/>
              </w:rPr>
            </w:pPr>
            <w:r>
              <w:rPr>
                <w:rFonts w:ascii="Arial" w:cs="Arial" w:eastAsia="Arial" w:hAnsi="Arial"/>
                <w:sz w:val="18"/>
                <w:szCs w:val="18"/>
                <w:color w:val="auto"/>
                <w:w w:val="93"/>
              </w:rPr>
              <w:t>100,000,000</w:t>
            </w:r>
          </w:p>
        </w:tc>
        <w:tc>
          <w:tcPr>
            <w:tcW w:w="1160" w:type="dxa"/>
            <w:vAlign w:val="bottom"/>
          </w:tcPr>
          <w:p>
            <w:pPr>
              <w:ind w:left="180"/>
              <w:spacing w:after="0"/>
              <w:rPr>
                <w:sz w:val="20"/>
                <w:szCs w:val="20"/>
                <w:color w:val="auto"/>
              </w:rPr>
            </w:pPr>
            <w:r>
              <w:rPr>
                <w:rFonts w:ascii="Arial" w:cs="Arial" w:eastAsia="Arial" w:hAnsi="Arial"/>
                <w:sz w:val="18"/>
                <w:szCs w:val="18"/>
                <w:color w:val="auto"/>
                <w:w w:val="95"/>
              </w:rPr>
              <w:t>[51,078,020]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 [27,071,351]</w:t>
            </w:r>
          </w:p>
        </w:tc>
        <w:tc>
          <w:tcPr>
            <w:tcW w:w="1180" w:type="dxa"/>
            <w:vAlign w:val="bottom"/>
          </w:tcPr>
          <w:p>
            <w:pPr>
              <w:ind w:left="220"/>
              <w:spacing w:after="0"/>
              <w:rPr>
                <w:sz w:val="20"/>
                <w:szCs w:val="20"/>
                <w:color w:val="auto"/>
              </w:rPr>
            </w:pPr>
            <w:r>
              <w:rPr>
                <w:rFonts w:ascii="Arial" w:cs="Arial" w:eastAsia="Arial" w:hAnsi="Arial"/>
                <w:sz w:val="18"/>
                <w:szCs w:val="18"/>
                <w:color w:val="auto"/>
                <w:w w:val="93"/>
              </w:rPr>
              <w:t>100,000,000</w:t>
            </w:r>
          </w:p>
        </w:tc>
        <w:tc>
          <w:tcPr>
            <w:tcW w:w="1160" w:type="dxa"/>
            <w:vAlign w:val="bottom"/>
          </w:tcPr>
          <w:p>
            <w:pPr>
              <w:jc w:val="right"/>
              <w:spacing w:after="0"/>
              <w:rPr>
                <w:sz w:val="20"/>
                <w:szCs w:val="20"/>
                <w:color w:val="auto"/>
              </w:rPr>
            </w:pPr>
            <w:r>
              <w:rPr>
                <w:rFonts w:ascii="Arial" w:cs="Arial" w:eastAsia="Arial" w:hAnsi="Arial"/>
                <w:sz w:val="18"/>
                <w:szCs w:val="18"/>
                <w:color w:val="auto"/>
              </w:rPr>
              <w:t>[10,215,604]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$[27,071,351]</w:t>
            </w:r>
          </w:p>
        </w:tc>
      </w:tr>
      <w:tr>
        <w:trPr>
          <w:trHeight w:val="243"/>
        </w:trPr>
        <w:tc>
          <w:tcPr>
            <w:tcW w:w="16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10:1</w:t>
            </w:r>
          </w:p>
        </w:tc>
        <w:tc>
          <w:tcPr>
            <w:tcW w:w="138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3"/>
              </w:rPr>
              <w:t>100,000,000</w:t>
            </w:r>
          </w:p>
        </w:tc>
        <w:tc>
          <w:tcPr>
            <w:tcW w:w="11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5"/>
              </w:rPr>
              <w:t>[51,078,020]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34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3"/>
              </w:rPr>
              <w:t>$ [27,071,351]</w:t>
            </w:r>
          </w:p>
        </w:tc>
        <w:tc>
          <w:tcPr>
            <w:tcW w:w="118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3"/>
              </w:rPr>
              <w:t>100,000,000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[5,107,802]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$[27,071,351]</w:t>
            </w:r>
          </w:p>
        </w:tc>
      </w:tr>
      <w:tr>
        <w:trPr>
          <w:trHeight w:val="243"/>
        </w:trPr>
        <w:tc>
          <w:tcPr>
            <w:tcW w:w="1680" w:type="dxa"/>
            <w:vAlign w:val="bottom"/>
          </w:tcPr>
          <w:p>
            <w:pPr>
              <w:jc w:val="right"/>
              <w:ind w:right="330"/>
              <w:spacing w:after="0"/>
              <w:rPr>
                <w:sz w:val="20"/>
                <w:szCs w:val="20"/>
                <w:color w:val="auto"/>
              </w:rPr>
            </w:pPr>
            <w:r>
              <w:rPr>
                <w:rFonts w:ascii="Arial" w:cs="Arial" w:eastAsia="Arial" w:hAnsi="Arial"/>
                <w:sz w:val="18"/>
                <w:szCs w:val="18"/>
                <w:color w:val="auto"/>
              </w:rPr>
              <w:t>15:1</w:t>
            </w:r>
          </w:p>
        </w:tc>
        <w:tc>
          <w:tcPr>
            <w:tcW w:w="1380" w:type="dxa"/>
            <w:vAlign w:val="bottom"/>
          </w:tcPr>
          <w:p>
            <w:pPr>
              <w:ind w:left="420"/>
              <w:spacing w:after="0"/>
              <w:rPr>
                <w:sz w:val="20"/>
                <w:szCs w:val="20"/>
                <w:color w:val="auto"/>
              </w:rPr>
            </w:pPr>
            <w:r>
              <w:rPr>
                <w:rFonts w:ascii="Arial" w:cs="Arial" w:eastAsia="Arial" w:hAnsi="Arial"/>
                <w:sz w:val="18"/>
                <w:szCs w:val="18"/>
                <w:color w:val="auto"/>
                <w:w w:val="93"/>
              </w:rPr>
              <w:t>100,000,000</w:t>
            </w:r>
          </w:p>
        </w:tc>
        <w:tc>
          <w:tcPr>
            <w:tcW w:w="1160" w:type="dxa"/>
            <w:vAlign w:val="bottom"/>
          </w:tcPr>
          <w:p>
            <w:pPr>
              <w:ind w:left="180"/>
              <w:spacing w:after="0"/>
              <w:rPr>
                <w:sz w:val="20"/>
                <w:szCs w:val="20"/>
                <w:color w:val="auto"/>
              </w:rPr>
            </w:pPr>
            <w:r>
              <w:rPr>
                <w:rFonts w:ascii="Arial" w:cs="Arial" w:eastAsia="Arial" w:hAnsi="Arial"/>
                <w:sz w:val="18"/>
                <w:szCs w:val="18"/>
                <w:color w:val="auto"/>
                <w:w w:val="95"/>
              </w:rPr>
              <w:t>[51,078,020]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 [27,071,351]</w:t>
            </w:r>
          </w:p>
        </w:tc>
        <w:tc>
          <w:tcPr>
            <w:tcW w:w="1180" w:type="dxa"/>
            <w:vAlign w:val="bottom"/>
          </w:tcPr>
          <w:p>
            <w:pPr>
              <w:ind w:left="220"/>
              <w:spacing w:after="0"/>
              <w:rPr>
                <w:sz w:val="20"/>
                <w:szCs w:val="20"/>
                <w:color w:val="auto"/>
              </w:rPr>
            </w:pPr>
            <w:r>
              <w:rPr>
                <w:rFonts w:ascii="Arial" w:cs="Arial" w:eastAsia="Arial" w:hAnsi="Arial"/>
                <w:sz w:val="18"/>
                <w:szCs w:val="18"/>
                <w:color w:val="auto"/>
                <w:w w:val="93"/>
              </w:rPr>
              <w:t>100,000,000</w:t>
            </w:r>
          </w:p>
        </w:tc>
        <w:tc>
          <w:tcPr>
            <w:tcW w:w="1160" w:type="dxa"/>
            <w:vAlign w:val="bottom"/>
          </w:tcPr>
          <w:p>
            <w:pPr>
              <w:jc w:val="right"/>
              <w:spacing w:after="0"/>
              <w:rPr>
                <w:sz w:val="20"/>
                <w:szCs w:val="20"/>
                <w:color w:val="auto"/>
              </w:rPr>
            </w:pPr>
            <w:r>
              <w:rPr>
                <w:rFonts w:ascii="Arial" w:cs="Arial" w:eastAsia="Arial" w:hAnsi="Arial"/>
                <w:sz w:val="18"/>
                <w:szCs w:val="18"/>
                <w:color w:val="auto"/>
              </w:rPr>
              <w:t>[3,405,201]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[7.95]</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$[27,071,351]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Owners of Common Stock / Shares Held in “Street Name”</w:t>
      </w:r>
    </w:p>
    <w:p>
      <w:pPr>
        <w:spacing w:after="0" w:line="11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Upon the implementation of the Reverse Stock Split, we intend to treat shares held by stockholders in “street name” through a broker, bank or other nominee in the same manner as registered stockholders whose shares are registered in their names. Brokers, banks and other nominees will be instructed to effect the Reverse Stock Split for their beneficial holders holding our common stock in street name. However, these brokers, banks and other nominees may have different procedures than registered stockholders for processing the Reverse Stock Split. If a stockholder holds shares of our common stock with a broker, bank or other nominee and has any questions about the Reverse Stock Split, the stockholder is encouraged to contact their nominee.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Holders of Common Stock</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Certain of our registered holders of common stock hold some or all of their shares electronically in book-entry form with our transfer agent, American Stock Transfer &amp; Trust Company, LLC. These stockholders do not hold physical stock certificates evidencing their ownership of our common stock. Instead, they are provided with a statement reflecting the number of shares of our common stock registered in their accounts. If a stockholder holds registered shares in book-entry form with our transfer agent, no action needs to be taken to receive post-Reverse Stock Split shares. If a stockholder is entitled to post-Reverse Stock Split shares, a transaction statement will automatically be sent to the stockholder’s address of record indicating the number of shares of our common stock held following the Reverse Stock Split.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 of Certificated Shares of Common Stock</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the date of this Proxy Statement, certain of our shares of common stock were held in certificated form. Beginning at the effective time of the Reverse Stock Split, each certificate representing shares of our common stock issued prior to the effective time of the Reverse Stock Split will be deemed for all corporate purposes to evidence ownership of the number of whole shares into which the shares previously represented by the certificate were combined pursuant to the Reverse Stock Split. Stockholders of record at the time of the Reverse Stock Split who hold shares of our common stock in certificated form will also be sent a transmittal letter by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ind w:right="60"/>
        <w:spacing w:after="0" w:line="255" w:lineRule="auto"/>
        <w:rPr>
          <w:sz w:val="20"/>
          <w:szCs w:val="20"/>
          <w:color w:val="auto"/>
        </w:rPr>
      </w:pPr>
      <w:r>
        <w:rPr>
          <w:rFonts w:ascii="Arial" w:cs="Arial" w:eastAsia="Arial" w:hAnsi="Arial"/>
          <w:sz w:val="18"/>
          <w:szCs w:val="18"/>
          <w:color w:val="auto"/>
        </w:rPr>
        <w:t>transfer agent after the effective time. The transmittal letter will be accompanied by instructions on how a stockholder should exchange his, her or its certificates representing the pre-split shares of our common stock for a statement of holding. When a stockholder submits their certificates representing the pre-split shares of our common stock, the post-split shares of our common stock will be held electronically in book-entry form in the Direct Registration System. This means that, instead of receiving a new stock certificate, a stockholder will receive a statement of holding that indicates the number of post-split shares the stockholder owns in book-entry form. We will no longer issue physical stock certificates unless a stockholder makes a specific request for a share certificate representing your post-split ownership interest.</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STOCKHOLDERS SHOULD NOT DESTROY ANY STOCK CERTIFICATES AND SHOULD NOT SUBMIT THEIR STOCK CERTIFICATES UNTIL THEY RECEIVE A TRANSMITTAL FORM FROM OUR TRANSFER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fractional shares will be issued in connection with the Reverse Stock Split. Instead, the Company will round up the fractional share and issue one full share of the post-Reverse Stock Split common stock to any stockholder of record who would have been entitled to receive a fractional share as a result of the process. Each stockholder will hold the same percentage of the outstanding common stock immediately following the Reverse Stock Split as that stockholder did immediately prior to the Reverse Stock Split, except for minor adjustment due to the additional net share fraction that will need to be issued as a result of the treatment of fractional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Authorized but Unissued Shares of Capital Stock</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Currently, we are authorized to issue up to a total of 100,000,000 shares of common stock, of which [63,833,893] shares were issued, 12,755,873 shares were held as treasury stock and [51,078,020] shares were outstanding as of June 19, 2020, which is the record date, and 1,000,000 shares of preferred stock, par value $0.01 per share, of which no shares were issued and outstanding as of June 19, 2020. The Reverse Stock Split, if approved and effected, will not have any effect on the authorized number of shares of our common stock or preferred stock.</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Reverse Stock Split will not change the existing terms of our common stock. After the Reverse Stock Split, the shares of common stock will have the same voting rights and rights to dividends and distributions and will be identical in all other respects to the common stock now authorized. The common stock that remains issued following the Reverse Stock Split will continue to be fully paid and non-assessable.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Equity Awards</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As of the effective time of the Reverse Stock Split, the number of shares subject to all outstanding options, restricted stock units, performance stock units, deferred stock units and other rights to acquire our common stock will automatically be proportionately reduced in the same ratio as the reduction in the number of shares of issued common stock, and any fractional shares will be rounded up to one share, see above under “</w:t>
      </w:r>
      <w:r>
        <w:rPr>
          <w:rFonts w:ascii="Arial" w:cs="Arial" w:eastAsia="Arial" w:hAnsi="Arial"/>
          <w:sz w:val="17"/>
          <w:szCs w:val="17"/>
          <w:i w:val="1"/>
          <w:iCs w:val="1"/>
          <w:color w:val="auto"/>
        </w:rPr>
        <w:t>Treatment of Fractional Shares</w:t>
      </w:r>
      <w:r>
        <w:rPr>
          <w:rFonts w:ascii="Arial" w:cs="Arial" w:eastAsia="Arial" w:hAnsi="Arial"/>
          <w:sz w:val="17"/>
          <w:szCs w:val="17"/>
          <w:color w:val="auto"/>
        </w:rPr>
        <w:t>.” Correspondingly, the per share exercise price of any stock options will automatically be increased based on the reverse stock split ratio, so that the aggregate dollar amount payable for the purchase of the shares subject to such options will remain approximately the same. In addition, as of the effective time of the Reverse Stock Split, we will proportionately decrease the total number of shares of our common stock that remain available for future grants under our 2016 Incentive Compensation Plan and the Non-Employee Director Compensation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Registration and Stock Trading</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common stock is currently registered under Section 12(b) of the Exchange Act, and we are subject to the periodic reporting and other requirements of the Exchange Act. The proposed Reverse Stock Split will not affect the registration of our common stock under the Exchange Act. If the Reverse Stock Split is approved and effected, our common stock will receive a new CUSIP number.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Consequences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Reverse Stock Split will not affect the par value of our common stock per share, which will remain $0.01 par value per share. As a result, as of the effective time of the Reverse Stock Split, the total of the stated capital attributable to common stock and the additional paid-in capital account on our balance sheet will not change due to the Reverse Stock Split. Reported per share net income or loss will be higher because there will be fewer shares of common stock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Going Private Transaction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Notwithstanding the decrease in the number of outstanding shares following the implementation of the Reverse Stock Split, our Board of Directors does not intend for this transaction to be the first step in a “going private transaction” within the meaning of Rule 13e-3 of the Exchange Act, and we will continue to be subject to the periodic reporting and other requirements of the Exchange Act after giving effect to the Reverse Stock Split.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 Dissenters’ Rights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Under the General Corporation Law of the State of Delaware, stockholders will not be entitled to dissenters’ rights with respect to the proposed Amendment to effect the Reverse Stock Split, and we do not intend to provide stockholders with any such right.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this Proposal 3</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Certain of our officers and directors have an interest in this Proposal as a result of their ownership of shares of our common stock. However, we do not believe that our officers or directors have interests in this Proposal that are different from or greater than those of any of our other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 of the Reverse Stock Split</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following discussion is a summary of the material U.S. federal income tax consequences of the proposed Reverse Stock Split to holders of our common stock. This discussion is based on the Internal Revenue Code of 1986, as amended, U.S. Treasury Regulations promulgated thereunder, judicial decisions, and published rulings and administrative pronouncements of the U.S. Internal Revenue Service, in each case in effect as of the date of this Proxy Statement. These authorities may change or be subject to differing interpretations. Any such change or differing interpretation may be applied retroactively in a manner that could adversely affect a stockholder. The tax treatment of a stockholder may vary depending upon the particular facts and circumstances of such stockholder, and the discussion below may not address all the tax consequences for a particular stockholder. For example, foreign, state and local tax consequences are not discussed below. Accordingly, each stockholder should consult his, her or its tax adviser to determine the particular tax consequences to him, her or it of a Reverse Stock Split, including the application and effect of federal, state, local and/or foreign income tax and other laws.</w:t>
      </w:r>
    </w:p>
    <w:p>
      <w:pPr>
        <w:spacing w:after="0" w:line="165"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Generally, a stockholder should not recognize gain or loss as a result of the Reverse Stock Split for U.S. federal income tax purposes. The stockholder’s aggregate adjusted tax basis in the shares of our common stock received pursuant to the Reverse Stock Split should equal the aggregate adjusted tax basis of the shares of our common stock exchanged therefor. The stockholder’s holding period in the shares of our common stock received pursuant to the Reverse Stock Split should include the holding period in the shares of our common stock exchanged therefor.</w:t>
      </w:r>
    </w:p>
    <w:p>
      <w:pPr>
        <w:spacing w:after="0" w:line="15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YOU SHOULD CONSULT YOUR TAX ADVISOR AS TO THE PARTICULAR FEDERAL, STATE, LOCAL, FOREIGN AND OTHER TAX CONSEQUENCES OF THE REVERSE STOCK SPLIT IN LIGHT OF YOUR SPECIFIC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Criteria to be Used for Decision to Apply the Reverse Split</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the event that approval for the Reverse Stock Split is obtained, the Board will be authorized to proceed with the Reverse Stock Split. If our stock closes at a bid price equal to or greater than $1.00 for ten consecutive business days during any grace period provided by Nasdaq for purposes of complying with the Minimum Bid Price Requirement, our Board may delay its decision to execute the Reverse Stock Split. In that case, if at any time during the 12-month period following the Annual Meeting the stock price again falls below $1.00 for a 30-day period and therefore we fail to comply with the Minimum Bid Price Requirement, then the Reverse Stock Split may be executed as a cure for this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Reverse Split is Not Approved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that the Reverse Stock Split is not approved, we intend to actively monitor the trading price of our common stock on The Nasdaq Global Select Market and will consider available options to resolve our non-compliance with the Nasdaq listing rules. We believe that our ability to remain listed on Nasdaq would be significantly and negatively affected if the Reverse Stock Split is not approved. If we are unable to achieve an increase in our stock price and our common stock is subsequently delisted, we could experience significant negative impacts, including, but not limited to, impairment of our ability to obtain debt or equity financing to support Company operations, and our stockholders could experience significant negative impacts, including but not limited to, decreased trading volume and liquidity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outstanding shares of our common stock on the record date is required to approve this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Board of Directors recommends that stockholders vote FOR the approval of the amendment to the Company’s Certificate of Incorporation to effect the Reverse Stock Split.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PROPOSAL 4</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AMENDMENTS TO OUR 2016 INCENTIVE COMPENSATION PLAN TO INCREASE THE TOTAL NUMBER OF SHARES OF COMMON STOCK AUTHORIZED FOR ISSUANCE UNDER THE PLAN BY 1,740,000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At the recommendation of our Compensation Committee, the Board is seeking stockholder approval of amendments to our 2016 Incentive Compensation Plan (the “2016 Plan”) to increase the total number of shares of common stock authorized for issuance under the 2016 Plan by 1,740,000 shares and correspondingly to increase the maximum number of shares that may be delivered under the 2016 Plan as a result of the exercising of incentive stock options. The 2016 Plan was originally approved by stockholders on August 4, 2016. The stockholders approved an amendment to the 2016 Plan on August 8, 2019 to increase the number of shares of common stock authorized under the 2016 Plan by 2,800,000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Plan</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Since fiscal 2010, our primary use of equity has been tied to awards granted pursuant to our long-term incentive program (“LTIP”). We have used our LTIPs as a means to provide a source of equity to attract, retain and reward our management team. The 2016 Plan provides us the ability to give participants important incentive and reward opportunities designed to enhance our profitable growth.</w:t>
      </w:r>
    </w:p>
    <w:p>
      <w:pPr>
        <w:spacing w:after="0" w:line="184"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Availability of shares under the 2016 Plan is also needed for our independent directors to satisfy the requirement under our Fourth Amended and Restated Non-Employee Director Compensation Plan (the “Non-Employee Director Compensation Plan”) that our directors receive 50% of their annual retainer in the form of equity (“Required Equity”). Pursuant to Nasdaq rules, shares under the Non-Employee Director Compensation Plan are not available for this purpose, therefore we can only issue Required Equity to our directors from a stockholder-approved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Share Request</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request for additional shares is essential in order for us to incentivize and retain key employees in the current environment. The COVID-19 pandemic and the resulting economic shutdown, which caused us to temporarily close our stores in March 2020, has depressed our stock price. Because the primary use of shares under our 2016 Plan is for our LTIP, which is dollar-denominated, share utilization has become a significant concern because of the low stock price. Even prior to the outbreak of COVID-19, we had taken steps to preserve our share availability by reducing the equity portion of time-based awards from 100% equity to a combination of 50% cash and 50% restricted stock units. In June 2020, we took additional steps, by amending our LTIP to enable us to grant stock options in lieu of full-value awards, at a reduced number than what we would have been required to grant using a Black-Scholes calculation.</w:t>
      </w:r>
    </w:p>
    <w:p>
      <w:pPr>
        <w:spacing w:after="0" w:line="164"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During this uncertain time, preserving liquidity is critical to our ability to survive the adverse impact of the COVID-19 pandemic on our business. As a result, the Compensation Committee re-evaluated our existing share availability in light of the need to conserve cash, and concluded that our projected share usage is likely insufficient to support our equity-based incentive programs and the issuance of Required Equity to our directors for the near term.</w:t>
      </w:r>
    </w:p>
    <w:p>
      <w:pPr>
        <w:spacing w:after="0" w:line="1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request for 1,740,000 additional shares represents the minimum number of shares that we believe is necessary to meet our equity needs through August 2021, assuming continued diligent share conservation and an increase in our stock price. If the proposed amendments to the 2016 Plan are not approved, we will lose what has become an indispensable part of our compensation program and we may not be able to satisfy existing commitments under our 2018-2020 LTIP, 2019-2021 LTIP and 2020-2022 LTIP in equity, which, if achieved, would require that those commitments be settled in cash.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Reserve</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At May 2, 2020, 3,980,412 shares of our common stock remained available for issuance under our 2016 Plan. Any outstanding awards under our prior 2006 Incentive Compensation Plan (the “2006 Plan”) as of the effective date of the 2016 Plan that subsequently expire or are cancelled for any reason without having been exercised or paid under the 2006 Plan will become available for grant under the 2016 Plan. At May 2, 2020, there were 504,024 stock options outstanding that were issued under the 2006 Plan. These stock options have an average exercise price of $5.00, with the majority expiring in fiscal 2023. If not exercised, the underlying shares would become available for grant under our 2016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right="40"/>
        <w:spacing w:after="0" w:line="255" w:lineRule="auto"/>
        <w:rPr>
          <w:sz w:val="20"/>
          <w:szCs w:val="20"/>
          <w:color w:val="auto"/>
        </w:rPr>
      </w:pPr>
      <w:r>
        <w:rPr>
          <w:rFonts w:ascii="Arial" w:cs="Arial" w:eastAsia="Arial" w:hAnsi="Arial"/>
          <w:sz w:val="18"/>
          <w:szCs w:val="18"/>
          <w:color w:val="auto"/>
        </w:rPr>
        <w:t>In June 2020, the Company granted stock options to purchase up to 2,735,542 shares of our common stock in connection with the grant of time-based awards under the Company’s Third Amended and Restated Long-Term Incentive Plan for the fiscal 2020-fiscal 2022 performance period (the “2020-2022 LTIP”). These options vest ratably over approximately four years, with the final tranche vesting in April 2024. In addition, the Compensation Committee granted to Mr. Kanter a discretionary stock option award to purchase 450,000 shares of our common stock, at an exercise price of $0.64 per share, which will vest in three equal installments on June 10, 2021, April 1, 2022 and April 1, 2023. As a result of these grants, as of June 19, 2020 only 794,870 shares remained available for issuance under the 2016 Plan.</w:t>
      </w:r>
    </w:p>
    <w:p>
      <w:pPr>
        <w:spacing w:after="0" w:line="19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request for an increase of 1,740,000 shares in the number of shares authorized under the 2016 Plan would make 2,534,870 shares available for future grant. Based solely on the closing price of our common stock as reported on Nasdaq on June 19, 2020 of $[0.53] per share, the maximum aggregate market value of the additional 1,740,000 shares of our common stock to be reserved for issuance under the 2016 Plan would be approximately $[0.9] million.</w:t>
      </w:r>
    </w:p>
    <w:p>
      <w:pPr>
        <w:spacing w:after="0" w:line="14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recommend approval of the amendments in order for us to continue to provide a source of equity compensation to attract, motivate, retain and reward high-quality executives and other key employees, officers and directors in the short-term. See “</w:t>
      </w:r>
      <w:r>
        <w:rPr>
          <w:rFonts w:ascii="Arial" w:cs="Arial" w:eastAsia="Arial" w:hAnsi="Arial"/>
          <w:sz w:val="18"/>
          <w:szCs w:val="18"/>
          <w:i w:val="1"/>
          <w:iCs w:val="1"/>
          <w:color w:val="auto"/>
        </w:rPr>
        <w:t>Compensation Discussion and Analysis—Long-term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plans</w:t>
      </w:r>
      <w:r>
        <w:rPr>
          <w:rFonts w:ascii="Arial" w:cs="Arial" w:eastAsia="Arial" w:hAnsi="Arial"/>
          <w:sz w:val="18"/>
          <w:szCs w:val="18"/>
          <w:color w:val="auto"/>
        </w:rPr>
        <w:t>” for a description of our LTIPs.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Alignment of 2016 Plan with Stockholders’ Interests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2016 Plan is designed to reinforce the alignment of our equity opportunities for management with the interest of our stockholders and includes a number of provisions that we believe are consistent with good governance and compensation practice, including:</w:t>
      </w:r>
    </w:p>
    <w:p>
      <w:pPr>
        <w:spacing w:after="0" w:line="62" w:lineRule="exact"/>
        <w:rPr>
          <w:sz w:val="20"/>
          <w:szCs w:val="20"/>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Minimum vesting period of one year from the date of grant covering 95% of all awards;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stockholder approval;</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discounted stock options;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evergreen provision;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automatic grants or reload;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liberal share recycling;</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stated clawback provision;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“Double-trigger” vesting for change in control;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tax gross-ups.</w:t>
      </w:r>
    </w:p>
    <w:p>
      <w:pPr>
        <w:spacing w:after="0" w:line="225" w:lineRule="exact"/>
        <w:rPr>
          <w:sz w:val="20"/>
          <w:szCs w:val="20"/>
          <w:color w:val="auto"/>
        </w:rPr>
      </w:pPr>
    </w:p>
    <w:p>
      <w:pPr>
        <w:ind w:left="380"/>
        <w:spacing w:after="0" w:line="296" w:lineRule="auto"/>
        <w:rPr>
          <w:sz w:val="20"/>
          <w:szCs w:val="20"/>
          <w:color w:val="auto"/>
        </w:rPr>
      </w:pPr>
      <w:r>
        <w:rPr>
          <w:rFonts w:ascii="Arial" w:cs="Arial" w:eastAsia="Arial" w:hAnsi="Arial"/>
          <w:sz w:val="16"/>
          <w:szCs w:val="16"/>
          <w:color w:val="auto"/>
        </w:rPr>
        <w:t>In addition, our incentive-based compensation program is broad-based and not heavily concentrated to only our CEO and/or NEOs. Based on the grant activity for the past three fiscal years, equity awards granted to our CEO, inclusive of his sign-on awards, represented approximately 21.1% of all equity awards granted under our 2016 Plan. Grants to our NEOs, including our current and former CEOs and the sign-on awards noted above, represented approximately 46.9% of the total equity awards granted under our 2016 Plan over the past three fiscal years. These percentages are higher because they include grants made to our former CEO, our former COO, our former CMO, and sign-on grants to our new CEO.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Key Data</w:t>
            </w: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6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560" w:type="dxa"/>
            <w:vAlign w:val="bottom"/>
            <w:tcBorders>
              <w:bottom w:val="single" w:sz="8" w:color="CFF0FC"/>
            </w:tcBorders>
          </w:tcPr>
          <w:p>
            <w:pPr>
              <w:spacing w:after="0"/>
              <w:rPr>
                <w:sz w:val="20"/>
                <w:szCs w:val="20"/>
                <w:color w:val="auto"/>
              </w:rPr>
            </w:pP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8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8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Remaining Term</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shares requested under amendment to the 2016 Plan</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vMerge w:val="restart"/>
          </w:tcPr>
          <w:p>
            <w:pPr>
              <w:spacing w:after="0"/>
              <w:rPr>
                <w:sz w:val="19"/>
                <w:szCs w:val="19"/>
                <w:color w:val="auto"/>
              </w:rPr>
            </w:pPr>
          </w:p>
        </w:tc>
        <w:tc>
          <w:tcPr>
            <w:tcW w:w="6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vMerge w:val="continue"/>
          </w:tcPr>
          <w:p>
            <w:pPr>
              <w:spacing w:after="0"/>
              <w:rPr>
                <w:sz w:val="19"/>
                <w:szCs w:val="19"/>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Shares as of May 2, 2020:</w:t>
            </w: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2016 Plan, including options outstanding under 2006 plan</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Share remaining available for issuance </w:t>
            </w:r>
            <w:r>
              <w:rPr>
                <w:rFonts w:ascii="Arial" w:cs="Arial" w:eastAsia="Arial" w:hAnsi="Arial"/>
                <w:sz w:val="15"/>
                <w:szCs w:val="15"/>
                <w:color w:val="auto"/>
              </w:rPr>
              <w:t>(1)</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3,980,412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 xml:space="preserve">Time-based stock options outstanding </w:t>
            </w:r>
            <w:r>
              <w:rPr>
                <w:rFonts w:ascii="Arial" w:cs="Arial" w:eastAsia="Arial" w:hAnsi="Arial"/>
                <w:sz w:val="15"/>
                <w:szCs w:val="15"/>
                <w:color w:val="auto"/>
              </w:rPr>
              <w:t>(1)</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538,285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4.83</w:t>
            </w:r>
          </w:p>
        </w:tc>
        <w:tc>
          <w:tcPr>
            <w:tcW w:w="1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3.1 yrs.</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Time-based unvested full value awards outstanding</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966,521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2.6 yrs.</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Deferred stock awards payable to directors</w:t>
            </w:r>
          </w:p>
        </w:tc>
        <w:tc>
          <w:tcPr>
            <w:tcW w:w="1520" w:type="dxa"/>
            <w:vAlign w:val="bottom"/>
          </w:tcPr>
          <w:p>
            <w:pPr>
              <w:jc w:val="right"/>
              <w:spacing w:after="0"/>
              <w:rPr>
                <w:sz w:val="20"/>
                <w:szCs w:val="20"/>
                <w:color w:val="auto"/>
              </w:rPr>
            </w:pPr>
            <w:r>
              <w:rPr>
                <w:rFonts w:ascii="Arial" w:cs="Arial" w:eastAsia="Arial" w:hAnsi="Arial"/>
                <w:sz w:val="18"/>
                <w:szCs w:val="18"/>
                <w:color w:val="auto"/>
              </w:rPr>
              <w:t>335,073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Performance-based unvested full value awards outstanding</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2.9 yrs.</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560" w:type="dxa"/>
            <w:vAlign w:val="bottom"/>
          </w:tcPr>
          <w:p>
            <w:pPr>
              <w:ind w:left="360"/>
              <w:spacing w:after="0"/>
              <w:rPr>
                <w:sz w:val="20"/>
                <w:szCs w:val="20"/>
                <w:color w:val="auto"/>
              </w:rPr>
            </w:pPr>
            <w:r>
              <w:rPr>
                <w:rFonts w:ascii="Arial" w:cs="Arial" w:eastAsia="Arial" w:hAnsi="Arial"/>
                <w:sz w:val="18"/>
                <w:szCs w:val="18"/>
                <w:color w:val="auto"/>
              </w:rPr>
              <w:t>Total full value awards outstanding</w:t>
            </w:r>
          </w:p>
        </w:tc>
        <w:tc>
          <w:tcPr>
            <w:tcW w:w="1520" w:type="dxa"/>
            <w:vAlign w:val="bottom"/>
          </w:tcPr>
          <w:p>
            <w:pPr>
              <w:jc w:val="right"/>
              <w:spacing w:after="0"/>
              <w:rPr>
                <w:sz w:val="20"/>
                <w:szCs w:val="20"/>
                <w:color w:val="auto"/>
              </w:rPr>
            </w:pPr>
            <w:r>
              <w:rPr>
                <w:rFonts w:ascii="Arial" w:cs="Arial" w:eastAsia="Arial" w:hAnsi="Arial"/>
                <w:sz w:val="18"/>
                <w:szCs w:val="18"/>
                <w:color w:val="auto"/>
              </w:rPr>
              <w:t>2,021,594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vMerge w:val="restart"/>
          </w:tcPr>
          <w:p>
            <w:pPr>
              <w:spacing w:after="0"/>
              <w:rPr>
                <w:sz w:val="19"/>
                <w:szCs w:val="19"/>
                <w:color w:val="auto"/>
              </w:rPr>
            </w:pPr>
          </w:p>
        </w:tc>
        <w:tc>
          <w:tcPr>
            <w:tcW w:w="65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0" w:type="dxa"/>
            <w:vAlign w:val="bottom"/>
            <w:vMerge w:val="continue"/>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 xml:space="preserve">Non-Employee Director Compensation Plan </w:t>
            </w:r>
            <w:r>
              <w:rPr>
                <w:rFonts w:ascii="Arial" w:cs="Arial" w:eastAsia="Arial" w:hAnsi="Arial"/>
                <w:sz w:val="15"/>
                <w:szCs w:val="15"/>
                <w:b w:val="1"/>
                <w:bCs w:val="1"/>
                <w:color w:val="auto"/>
              </w:rPr>
              <w:t>(2)</w:t>
            </w:r>
          </w:p>
        </w:tc>
        <w:tc>
          <w:tcPr>
            <w:tcW w:w="1520" w:type="dxa"/>
            <w:vAlign w:val="bottom"/>
          </w:tcPr>
          <w:p>
            <w:pPr>
              <w:jc w:val="right"/>
              <w:spacing w:after="0"/>
              <w:rPr>
                <w:sz w:val="20"/>
                <w:szCs w:val="20"/>
                <w:color w:val="auto"/>
              </w:rPr>
            </w:pPr>
            <w:r>
              <w:rPr>
                <w:rFonts w:ascii="Arial" w:cs="Arial" w:eastAsia="Arial" w:hAnsi="Arial"/>
                <w:sz w:val="18"/>
                <w:szCs w:val="18"/>
                <w:color w:val="auto"/>
              </w:rPr>
              <w:t>164,749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5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Other data:</w:t>
            </w:r>
          </w:p>
        </w:tc>
        <w:tc>
          <w:tcPr>
            <w:tcW w:w="48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Burn Rate - 3 yr. average</w:t>
            </w:r>
          </w:p>
        </w:tc>
        <w:tc>
          <w:tcPr>
            <w:tcW w:w="4820" w:type="dxa"/>
            <w:vAlign w:val="bottom"/>
            <w:shd w:val="clear" w:color="auto" w:fill="CFF0FC"/>
          </w:tcPr>
          <w:p>
            <w:pPr>
              <w:jc w:val="right"/>
              <w:ind w:right="2450"/>
              <w:spacing w:after="0"/>
              <w:rPr>
                <w:sz w:val="20"/>
                <w:szCs w:val="20"/>
                <w:color w:val="auto"/>
              </w:rPr>
            </w:pPr>
            <w:r>
              <w:rPr>
                <w:rFonts w:ascii="Arial" w:cs="Arial" w:eastAsia="Arial" w:hAnsi="Arial"/>
                <w:sz w:val="18"/>
                <w:szCs w:val="18"/>
                <w:color w:val="auto"/>
              </w:rPr>
              <w:t>4.7%</w:t>
            </w:r>
          </w:p>
        </w:tc>
      </w:tr>
      <w:tr>
        <w:trPr>
          <w:trHeight w:val="230"/>
        </w:trPr>
        <w:tc>
          <w:tcPr>
            <w:tcW w:w="20" w:type="dxa"/>
            <w:vAlign w:val="bottom"/>
          </w:tcPr>
          <w:p>
            <w:pPr>
              <w:spacing w:after="0"/>
              <w:rPr>
                <w:sz w:val="19"/>
                <w:szCs w:val="19"/>
                <w:color w:val="auto"/>
              </w:rPr>
            </w:pPr>
          </w:p>
        </w:tc>
        <w:tc>
          <w:tcPr>
            <w:tcW w:w="5940" w:type="dxa"/>
            <w:vAlign w:val="bottom"/>
          </w:tcPr>
          <w:p>
            <w:pPr>
              <w:ind w:left="100"/>
              <w:spacing w:after="0"/>
              <w:rPr>
                <w:sz w:val="20"/>
                <w:szCs w:val="20"/>
                <w:color w:val="auto"/>
              </w:rPr>
            </w:pPr>
            <w:r>
              <w:rPr>
                <w:rFonts w:ascii="Arial" w:cs="Arial" w:eastAsia="Arial" w:hAnsi="Arial"/>
                <w:sz w:val="18"/>
                <w:szCs w:val="18"/>
                <w:color w:val="auto"/>
              </w:rPr>
              <w:t>Dilution - assuming all shares are granted on a 1:1 basis</w:t>
            </w:r>
          </w:p>
        </w:tc>
        <w:tc>
          <w:tcPr>
            <w:tcW w:w="4820" w:type="dxa"/>
            <w:vAlign w:val="bottom"/>
          </w:tcPr>
          <w:p>
            <w:pPr>
              <w:jc w:val="right"/>
              <w:ind w:right="2450"/>
              <w:spacing w:after="0"/>
              <w:rPr>
                <w:sz w:val="20"/>
                <w:szCs w:val="20"/>
                <w:color w:val="auto"/>
              </w:rPr>
            </w:pPr>
            <w:r>
              <w:rPr>
                <w:rFonts w:ascii="Arial" w:cs="Arial" w:eastAsia="Arial" w:hAnsi="Arial"/>
                <w:sz w:val="18"/>
                <w:szCs w:val="18"/>
                <w:color w:val="auto"/>
              </w:rPr>
              <w:t>2.9%</w:t>
            </w:r>
          </w:p>
        </w:tc>
      </w:tr>
      <w:tr>
        <w:trPr>
          <w:trHeight w:val="229"/>
        </w:trPr>
        <w:tc>
          <w:tcPr>
            <w:tcW w:w="20" w:type="dxa"/>
            <w:vAlign w:val="bottom"/>
          </w:tcPr>
          <w:p>
            <w:pPr>
              <w:spacing w:after="0"/>
              <w:rPr>
                <w:sz w:val="19"/>
                <w:szCs w:val="19"/>
                <w:color w:val="auto"/>
              </w:rPr>
            </w:pPr>
          </w:p>
        </w:tc>
        <w:tc>
          <w:tcPr>
            <w:tcW w:w="59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Overhang</w:t>
            </w:r>
          </w:p>
        </w:tc>
        <w:tc>
          <w:tcPr>
            <w:tcW w:w="4820" w:type="dxa"/>
            <w:vAlign w:val="bottom"/>
            <w:shd w:val="clear" w:color="auto" w:fill="CFF0FC"/>
          </w:tcPr>
          <w:p>
            <w:pPr>
              <w:jc w:val="right"/>
              <w:ind w:right="2450"/>
              <w:spacing w:after="0"/>
              <w:rPr>
                <w:sz w:val="20"/>
                <w:szCs w:val="20"/>
                <w:color w:val="auto"/>
              </w:rPr>
            </w:pPr>
            <w:r>
              <w:rPr>
                <w:rFonts w:ascii="Arial" w:cs="Arial" w:eastAsia="Arial" w:hAnsi="Arial"/>
                <w:sz w:val="18"/>
                <w:szCs w:val="18"/>
                <w:color w:val="auto"/>
              </w:rPr>
              <w:t>13.9%</w:t>
            </w:r>
          </w:p>
        </w:tc>
      </w:tr>
    </w:tbl>
    <w:p>
      <w:pPr>
        <w:spacing w:after="0" w:line="94" w:lineRule="exact"/>
        <w:rPr>
          <w:sz w:val="20"/>
          <w:szCs w:val="20"/>
          <w:color w:val="auto"/>
        </w:rPr>
      </w:pPr>
    </w:p>
    <w:p>
      <w:pPr>
        <w:ind w:left="740" w:right="60" w:hanging="368"/>
        <w:spacing w:after="0" w:line="279" w:lineRule="auto"/>
        <w:tabs>
          <w:tab w:leader="none" w:pos="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Subsequent to May 2, 2020 as discussed above, the Compensation Committee granted stock options to purchase up to 2,735,542 shares of common stock as time-based awards under the 2020-2022 LTIP, and granted a stock option to purchase up to 450,000 shares of common stock to Mr. Kanter. As a result of these stock option grants, 794,870 shares remained available for issuance under the 2016 Plan at June 19, 2020. These grants did not impact the burn rate, dilution, or overhang percentages set forth in the table.</w:t>
      </w:r>
    </w:p>
    <w:p>
      <w:pPr>
        <w:spacing w:after="0" w:line="63" w:lineRule="exact"/>
        <w:rPr>
          <w:rFonts w:ascii="Arial" w:cs="Arial" w:eastAsia="Arial" w:hAnsi="Arial"/>
          <w:sz w:val="17"/>
          <w:szCs w:val="17"/>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shares available for stock issuances in lieu of cash for director fees.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Average remaining vesting period of time-based awards.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Burn Rate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information regarding annual time-based awards granted for each of the past three fiscal years and the average three-year burn rate.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Deferred shares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Time-Based</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Performance-</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Time-Based</w:t>
            </w: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granted to</w:t>
            </w: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granted to</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 Average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Option Awards</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Based Stock Units</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Full Value</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Directors as</w:t>
            </w: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Directors as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Burn Rate</w:t>
            </w:r>
          </w:p>
        </w:tc>
      </w:tr>
      <w:tr>
        <w:trPr>
          <w:trHeight w:val="230"/>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Fiscal Year</w:t>
            </w:r>
          </w:p>
        </w:tc>
        <w:tc>
          <w:tcPr>
            <w:tcW w:w="10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Granted</w:t>
            </w:r>
          </w:p>
        </w:tc>
        <w:tc>
          <w:tcPr>
            <w:tcW w:w="10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Awarded</w:t>
            </w:r>
          </w:p>
        </w:tc>
        <w:tc>
          <w:tcPr>
            <w:tcW w:w="220" w:type="dxa"/>
            <w:vAlign w:val="bottom"/>
            <w:tcBorders>
              <w:bottom w:val="single" w:sz="8" w:color="CFF0FC"/>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Awards Granted</w:t>
            </w:r>
          </w:p>
        </w:tc>
        <w:tc>
          <w:tcPr>
            <w:tcW w:w="10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2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260" w:type="dxa"/>
            <w:vAlign w:val="bottom"/>
            <w:tcBorders>
              <w:bottom w:val="single" w:sz="8" w:color="CFF0FC"/>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(Basic)</w:t>
            </w:r>
          </w:p>
        </w:tc>
        <w:tc>
          <w:tcPr>
            <w:tcW w:w="10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0"/>
                <w:szCs w:val="20"/>
                <w:color w:val="auto"/>
              </w:rPr>
            </w:pPr>
          </w:p>
        </w:tc>
      </w:tr>
      <w:tr>
        <w:trPr>
          <w:trHeight w:val="223"/>
        </w:trPr>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720,000</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1,400,480</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196,183</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104,727</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49,992,000</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6.4%</w:t>
            </w:r>
          </w:p>
        </w:tc>
      </w:tr>
      <w:tr>
        <w:trPr>
          <w:trHeight w:val="229"/>
        </w:trPr>
        <w:tc>
          <w:tcPr>
            <w:tcW w:w="13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153,888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1,087,071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124,275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99,300</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49,163,000</w:t>
            </w:r>
          </w:p>
        </w:tc>
        <w:tc>
          <w:tcPr>
            <w:tcW w:w="100" w:type="dxa"/>
            <w:vAlign w:val="bottom"/>
          </w:tcPr>
          <w:p>
            <w:pPr>
              <w:spacing w:after="0"/>
              <w:rPr>
                <w:sz w:val="19"/>
                <w:szCs w:val="19"/>
                <w:color w:val="auto"/>
              </w:rPr>
            </w:pPr>
          </w:p>
        </w:tc>
        <w:tc>
          <w:tcPr>
            <w:tcW w:w="1100" w:type="dxa"/>
            <w:vAlign w:val="bottom"/>
            <w:gridSpan w:val="2"/>
          </w:tcPr>
          <w:p>
            <w:pPr>
              <w:ind w:left="660"/>
              <w:spacing w:after="0"/>
              <w:rPr>
                <w:sz w:val="20"/>
                <w:szCs w:val="20"/>
                <w:color w:val="auto"/>
              </w:rPr>
            </w:pPr>
            <w:r>
              <w:rPr>
                <w:rFonts w:ascii="Arial" w:cs="Arial" w:eastAsia="Arial" w:hAnsi="Arial"/>
                <w:sz w:val="18"/>
                <w:szCs w:val="18"/>
                <w:color w:val="auto"/>
              </w:rPr>
              <w:t>3.6%</w:t>
            </w:r>
          </w:p>
        </w:tc>
      </w:tr>
      <w:tr>
        <w:trPr>
          <w:trHeight w:val="230"/>
        </w:trPr>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1,323,104</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86,503</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100,554</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48,888,000</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4.1%</w:t>
            </w:r>
          </w:p>
        </w:tc>
      </w:tr>
      <w:tr>
        <w:trPr>
          <w:trHeight w:val="230"/>
        </w:trPr>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14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3-yr average</w:t>
            </w: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ind w:left="660"/>
              <w:spacing w:after="0"/>
              <w:rPr>
                <w:sz w:val="20"/>
                <w:szCs w:val="20"/>
                <w:color w:val="auto"/>
              </w:rPr>
            </w:pPr>
            <w:r>
              <w:rPr>
                <w:rFonts w:ascii="Arial" w:cs="Arial" w:eastAsia="Arial" w:hAnsi="Arial"/>
                <w:sz w:val="18"/>
                <w:szCs w:val="18"/>
                <w:b w:val="1"/>
                <w:bCs w:val="1"/>
                <w:color w:val="auto"/>
              </w:rPr>
              <w:t>4.7%</w:t>
            </w:r>
          </w:p>
        </w:tc>
      </w:tr>
    </w:tbl>
    <w:p>
      <w:pPr>
        <w:spacing w:after="0" w:line="202" w:lineRule="exact"/>
        <w:rPr>
          <w:sz w:val="20"/>
          <w:szCs w:val="20"/>
          <w:color w:val="auto"/>
        </w:rPr>
      </w:pPr>
    </w:p>
    <w:p>
      <w:pPr>
        <w:ind w:left="740" w:right="60" w:hanging="368"/>
        <w:spacing w:after="0" w:line="259"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burn rate is calculated as the sum of time-based options and adjusted full-value awards divided by the basic weighted average common shares outstanding. Consistent with a proxy advisory firm’s methodology, all full-value awards have been multiplied by 1.5 (“adjusted full-value award”) for purposes of calculating burn rate. The burn rate calculation does not include the shares and deferred stock units granted to directions as compensation in lieu of cash.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Board recognizes the impact of dilution on our stockholders, and in evaluating the 2016 Plan sought to balance this concern with our ability to provide our management team with equity compensation as part of our long-term growth initiatives which, in time, should provide an increase in stockholder value. If approved, the issuance of the additional shares to be reserved under the 2016 Plan would dilute the holdings of stockholders by approximately</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2.9%, assuming that all shares granted from the 2016 Plan were options or stock appreciation rights. However, with the Company’s expectation that it will continue to grant some full-value awards as part of its compensation programs, in the form of restricted stock or restricted stock units (“RSUs”), the dilution is expected to be less than 2.9%.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7"/>
          </w:tcPr>
          <w:p>
            <w:pPr>
              <w:spacing w:after="0"/>
              <w:rPr>
                <w:sz w:val="20"/>
                <w:szCs w:val="20"/>
                <w:color w:val="auto"/>
              </w:rPr>
            </w:pPr>
            <w:r>
              <w:rPr>
                <w:rFonts w:ascii="Arial" w:cs="Arial" w:eastAsia="Arial" w:hAnsi="Arial"/>
                <w:sz w:val="18"/>
                <w:szCs w:val="18"/>
                <w:color w:val="auto"/>
              </w:rPr>
              <w:t>Potential Voting Power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Borders>
              <w:top w:val="single" w:sz="8" w:color="auto"/>
            </w:tcBorders>
            <w:gridSpan w:val="5"/>
          </w:tcPr>
          <w:p>
            <w:pPr>
              <w:ind w:left="540"/>
              <w:spacing w:after="0" w:line="196" w:lineRule="exact"/>
              <w:rPr>
                <w:sz w:val="20"/>
                <w:szCs w:val="20"/>
                <w:color w:val="auto"/>
              </w:rPr>
            </w:pPr>
            <w:r>
              <w:rPr>
                <w:rFonts w:ascii="Arial" w:cs="Arial" w:eastAsia="Arial" w:hAnsi="Arial"/>
                <w:sz w:val="18"/>
                <w:szCs w:val="18"/>
                <w:color w:val="auto"/>
              </w:rPr>
              <w:t>Dilution</w:t>
            </w:r>
          </w:p>
        </w:tc>
        <w:tc>
          <w:tcPr>
            <w:tcW w:w="4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20" w:type="dxa"/>
            <w:vAlign w:val="bottom"/>
            <w:gridSpan w:val="8"/>
          </w:tcPr>
          <w:p>
            <w:pPr>
              <w:jc w:val="right"/>
              <w:ind w:right="760"/>
              <w:spacing w:after="0" w:line="196" w:lineRule="exact"/>
              <w:rPr>
                <w:sz w:val="20"/>
                <w:szCs w:val="20"/>
                <w:color w:val="auto"/>
              </w:rPr>
            </w:pPr>
            <w:r>
              <w:rPr>
                <w:rFonts w:ascii="Arial" w:cs="Arial" w:eastAsia="Arial" w:hAnsi="Arial"/>
                <w:sz w:val="18"/>
                <w:szCs w:val="18"/>
                <w:color w:val="auto"/>
                <w:w w:val="87"/>
              </w:rPr>
              <w:t>Shareholder Value Transfer</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Shareholder</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Award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auto"/>
              </w:rPr>
              <w:t>Shares</w:t>
            </w:r>
          </w:p>
        </w:tc>
        <w:tc>
          <w:tcPr>
            <w:tcW w:w="1240" w:type="dxa"/>
            <w:vAlign w:val="bottom"/>
            <w:gridSpan w:val="4"/>
          </w:tcPr>
          <w:p>
            <w:pPr>
              <w:jc w:val="right"/>
              <w:ind w:right="320"/>
              <w:spacing w:after="0"/>
              <w:rPr>
                <w:sz w:val="20"/>
                <w:szCs w:val="20"/>
                <w:color w:val="auto"/>
              </w:rPr>
            </w:pPr>
            <w:r>
              <w:rPr>
                <w:rFonts w:ascii="Arial" w:cs="Arial" w:eastAsia="Arial" w:hAnsi="Arial"/>
                <w:sz w:val="18"/>
                <w:szCs w:val="18"/>
                <w:color w:val="auto"/>
              </w:rPr>
              <w:t xml:space="preserve">Dilution </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5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89"/>
              </w:rPr>
              <w:t xml:space="preserve">Fair Value </w:t>
            </w:r>
            <w:r>
              <w:rPr>
                <w:rFonts w:ascii="Arial" w:cs="Arial" w:eastAsia="Arial" w:hAnsi="Arial"/>
                <w:sz w:val="15"/>
                <w:szCs w:val="15"/>
                <w:color w:val="auto"/>
                <w:w w:val="89"/>
              </w:rPr>
              <w:t>(2)</w:t>
            </w:r>
          </w:p>
        </w:tc>
        <w:tc>
          <w:tcPr>
            <w:tcW w:w="10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Transfer</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 of May 2, 2020:</w:t>
            </w:r>
          </w:p>
        </w:tc>
        <w:tc>
          <w:tcPr>
            <w:tcW w:w="2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 xml:space="preserve">Stock options outstanding </w:t>
            </w:r>
            <w:r>
              <w:rPr>
                <w:rFonts w:ascii="Arial" w:cs="Arial" w:eastAsia="Arial" w:hAnsi="Arial"/>
                <w:sz w:val="15"/>
                <w:szCs w:val="15"/>
                <w:color w:val="auto"/>
              </w:rPr>
              <w:t>(3)(4)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538,285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575,965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Deferred stock and RSUs outstanding</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1,301,594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1,913,343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Performance stock units, dependent on market condition</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720,000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1,058,400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Shares available under 2016 Plan </w:t>
            </w:r>
            <w:r>
              <w:rPr>
                <w:rFonts w:ascii="Arial" w:cs="Arial" w:eastAsia="Arial" w:hAnsi="Arial"/>
                <w:sz w:val="15"/>
                <w:szCs w:val="15"/>
                <w:color w:val="auto"/>
              </w:rPr>
              <w:t>(4)</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3,980,412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4,270,953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shares requested under 2016 Plan</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1,740,000</w:t>
            </w:r>
          </w:p>
        </w:tc>
        <w:tc>
          <w:tcPr>
            <w:tcW w:w="12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1.07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1,867,007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 equity dilution including new shares (overhang)</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8,280,291</w:t>
            </w:r>
          </w:p>
        </w:tc>
        <w:tc>
          <w:tcPr>
            <w:tcW w:w="120" w:type="dxa"/>
            <w:vAlign w:val="bottom"/>
            <w:vMerge w:val="continue"/>
          </w:tcPr>
          <w:p>
            <w:pPr>
              <w:spacing w:after="0"/>
              <w:rPr>
                <w:sz w:val="19"/>
                <w:szCs w:val="19"/>
                <w:color w:val="auto"/>
              </w:rPr>
            </w:pPr>
          </w:p>
        </w:tc>
        <w:tc>
          <w:tcPr>
            <w:tcW w:w="1240" w:type="dxa"/>
            <w:vAlign w:val="bottom"/>
            <w:gridSpan w:val="4"/>
          </w:tcPr>
          <w:p>
            <w:pPr>
              <w:jc w:val="right"/>
              <w:ind w:right="40"/>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Shareholder Value Transfer</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9,685,668</w:t>
            </w: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Common shares outstanding at May 2, 2020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51,077,397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75,083,774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40" w:right="160" w:hanging="368"/>
        <w:spacing w:after="0" w:line="257"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Dilution for the additional shares requested under the 2016 Plan is calculated as the additional shares requested divided by the sum of common shares outstanding, outstanding stock options, deferred stock and RSUs outstanding and shares remaining available for issuance under the 2016 Plan and the additional shares requested. Overhang is calculated as the total equity dilution per the table divided by the sum of common shares outstanding, outstanding stock options, deferred stock and RSUs outstanding and shares remaining available for issuance under the 2016 Plan and the additional shares requested.</w:t>
      </w:r>
    </w:p>
    <w:p>
      <w:pPr>
        <w:spacing w:after="0" w:line="79" w:lineRule="exact"/>
        <w:rPr>
          <w:rFonts w:ascii="Arial" w:cs="Arial" w:eastAsia="Arial" w:hAnsi="Arial"/>
          <w:sz w:val="18"/>
          <w:szCs w:val="18"/>
          <w:color w:val="auto"/>
        </w:rPr>
      </w:pPr>
    </w:p>
    <w:p>
      <w:pPr>
        <w:ind w:left="740" w:right="20" w:hanging="368"/>
        <w:spacing w:after="0" w:line="259"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Shareholder Value Transfer is the sum of the fair value of shares available for grant, shares outstanding under existing awards and new shares requested, the sum of which is then divided by the value of total common shares outstanding at May 2, 2020. The average award value for shares available under the 2016 Plan and the new shares requested of $1.07 was calculated using the 200-day average stock price of the Company’s common stock at March 1, 2019 of $1.47 divided by a fungible ratio of 1.37.</w:t>
      </w:r>
    </w:p>
    <w:p>
      <w:pPr>
        <w:spacing w:after="0" w:line="78" w:lineRule="exact"/>
        <w:rPr>
          <w:rFonts w:ascii="Arial" w:cs="Arial" w:eastAsia="Arial" w:hAnsi="Arial"/>
          <w:sz w:val="18"/>
          <w:szCs w:val="18"/>
          <w:color w:val="auto"/>
        </w:rPr>
      </w:pPr>
    </w:p>
    <w:p>
      <w:pPr>
        <w:ind w:left="740" w:right="260" w:hanging="368"/>
        <w:spacing w:after="0" w:line="286"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This dilution calculation assumes all shares granted from the 2016 Plan are options or stock appreciation rights. However, each grant of a full-value award utilizes 1.9 shares from the share reserve. Therefore, if all 1.7 million shares requested were full-value awards, only 0.9 million actual shares would affect dilution to our stockholders, and the effect of dilution would be less than the 2.9% in the table.</w:t>
      </w:r>
    </w:p>
    <w:p>
      <w:pPr>
        <w:spacing w:after="0" w:line="57" w:lineRule="exact"/>
        <w:rPr>
          <w:rFonts w:ascii="Arial" w:cs="Arial" w:eastAsia="Arial" w:hAnsi="Arial"/>
          <w:sz w:val="17"/>
          <w:szCs w:val="17"/>
          <w:color w:val="auto"/>
        </w:rPr>
      </w:pPr>
    </w:p>
    <w:p>
      <w:pPr>
        <w:ind w:left="740" w:right="60" w:hanging="368"/>
        <w:spacing w:after="0" w:line="279" w:lineRule="auto"/>
        <w:tabs>
          <w:tab w:leader="none" w:pos="7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Subsequent to May 2, 2020 as discussed above, the Compensation Committee granted stock options to purchase up to 2,735,542 shares of common stock as time-based awards under the 2020-2022 LTIP, and granted a stock option to purchase up to 450,000 shares of common stock to Mr. Kanter. As a result of these stock option grants, 794,870 shares remained available for issuance under the 2016 Plan at June 19, 2020. These grants did not impact the dilution or shareholder value transfer percentages set forth in the table.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1,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Number of securities</w:t>
            </w: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92"/>
              </w:rPr>
              <w:t>Weighted-average</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remaining available for</w:t>
            </w: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 securities to be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89"/>
              </w:rPr>
              <w:t>exercise price of</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future issuance under</w:t>
            </w: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87"/>
              </w:rPr>
              <w:t>issued upon exercise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91"/>
              </w:rPr>
              <w:t>outstanding</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equity compensation plans</w:t>
            </w:r>
          </w:p>
        </w:tc>
      </w:tr>
      <w:tr>
        <w:trPr>
          <w:trHeight w:val="149"/>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1"/>
              </w:rPr>
              <w:t>outstanding options,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24"/>
              <w:spacing w:after="0"/>
              <w:rPr>
                <w:sz w:val="20"/>
                <w:szCs w:val="20"/>
                <w:color w:val="auto"/>
              </w:rPr>
            </w:pPr>
            <w:r>
              <w:rPr>
                <w:rFonts w:ascii="Arial" w:cs="Arial" w:eastAsia="Arial" w:hAnsi="Arial"/>
                <w:sz w:val="13"/>
                <w:szCs w:val="13"/>
                <w:b w:val="1"/>
                <w:bCs w:val="1"/>
                <w:color w:val="auto"/>
                <w:w w:val="94"/>
              </w:rPr>
              <w:t>options, warrants</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(excluding securities</w:t>
            </w:r>
          </w:p>
        </w:tc>
      </w:tr>
      <w:tr>
        <w:trPr>
          <w:trHeight w:val="148"/>
        </w:trPr>
        <w:tc>
          <w:tcPr>
            <w:tcW w:w="5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4"/>
              </w:rPr>
              <w:t>warrants and rights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95"/>
              </w:rPr>
              <w:t>and rights</w:t>
            </w:r>
          </w:p>
        </w:tc>
        <w:tc>
          <w:tcPr>
            <w:tcW w:w="1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reflected in column (a))</w:t>
            </w:r>
          </w:p>
        </w:tc>
      </w:tr>
      <w:tr>
        <w:trPr>
          <w:trHeight w:val="161"/>
        </w:trPr>
        <w:tc>
          <w:tcPr>
            <w:tcW w:w="5660" w:type="dxa"/>
            <w:vAlign w:val="bottom"/>
            <w:gridSpan w:val="2"/>
          </w:tcPr>
          <w:p>
            <w:pPr>
              <w:spacing w:after="0"/>
              <w:rPr>
                <w:sz w:val="20"/>
                <w:szCs w:val="20"/>
                <w:color w:val="auto"/>
              </w:rPr>
            </w:pPr>
            <w:r>
              <w:rPr>
                <w:rFonts w:ascii="Arial" w:cs="Arial" w:eastAsia="Arial" w:hAnsi="Arial"/>
                <w:sz w:val="13"/>
                <w:szCs w:val="13"/>
                <w:b w:val="1"/>
                <w:bCs w:val="1"/>
                <w:color w:val="auto"/>
              </w:rPr>
              <w:t>Plan category</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444"/>
              <w:spacing w:after="0"/>
              <w:rPr>
                <w:sz w:val="20"/>
                <w:szCs w:val="20"/>
                <w:color w:val="auto"/>
              </w:rPr>
            </w:pPr>
            <w:r>
              <w:rPr>
                <w:rFonts w:ascii="Arial" w:cs="Arial" w:eastAsia="Arial" w:hAnsi="Arial"/>
                <w:sz w:val="13"/>
                <w:szCs w:val="13"/>
                <w:b w:val="1"/>
                <w:bCs w:val="1"/>
                <w:color w:val="auto"/>
                <w:w w:val="96"/>
              </w:rPr>
              <w:t>(b)</w:t>
            </w:r>
          </w:p>
        </w:tc>
        <w:tc>
          <w:tcPr>
            <w:tcW w:w="1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w:t>
            </w: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5"/>
                <w:szCs w:val="15"/>
                <w:color w:val="auto"/>
              </w:rPr>
              <w:t>(1)</w:t>
            </w:r>
          </w:p>
        </w:tc>
        <w:tc>
          <w:tcPr>
            <w:tcW w:w="1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3,095,087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3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3,949,513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5"/>
                <w:szCs w:val="15"/>
                <w:color w:val="auto"/>
              </w:rPr>
              <w:t>(3)</w:t>
            </w:r>
          </w:p>
        </w:tc>
        <w:tc>
          <w:tcPr>
            <w:tcW w:w="1640" w:type="dxa"/>
            <w:vAlign w:val="bottom"/>
          </w:tcPr>
          <w:p>
            <w:pPr>
              <w:jc w:val="right"/>
              <w:spacing w:after="0"/>
              <w:rPr>
                <w:sz w:val="20"/>
                <w:szCs w:val="20"/>
                <w:color w:val="auto"/>
              </w:rPr>
            </w:pPr>
            <w:r>
              <w:rPr>
                <w:rFonts w:ascii="Arial" w:cs="Arial" w:eastAsia="Arial" w:hAnsi="Arial"/>
                <w:sz w:val="18"/>
                <w:szCs w:val="18"/>
                <w:color w:val="auto"/>
              </w:rPr>
              <w:t>96,153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187,897</w:t>
            </w:r>
          </w:p>
        </w:tc>
        <w:tc>
          <w:tcPr>
            <w:tcW w:w="100" w:type="dxa"/>
            <w:vAlign w:val="bottom"/>
          </w:tcPr>
          <w:p>
            <w:pPr>
              <w:spacing w:after="0"/>
              <w:rPr>
                <w:sz w:val="19"/>
                <w:szCs w:val="19"/>
                <w:color w:val="auto"/>
              </w:rPr>
            </w:pPr>
          </w:p>
        </w:tc>
      </w:tr>
      <w:tr>
        <w:trPr>
          <w:trHeight w:val="223"/>
        </w:trPr>
        <w:tc>
          <w:tcPr>
            <w:tcW w:w="56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3,191,240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4,137,410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40" w:right="320" w:hanging="368"/>
        <w:spacing w:after="0" w:line="277"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754,833 outstanding stock options, 1,324,650 outstanding RSUs, 720,000 outstanding PSUs and 295,604 outstanding deferred stock awards.</w:t>
      </w:r>
    </w:p>
    <w:p>
      <w:pPr>
        <w:spacing w:after="0" w:line="62" w:lineRule="exact"/>
        <w:rPr>
          <w:rFonts w:ascii="Arial" w:cs="Arial" w:eastAsia="Arial" w:hAnsi="Arial"/>
          <w:sz w:val="18"/>
          <w:szCs w:val="18"/>
          <w:color w:val="auto"/>
        </w:rPr>
      </w:pPr>
    </w:p>
    <w:p>
      <w:pPr>
        <w:ind w:left="740" w:right="400" w:hanging="368"/>
        <w:spacing w:after="0" w:line="277"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weighted-average exercise price is calculated solely based upon outstanding stock options and excludes RSUs, PSUs and deferred stock awards.</w:t>
      </w:r>
    </w:p>
    <w:p>
      <w:pPr>
        <w:spacing w:after="0" w:line="62" w:lineRule="exact"/>
        <w:rPr>
          <w:rFonts w:ascii="Arial" w:cs="Arial" w:eastAsia="Arial" w:hAnsi="Arial"/>
          <w:sz w:val="18"/>
          <w:szCs w:val="18"/>
          <w:color w:val="auto"/>
        </w:rPr>
      </w:pPr>
    </w:p>
    <w:p>
      <w:pPr>
        <w:ind w:left="740" w:right="60" w:hanging="368"/>
        <w:spacing w:after="0" w:line="263"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Pursuant to the Non-Employee Director Compensation Plan, we have 500,000 shares authorized for stock issuances in lieu of cash director fees, of which 187,897 shares were available at February 1, 2020. On December 19, 2019, the Company granted 96,153 RSUs, which vested on April 1, 2020, as an inducement award.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Incentive Compensation Plan</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The following is a summary of the 2016 Plan and is qualified in its entirety by reference to the full text of the 2016 Plan as proposed to be amended, which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 The summary of the 2016 Plan may not contain all the information that is important to you and you should read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carefully before you decide how to vote.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Purpose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2016 Plan is to:</w:t>
      </w:r>
    </w:p>
    <w:p>
      <w:pPr>
        <w:spacing w:after="0" w:line="117" w:lineRule="exact"/>
        <w:rPr>
          <w:sz w:val="20"/>
          <w:szCs w:val="20"/>
          <w:color w:val="auto"/>
        </w:rPr>
      </w:pPr>
    </w:p>
    <w:p>
      <w:pPr>
        <w:ind w:left="740" w:right="860" w:hanging="368"/>
        <w:spacing w:after="0" w:line="232" w:lineRule="auto"/>
        <w:tabs>
          <w:tab w:leader="none" w:pos="740" w:val="left"/>
        </w:tabs>
        <w:numPr>
          <w:ilvl w:val="0"/>
          <w:numId w:val="46"/>
        </w:numPr>
        <w:rPr>
          <w:rFonts w:ascii="Arial" w:cs="Arial" w:eastAsia="Arial" w:hAnsi="Arial"/>
          <w:sz w:val="22"/>
          <w:szCs w:val="22"/>
          <w:color w:val="auto"/>
        </w:rPr>
      </w:pPr>
      <w:r>
        <w:rPr>
          <w:rFonts w:ascii="Arial" w:cs="Arial" w:eastAsia="Arial" w:hAnsi="Arial"/>
          <w:sz w:val="18"/>
          <w:szCs w:val="18"/>
          <w:color w:val="auto"/>
        </w:rPr>
        <w:t>assist the Company in attracting, motivating, retaining and rewarding high-quality executives and other employees, officers, directors, consultants and other persons who provide services to the Company;</w:t>
      </w:r>
    </w:p>
    <w:p>
      <w:pPr>
        <w:spacing w:after="0" w:line="95" w:lineRule="exact"/>
        <w:rPr>
          <w:rFonts w:ascii="Arial" w:cs="Arial" w:eastAsia="Arial" w:hAnsi="Arial"/>
          <w:sz w:val="22"/>
          <w:szCs w:val="22"/>
          <w:color w:val="auto"/>
        </w:rPr>
      </w:pPr>
    </w:p>
    <w:p>
      <w:pPr>
        <w:ind w:left="740" w:right="560" w:hanging="368"/>
        <w:spacing w:after="0" w:line="232" w:lineRule="auto"/>
        <w:tabs>
          <w:tab w:leader="none" w:pos="740" w:val="left"/>
        </w:tabs>
        <w:numPr>
          <w:ilvl w:val="0"/>
          <w:numId w:val="46"/>
        </w:numPr>
        <w:rPr>
          <w:rFonts w:ascii="Arial" w:cs="Arial" w:eastAsia="Arial" w:hAnsi="Arial"/>
          <w:sz w:val="22"/>
          <w:szCs w:val="22"/>
          <w:color w:val="auto"/>
        </w:rPr>
      </w:pPr>
      <w:r>
        <w:rPr>
          <w:rFonts w:ascii="Arial" w:cs="Arial" w:eastAsia="Arial" w:hAnsi="Arial"/>
          <w:sz w:val="18"/>
          <w:szCs w:val="18"/>
          <w:color w:val="auto"/>
        </w:rPr>
        <w:t>enable persons participating in the plan to acquire or increase a proprietary interest in the Company in order to strengthen the mutuality of interests between them and our stockholders, and</w:t>
      </w:r>
    </w:p>
    <w:p>
      <w:pPr>
        <w:spacing w:after="0" w:line="84" w:lineRule="exact"/>
        <w:rPr>
          <w:rFonts w:ascii="Arial" w:cs="Arial" w:eastAsia="Arial" w:hAnsi="Arial"/>
          <w:sz w:val="22"/>
          <w:szCs w:val="22"/>
          <w:color w:val="auto"/>
        </w:rPr>
      </w:pPr>
    </w:p>
    <w:p>
      <w:pPr>
        <w:ind w:left="740" w:hanging="368"/>
        <w:spacing w:after="0"/>
        <w:tabs>
          <w:tab w:leader="none" w:pos="740" w:val="left"/>
        </w:tabs>
        <w:numPr>
          <w:ilvl w:val="0"/>
          <w:numId w:val="46"/>
        </w:numPr>
        <w:rPr>
          <w:rFonts w:ascii="Arial" w:cs="Arial" w:eastAsia="Arial" w:hAnsi="Arial"/>
          <w:sz w:val="21"/>
          <w:szCs w:val="21"/>
          <w:color w:val="auto"/>
        </w:rPr>
      </w:pPr>
      <w:r>
        <w:rPr>
          <w:rFonts w:ascii="Arial" w:cs="Arial" w:eastAsia="Arial" w:hAnsi="Arial"/>
          <w:sz w:val="17"/>
          <w:szCs w:val="17"/>
          <w:color w:val="auto"/>
        </w:rPr>
        <w:t>provide persons participating in the plan with performance incentives to expend their maximum efforts in the creation of stockholder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Eligible Participants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persons eligible to receive awards under the 2016 Plan are our officers, directors, employees and consultants or other persons who provide services to our Company. An employee on leave of absence may be considered as still employed for purposes of eligibility for participation in the 2016 Plan. As of the date of this proxy statement, there are approximately 27 employees, 7 non-employee directors as well as service providers of the Company and its affiliates who would be eligible to participate in the 2016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Administration</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Board has selected the Compensation Committee (the “Committee”) to administer the 2016 Plan. All Committee members must be "non-employee directors" as defined by Rule 16b-3 of the Exchange Act. The Board may in its discretion elect to administer 2016 Plan, provided that it is administered only by those directors who are independent within the meaning of the 2016 Plan. Subject to the terms of the 2016 Plan, the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auto"/>
        </w:rPr>
        <w:t>Shares Available for Awards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shares to be delivered under the 2016 Plan may be authorized but unissued shares of our common stock or treasury shares. Under the 2016 Plan, as proposed to be amended pursuant to this Proposal 4, the total number of shares of common stock that may be subject to the granting of awards under the 2016 Plan shall be equal to the sum of (i) 9,740,000 shares, plus (ii) 525,538 shares that were available for issuance but not granted under the 2006 Plan that rolled into the 2016 Plan on August 4, 2016, plus (iii) the number of shares subject to outstanding awards under the 2006 Plan that are forfeited, expire or terminate without delivery of shares. As of May 2, 2020, 3,980,412 shares of our common stock remained available for issuance under our 2016 Plan. In addition, at May 2, 2020, there were 504,024 stock options outstanding that were issued under the 2006 Plan, which if not exercised will become available for grant under our 2016 Plan. As a result of awards made subsequent to May 2, 2020 as discussed above, the number of shares that remained available for issuance under the 2016 Plan as of June 19, 2020 was 794,870 shares.</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Shares issued in respect of any full-value award, such as restricted stock and RSUs, are counted against the share limit as 1.9 shares of stock for every 1 share issued. Each share issued in respect of stock options or stock appreciation rights (SARs) are counted against the share limit as 1 share of stock for every 1 share issued.</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shares of stock that again become available for award under the 2016 Plan shall be added as 1 share for every 1 share of stock options or SARs and 1.9 shares for every 1 full-value award.</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2016 Plan pursuant to the acquisition of a business are not subject to, and do not count against, the foregoing limit.</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Subject to the increase in the share reserve described above, the maximum aggregate number of shares that may be delivered under the 2016 Plan as a result of the exercise of ISOs is 9,740,000 shares. In addition, a director who is not an employee or a consultant may not be granted an award that has a fair value, as of the date of grant, which exceeds $300,000 in the aggregate.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Per-Person Limitations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any fiscal year during any part of which the 2016 Plan is in effect, the number of options, SARs and performance shares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2016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Equitable Adjustments</w:t>
      </w:r>
    </w:p>
    <w:p>
      <w:pPr>
        <w:spacing w:after="0" w:line="13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 If the Board determines to effect a reverse stock split, as described in Proposal 3, at the effective time of the reverse stock split, (i) the number of shares authorized and available for issuance under the 2016 Plan will be reduced proportionately based on the ratio of the reverse stock split and (ii) outstanding equity awards under the 2016 Plan will be reduced proportionately and the per share exercise price of any stock options will be proportionately increased, based on the ratio of the reverse stock split. The Committee is also authorized to adjust performance conditions and other terms of awards in response to these kinds of events or in response to changes in applicable laws, regulations or accounting principles.</w:t>
      </w:r>
    </w:p>
    <w:p>
      <w:pPr>
        <w:spacing w:after="0" w:line="2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Committee is also authorized to adjust the limitations on the amount of certain awards in the event of any merger, consolidation or other reorganization in which the Company does not survive, or in the event of any change in control (as defined in the 2016 Plan), by taking any of the following approaches, without the requirement of obtaining consent from any plan participant: (1) continuation of the outstanding awards by the Company, if the Company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auto"/>
        </w:rPr>
        <w:t>Minimum Vesting Requirement</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Except with respect to 5% of the shares of common stock available for awards under the 2016 Plan, no award will become exercisable or otherwise non-forfeitable unless such award has been outstanding for a minimum period of one year from its date of grant. The Committee reserves the general discretion to accelerate vesting of awards in connection with the participant’s death, disability, termination of service or change in control.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2016 Plan authorizes grants of a variety of awards described below. The Committee, or the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Committee, consistent with the provisions of the 2016 Plan. Each award agreement shall either be (i) in writing in a form approved by the Committee and executed by the Company by an officer duly authorized to act on its behalf, or (ii) an electronic notice in a form approved by the Committee and recorded by the Company in an electronic recordkeeping system used for tracking awards.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Committee is authorized to grant stock options, including both incentive stock options (“ISOs”) (which must comply with provisions of Section 422 of the Internal Revenue Code and can result in potentially favorable 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Committee, but must not be less than the fair market value of a share of common stock on the date of grant. The grant price of an SAR is determined by the Committee, but must not be less than (i) the fair market value of a share of common stock on the date of grant or, (ii) in the case of an SAR issued in tandem with an ISO, the exercise price of the option granted in tandem with the SAR.</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purposes of the 2016 Plan, the term "fair market value" means the fair market value of the common stock, awards or other property as determined by the Committee or under procedures established by the Committee. Unless otherwise determined by the Committee or our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aggregate fair market value with respect to ISOs granted under the Plan that become exercisable for the participant during any calendar year shall not exceed $100,000.</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The 2016 Plan also permits net share settlement of nonqualified stock options. Methods of exercise and settlement and other terms of the SARs are determined by the Committee.</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Other than in connection with standard adjustments (as set forth in Section 11(c) of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Committee shall not be permitted to take any other action with respect to an option or SAR that may be treated as a repricing, in each case, without approval of our stockholders.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Restricted Stock Awards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Committee is authorized to grant restricted stock, which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and has the right to receive dividends.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 including RSUs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Committee is authorized to grant deferred awards, which include deferred stock and RSUs. An award of deferred stock or RSUs entitles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or RSUs carries no voting or dividend rights or other rights associated with share ownership, although dividend equivalents may be granted, as discussed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Stock and Awards in Lieu of Cash Obligations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2016 Plan or other plans or compensatory arrangements, subject to such terms as the Committee may specify.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Committee. The amount of any performance awards to be distributed shall be conclusively determined by the Committee. Performance awards may be paid in a lump sum or in installments following the close of an applicable performance period, or, in accordance with procedures established by the Committee, on a deferred basis in a manner that does not violate the requirements of Section 409A of the Internal Revenue Code (“Section 409A”).</w:t>
      </w:r>
    </w:p>
    <w:p>
      <w:pPr>
        <w:spacing w:after="0" w:line="19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Subject to the requirements of the 2016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the Fair Market Value of a Share, and (15) any of the above goals determined on an absolute or relative basis or as compared to the performance of a published or special index deemed applicable by the Committee including, but not limited to, the Standard &amp; Poor's 500 Stock Index or a group of comparable companies. Except as otherwise specified by the Committee at the time the goals are set, the Committee shall exclude the impact of (i) 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 (iv) any other item or event specified by the Committee at the time the goals are set. Achievement of performance goals in respect of performance awards shall be measured over a performance period no shorter than 12 months and no longer than 5 years, as further specified by the Committee.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20"/>
        <w:spacing w:after="0" w:line="279" w:lineRule="auto"/>
        <w:rPr>
          <w:sz w:val="20"/>
          <w:szCs w:val="20"/>
          <w:color w:val="auto"/>
        </w:rPr>
      </w:pPr>
      <w:r>
        <w:rPr>
          <w:rFonts w:ascii="Arial" w:cs="Arial" w:eastAsia="Arial" w:hAnsi="Arial"/>
          <w:sz w:val="17"/>
          <w:szCs w:val="17"/>
          <w:color w:val="auto"/>
        </w:rPr>
        <w:t>In granting performance awards, the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7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2016 Plan. The Committee may, in its discretion, determine that the amount payable as a performance award will be reduced from the amount of any potential award.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Stock-Based Awards</w:t>
      </w:r>
    </w:p>
    <w:p>
      <w:pPr>
        <w:spacing w:after="0" w:line="13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The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Terms of Awards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2016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Awards under the 2016 Plan are generally granted without a requirement that the participant pay consideration in the form of cash or property for the grant (as distinguished from the exercise), except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 on Repricing</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described above under “Stock Options and SARs,” repricing of stock options and SARs is not permitted without stockholder approval. The Committee may, however, grant awards in exchange for other awards under the 2016 Plan or under other Company plans, or other rights to payment from us, and may grant awards in addition to such other awards, rights or other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Restrictions on Transferability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2016 Plan, no award can be pledged, hypothecated or otherwise encumbered or subject to any lien, obligation or liability of the participant to any party, or assigned or transferred by the participant other than by 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Committee pursuant to the express terms of an Award Agreement, are by gift or pursuant to a domestic relations order, and are to a “Permitted Assignee” that is a permissible transferee under the applicable rules of the Securities and Exchange Commission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Clawback</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Awards made under the 2016 Plan shall be subject to the applicable provisions of the Company’s clawback or recoupment policies as may be in effect from time to time. In addition to the terms of the Company’s clawback policy, the 2016 Plan provides that, if a participant, while employed by or providing services to the Company, or after termination of employment or service violates a non-competition, non-solicitation or non-disclosure covenant or agreement, or otherwise engages in activity that is in conflict with or adverse to the interest of the Company, as determined by the Committee, then the participant’s awards under the 2016 Plan may be forfeited and the Committee may require the participant to pay to the Company all or any portion of the gain realized upon exercise or vesting of an award.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Control</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the event of a change of control, the 2016 Plan provides that Committee in effect immediately preceding the change in control may, in its sole discretion, accelerate the exercisability, the lapsing of restrictions or the expiration of deferral or vesting periods of any award upon a “double trigger,” i.e., upon certain terminations of employment without “justifiable cause” or for “good reason” within 6 months before or 18 months after a change in control. In addition, the Committee may provide in an award agreement that the performance goals relating to any performance based award will be deemed to have been met upon the occurrence of any "change in control," again upon a “double trigger” as described in this paragraph.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and Termination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may amend, alter, suspend, discontinue or terminate the 2016 Plan or the Committee's authority to grant awards without further stockholder approval, except stockholder approval must be obtained, no later than the next annual meeting following Board approval for such amendment,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our Board may, in its discretion, seek stockholder approval in any circumstance in which it deems such approval advisable. Unless earlier terminated by our Board, the 2016 Plan will terminate at the earliest of (i) such time as no shares of common stock remain available for issuance under the 2016 Plan or (ii) the tenth anniversary of the effective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2016 Plan is not qualified under the provisions of Section 401(a) of the Internal Revenue Code and is not subject to any of the provisions of the Employee Retirement Income Security Act of 1974. The following is a brief summary of the principal United States federal income tax consequences of awards under the 2016 Plan. This summary is not intended to be exhaustive and does not describe state, local or foreign tax laws.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8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6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will be entitled to a deduction for Federal income tax purposes equal to the amount of ordinary income taxable to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Incentive Stock Options</w:t>
      </w:r>
    </w:p>
    <w:p>
      <w:pPr>
        <w:spacing w:after="0" w:line="13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2016 Plan provides for the grant of stock options that qualify as "incentive stock options" as defined in Section 422 of the Internal Revenue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7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9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general, there will be no federal income tax deduction allowed to us upon the grant or termination of SARs. Upon the exercise of a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recipient will not have income upon the grant of a RSU or a grant of deferred shares. Also, unlike restricted stock, the recipient is not permitted to make a Section 83(b) election. When the RSU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of the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409A</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RSUs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Section 162(m) Limit on Deductibility of Compensation</w:t>
      </w:r>
      <w:r>
        <w:rPr>
          <w:rFonts w:ascii="Arial" w:cs="Arial" w:eastAsia="Arial" w:hAnsi="Arial"/>
          <w:sz w:val="18"/>
          <w:szCs w:val="18"/>
          <w:color w:val="auto"/>
        </w:rPr>
        <w:t>. Section 162(m) of the Internal Revenue Code limits our deduction to $1 million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per person per year, including compensation arising from awards granted under the 2016 Plan, with respect to certain covered employees, including our Chief Executive Officer and Chief Financial Officer. See “</w:t>
      </w:r>
      <w:r>
        <w:rPr>
          <w:rFonts w:ascii="Arial" w:cs="Arial" w:eastAsia="Arial" w:hAnsi="Arial"/>
          <w:sz w:val="18"/>
          <w:szCs w:val="18"/>
          <w:i w:val="1"/>
          <w:iCs w:val="1"/>
          <w:color w:val="auto"/>
        </w:rPr>
        <w:t>Compensation Discussion and Analysis - Tax Implications</w:t>
      </w:r>
      <w:r>
        <w:rPr>
          <w:rFonts w:ascii="Arial" w:cs="Arial" w:eastAsia="Arial" w:hAnsi="Arial"/>
          <w:sz w:val="18"/>
          <w:szCs w:val="18"/>
          <w:color w:val="auto"/>
        </w:rPr>
        <w:t>” above for additional information about Section 162(m).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Awards granted under the 2016 Plan are within the discretion of the Committee. As discussed above under “</w:t>
      </w:r>
      <w:r>
        <w:rPr>
          <w:rFonts w:ascii="Arial" w:cs="Arial" w:eastAsia="Arial" w:hAnsi="Arial"/>
          <w:sz w:val="16"/>
          <w:szCs w:val="16"/>
          <w:i w:val="1"/>
          <w:iCs w:val="1"/>
          <w:color w:val="auto"/>
        </w:rPr>
        <w:t>Compensation Discussion and Analysis- Long-Term Incentive Plans</w:t>
      </w:r>
      <w:r>
        <w:rPr>
          <w:rFonts w:ascii="Arial" w:cs="Arial" w:eastAsia="Arial" w:hAnsi="Arial"/>
          <w:sz w:val="16"/>
          <w:szCs w:val="16"/>
          <w:color w:val="auto"/>
        </w:rPr>
        <w:t>”, if performance targets under the Company’s LTIPs are achieved, performance-based awards earned and approved by the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granted from the 2016 Plan. The number of shares that may be awarded under the LTIP cannot currently be determined due to the fact that the number of shares will be based on the closing price of our common stock, as determined on the date of grant. However, assuming that we are able to achieve the performance targets, at target, we can estimate the amount of the award that each participant is entitled to receive. Assuming that the performance targets under the 2018-2020 LTIP are achieved at the target level, the total award value of shares that would be granted would be approximately $1.2 million. Assuming that performance targets under the 2019-2021 LTIP are achieved at the target level, and further assuming that 50% of any award would be in equity, the total award value of shares that would be granted would be approximately $1.0 million. Assuming the performance targets under the 2020-2022 LTIP are achieved at the target level, and further assuming that 100% of any award would be in equity, the total award value of shares that would be granted would be approximately $1.9 million. Similarly, while we are unable to determine the number of shares that may be granted to our non-employee directors in connection with their Required Equity, we are able to calculate the dollar value of such grants.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line="293" w:lineRule="auto"/>
        <w:rPr>
          <w:sz w:val="20"/>
          <w:szCs w:val="20"/>
          <w:color w:val="auto"/>
        </w:rPr>
      </w:pPr>
      <w:r>
        <w:rPr>
          <w:rFonts w:ascii="Arial" w:cs="Arial" w:eastAsia="Arial" w:hAnsi="Arial"/>
          <w:sz w:val="16"/>
          <w:szCs w:val="16"/>
          <w:color w:val="auto"/>
        </w:rPr>
        <w:t>The following table reflects the value of performance-based awards that could be earned, at target, by each Named Executive Officer, all of our current executive officers as a group (including Named Executive Officers), all employees as a group (excluding executive officers) and all non-executive directors as a group. Messrs. Levin, Reaves and Davey are excluded from the following table, because any compensation they are entitled to under the 2018-2020 LTIP would be settled in cash. Messrs. Levin, Reaves and Davey are not participants in the 2019-2021 LTIP or 2020-2022 LTIP. The table also reflects the value of the Required Equity to be paid for the remainder of fiscal 2020 to our non-employee directors. The benefits and amounts that may be awarded under the 2016 Plan beyond fiscal 2019, the 2018-2020 LTIP, 2019-2021 LTIP and 2020-2022 LTIP cannot otherwise currently be determined.</w:t>
      </w:r>
    </w:p>
    <w:p>
      <w:pPr>
        <w:spacing w:after="0" w:line="178" w:lineRule="exact"/>
        <w:rPr>
          <w:sz w:val="20"/>
          <w:szCs w:val="20"/>
          <w:color w:val="auto"/>
        </w:rPr>
      </w:pPr>
    </w:p>
    <w:tbl>
      <w:tblPr>
        <w:tblLayout w:type="fixed"/>
        <w:tblInd w:w="880" w:type="dxa"/>
        <w:tblCellMar>
          <w:top w:w="0" w:type="dxa"/>
          <w:left w:w="0" w:type="dxa"/>
          <w:bottom w:w="0" w:type="dxa"/>
          <w:right w:w="0" w:type="dxa"/>
        </w:tblCellMar>
      </w:tblPr>
      <w:tr>
        <w:trPr>
          <w:trHeight w:val="149"/>
        </w:trPr>
        <w:tc>
          <w:tcPr>
            <w:tcW w:w="6000" w:type="dxa"/>
            <w:vAlign w:val="bottom"/>
            <w:vMerge w:val="restart"/>
          </w:tcPr>
          <w:p>
            <w:pPr>
              <w:spacing w:after="0"/>
              <w:rPr>
                <w:sz w:val="20"/>
                <w:szCs w:val="20"/>
                <w:color w:val="auto"/>
              </w:rPr>
            </w:pPr>
            <w:r>
              <w:rPr>
                <w:rFonts w:ascii="Arial" w:cs="Arial" w:eastAsia="Arial" w:hAnsi="Arial"/>
                <w:sz w:val="13"/>
                <w:szCs w:val="13"/>
                <w:b w:val="1"/>
                <w:bCs w:val="1"/>
                <w:color w:val="auto"/>
              </w:rPr>
              <w:t>Plan Name: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Performance-Based Portion of LTIPs and Non-</w:t>
            </w:r>
          </w:p>
        </w:tc>
        <w:tc>
          <w:tcPr>
            <w:tcW w:w="0" w:type="dxa"/>
            <w:vAlign w:val="bottom"/>
          </w:tcPr>
          <w:p>
            <w:pPr>
              <w:spacing w:after="0"/>
              <w:rPr>
                <w:sz w:val="1"/>
                <w:szCs w:val="1"/>
                <w:color w:val="auto"/>
              </w:rPr>
            </w:pPr>
          </w:p>
        </w:tc>
      </w:tr>
      <w:tr>
        <w:trPr>
          <w:trHeight w:val="93"/>
        </w:trPr>
        <w:tc>
          <w:tcPr>
            <w:tcW w:w="60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4"/>
              </w:rPr>
              <w:t>Employee Director Compensation Plan</w:t>
            </w:r>
            <w:r>
              <w:rPr>
                <w:rFonts w:ascii="Arial" w:cs="Arial" w:eastAsia="Arial" w:hAnsi="Arial"/>
                <w:sz w:val="11"/>
                <w:szCs w:val="11"/>
                <w:b w:val="1"/>
                <w:bCs w:val="1"/>
                <w:color w:val="auto"/>
                <w:w w:val="94"/>
              </w:rPr>
              <w:t>(1)</w:t>
            </w:r>
          </w:p>
        </w:tc>
        <w:tc>
          <w:tcPr>
            <w:tcW w:w="0" w:type="dxa"/>
            <w:vAlign w:val="bottom"/>
          </w:tcPr>
          <w:p>
            <w:pPr>
              <w:spacing w:after="0"/>
              <w:rPr>
                <w:sz w:val="1"/>
                <w:szCs w:val="1"/>
                <w:color w:val="auto"/>
              </w:rPr>
            </w:pPr>
          </w:p>
        </w:tc>
      </w:tr>
      <w:tr>
        <w:trPr>
          <w:trHeight w:val="81"/>
        </w:trPr>
        <w:tc>
          <w:tcPr>
            <w:tcW w:w="6000" w:type="dxa"/>
            <w:vAlign w:val="bottom"/>
            <w:vMerge w:val="restart"/>
          </w:tcPr>
          <w:p>
            <w:pPr>
              <w:spacing w:after="0"/>
              <w:rPr>
                <w:sz w:val="20"/>
                <w:szCs w:val="20"/>
                <w:color w:val="auto"/>
              </w:rPr>
            </w:pPr>
            <w:r>
              <w:rPr>
                <w:rFonts w:ascii="Arial" w:cs="Arial" w:eastAsia="Arial" w:hAnsi="Arial"/>
                <w:sz w:val="13"/>
                <w:szCs w:val="13"/>
                <w:b w:val="1"/>
                <w:bCs w:val="1"/>
                <w:color w:val="auto"/>
              </w:rPr>
              <w:t>Participant Name</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0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Peter H. Stratton, Jr.</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345,625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Francis C. Chane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252,000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Executive Group</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2,548,798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Non-Executive Employee grants</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1,573,486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Non-Executive Director Group</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182,500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740" w:right="200" w:hanging="368"/>
        <w:spacing w:after="0" w:line="257" w:lineRule="auto"/>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Under the 2018-2020 LTIP, 100% of any award earned will be granted in RSUs, under the 2019-2021 LTIP 50% of any award earned will be granted in RSUs and it is assumed that 100% of any award under the 2020-2022 LTIP will be granted in 100% RSUs. Any RSUs issued under the 2018-2020 LTIP, 2019-2021 LTIP and 2020-2022 LTIP would vest on August 31, 2021, August 31, 2022, and August 31, 2023, respectively. For the Non-Executive Director Group, the above amount represents the value of Required Equity and the voluntary election of deferred stock for the remainder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votes properly cast is required for approval of Proposal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 xml:space="preserve">The future success of our Company depends, in large part, upon our ability to maintain a competitive position in attracting, retaining and motivating key personnel by providing them meaningful opportunities to share in the ownership of our Company, thus aligning their interests with those of our stockholders. </w:t>
      </w:r>
      <w:r>
        <w:rPr>
          <w:rFonts w:ascii="Arial" w:cs="Arial" w:eastAsia="Arial" w:hAnsi="Arial"/>
          <w:sz w:val="16"/>
          <w:szCs w:val="16"/>
          <w:b w:val="1"/>
          <w:bCs w:val="1"/>
          <w:color w:val="auto"/>
        </w:rPr>
        <w:t>Accordingly, the Board of Directors recommends that you vote “FOR” the amendments to the 2016 Incentive Compensation Plan.</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PROPOSAL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January 30, 2021, subject to completion of KPMG’s customary client acceptance procedures. KPMG has served as our independent registered public accounting firm since June 6, 2013.</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February 1, 2020 (“fiscal 2019”) and February 2, 2019 (“fiscal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2019</w:t>
            </w: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b w:val="1"/>
                <w:bCs w:val="1"/>
                <w:color w:val="auto"/>
              </w:rPr>
              <w:t>Fiscal 2018</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905,777</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948,727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 (2)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907,557</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950,507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740" w:right="120" w:hanging="368"/>
        <w:spacing w:after="0" w:line="257" w:lineRule="auto"/>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Audit Fees related to professional services rendered in connection with the audits of our financial statements included in our Annual Reports on Form 10-K for fiscal 2019 and fiscal 2018, for services performed related to compliance with Section 404 of the Sarbanes-Oxley Act of 2002, and for reviews of the financial statements included in each of our Quarterly Reports on Form 10-Q. Audit Fees in fiscal 2019 and fiscal 2018 also included work performed in connection with the Company’s adoption of ASC 842 and fiscal 2019 includes </w:t>
      </w:r>
      <w:r>
        <w:rPr>
          <w:rFonts w:ascii="Arial" w:cs="Arial" w:eastAsia="Arial" w:hAnsi="Arial"/>
          <w:sz w:val="18"/>
          <w:szCs w:val="18"/>
          <w:color w:val="212121"/>
        </w:rPr>
        <w:t>services provided in connection</w:t>
      </w:r>
      <w:r>
        <w:rPr>
          <w:rFonts w:ascii="Arial" w:cs="Arial" w:eastAsia="Arial" w:hAnsi="Arial"/>
          <w:sz w:val="18"/>
          <w:szCs w:val="18"/>
          <w:color w:val="auto"/>
        </w:rPr>
        <w:t xml:space="preserve"> </w:t>
      </w:r>
      <w:r>
        <w:rPr>
          <w:rFonts w:ascii="Arial" w:cs="Arial" w:eastAsia="Arial" w:hAnsi="Arial"/>
          <w:sz w:val="18"/>
          <w:szCs w:val="18"/>
          <w:color w:val="212121"/>
        </w:rPr>
        <w:t xml:space="preserve">with our registration statements on Form </w:t>
      </w:r>
      <w:r>
        <w:rPr>
          <w:rFonts w:ascii="Arial" w:cs="Arial" w:eastAsia="Arial" w:hAnsi="Arial"/>
          <w:sz w:val="18"/>
          <w:szCs w:val="18"/>
          <w:color w:val="252525"/>
        </w:rPr>
        <w:t>S</w:t>
      </w:r>
      <w:r>
        <w:rPr>
          <w:rFonts w:ascii="Arial" w:cs="Arial" w:eastAsia="Arial" w:hAnsi="Arial"/>
          <w:sz w:val="18"/>
          <w:szCs w:val="18"/>
          <w:color w:val="212121"/>
        </w:rPr>
        <w:t>-</w:t>
      </w:r>
      <w:r>
        <w:rPr>
          <w:rFonts w:ascii="Arial" w:cs="Arial" w:eastAsia="Arial" w:hAnsi="Arial"/>
          <w:sz w:val="18"/>
          <w:szCs w:val="18"/>
          <w:color w:val="252525"/>
        </w:rPr>
        <w:t>8.</w:t>
      </w:r>
    </w:p>
    <w:p>
      <w:pPr>
        <w:spacing w:after="0" w:line="79" w:lineRule="exact"/>
        <w:rPr>
          <w:rFonts w:ascii="Arial" w:cs="Arial" w:eastAsia="Arial" w:hAnsi="Arial"/>
          <w:sz w:val="18"/>
          <w:szCs w:val="18"/>
          <w:color w:val="auto"/>
        </w:rPr>
      </w:pPr>
    </w:p>
    <w:p>
      <w:pPr>
        <w:ind w:left="740" w:hanging="368"/>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Chairperson of the Audit Committee in time sensitive cases. The Audit Committee will regularly review summary reports detailing all services (and related fees and expenses) being provided to us by the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2019 and fiscal 2018 under Audit Fees and All Other Fees were pre-approved by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January 30,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The Audit Committee and the Board of Directors recommends that you vote FOR the ratification of the appointment of KPMG LLP as our independent registered public accounting firm for the fiscal year ending January 30,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and is responsible for the appointment, compensation and oversight of the Company’s independent registered public accounting firm.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for the fiscal year ended February 1, 2020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February 1, 2020 with U.S. generally accepted accounting principles, their judgments as to the quality, not just the acceptability, of our accounting principles and such other matters as are required to be discussed with the Audit Committee by the applicable requirements of the Public Company Accounting Oversight Board and the SEC.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eight meetings during the fiscal year ended February 1, 2020.</w:t>
      </w:r>
    </w:p>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(and the Board approved) that the audited consolidated financial statements be included in the Annual Report on Form 10-K for the fiscal year ended February 1, 2020 for filing with the SEC.</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Pursuant to Section 404 of the Sarbanes-Oxley Act, management was required to prepare as part of our Annual Report on Form 10-K for the year ended February 1, 2020 a report on its assessment of our internal control over financial reporting, including management’s assessment of the effectiveness of such internal controls. KPMG LLP issued an audit report relative to our internal control over financial reporting at February 1, 2020. During the course of the fiscal year ended February 1, 2020,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are included as part of our Annual Report on Form 10-K for the year ended February 1, 2020.</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The Audit Committee is governed by a written charter, which can be found under “Corporate Governance – Charters &amp; Policies” on the Investor Relations page of our website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The members of the Audit Committee are considered independent because they satisfy the independence requirements for Board members prescribed by the Nasdaq listing standards and Rule 10A-3 of the Exchange Act.</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Ward K. Mooney,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Lionel F. Conacher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 E. Kyees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Willem Mesdag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2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June 19, 2020. We were informed that, except as indicated, each person has sole voting and investment power with respect to all shares of our common stock shown as beneficially owned by such person, subject to community property laws where applicable.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Arial" w:cs="Arial" w:eastAsia="Arial" w:hAnsi="Arial"/>
                <w:sz w:val="16"/>
                <w:szCs w:val="16"/>
                <w:b w:val="1"/>
                <w:bCs w:val="1"/>
                <w:color w:val="auto"/>
                <w:w w:val="97"/>
              </w:rPr>
              <w:t>Number of Shares</w:t>
            </w:r>
          </w:p>
        </w:tc>
        <w:tc>
          <w:tcPr>
            <w:tcW w:w="480" w:type="dxa"/>
            <w:vAlign w:val="bottom"/>
          </w:tcPr>
          <w:p>
            <w:pPr>
              <w:spacing w:after="0"/>
              <w:rPr>
                <w:sz w:val="17"/>
                <w:szCs w:val="17"/>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6"/>
                <w:szCs w:val="16"/>
                <w:b w:val="1"/>
                <w:bCs w:val="1"/>
                <w:color w:val="auto"/>
                <w:w w:val="89"/>
              </w:rPr>
              <w:t>Percent of Class</w:t>
            </w:r>
          </w:p>
        </w:tc>
      </w:tr>
      <w:tr>
        <w:trPr>
          <w:trHeight w:val="213"/>
        </w:trPr>
        <w:tc>
          <w:tcPr>
            <w:tcW w:w="79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48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12"/>
        </w:trPr>
        <w:tc>
          <w:tcPr>
            <w:tcW w:w="7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12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8,668,995</w:t>
            </w:r>
          </w:p>
        </w:tc>
        <w:tc>
          <w:tcPr>
            <w:tcW w:w="48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RMCP GP LLC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10100 Santa Monica Boulevard, Suite 925</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14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6"/>
        </w:trPr>
        <w:tc>
          <w:tcPr>
            <w:tcW w:w="7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7940" w:type="dxa"/>
            <w:vAlign w:val="bottom"/>
            <w:gridSpan w:val="2"/>
          </w:tcPr>
          <w:p>
            <w:pPr>
              <w:spacing w:after="0"/>
              <w:rPr>
                <w:sz w:val="20"/>
                <w:szCs w:val="20"/>
                <w:color w:val="auto"/>
              </w:rPr>
            </w:pPr>
            <w:r>
              <w:rPr>
                <w:rFonts w:ascii="Arial" w:cs="Arial" w:eastAsia="Arial" w:hAnsi="Arial"/>
                <w:sz w:val="18"/>
                <w:szCs w:val="18"/>
                <w:color w:val="auto"/>
              </w:rPr>
              <w:t>J. Carlo Cannell</w:t>
            </w:r>
          </w:p>
        </w:tc>
        <w:tc>
          <w:tcPr>
            <w:tcW w:w="1480" w:type="dxa"/>
            <w:vAlign w:val="bottom"/>
          </w:tcPr>
          <w:p>
            <w:pPr>
              <w:jc w:val="right"/>
              <w:spacing w:after="0"/>
              <w:rPr>
                <w:sz w:val="20"/>
                <w:szCs w:val="20"/>
                <w:color w:val="auto"/>
              </w:rPr>
            </w:pPr>
            <w:r>
              <w:rPr>
                <w:rFonts w:ascii="Arial" w:cs="Arial" w:eastAsia="Arial" w:hAnsi="Arial"/>
                <w:sz w:val="18"/>
                <w:szCs w:val="18"/>
                <w:color w:val="auto"/>
              </w:rPr>
              <w:t>5,091,601</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245 Meriwether Circle</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Alta, Wyoming 83414</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Seymour Holtzman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4,792,018</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N Wilkes Barre Blvd.</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Wilkes Barre, PA 18702</w:t>
            </w:r>
          </w:p>
        </w:tc>
        <w:tc>
          <w:tcPr>
            <w:tcW w:w="14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6"/>
        </w:trPr>
        <w:tc>
          <w:tcPr>
            <w:tcW w:w="7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7940" w:type="dxa"/>
            <w:vAlign w:val="bottom"/>
            <w:gridSpan w:val="2"/>
          </w:tcPr>
          <w:p>
            <w:pPr>
              <w:spacing w:after="0"/>
              <w:rPr>
                <w:sz w:val="20"/>
                <w:szCs w:val="20"/>
                <w:color w:val="auto"/>
              </w:rPr>
            </w:pPr>
            <w:r>
              <w:rPr>
                <w:rFonts w:ascii="Arial" w:cs="Arial" w:eastAsia="Arial" w:hAnsi="Arial"/>
                <w:sz w:val="18"/>
                <w:szCs w:val="18"/>
                <w:color w:val="auto"/>
              </w:rPr>
              <w:t>Prescott Group Capital Management, L.L.C.</w:t>
            </w:r>
          </w:p>
        </w:tc>
        <w:tc>
          <w:tcPr>
            <w:tcW w:w="1480" w:type="dxa"/>
            <w:vAlign w:val="bottom"/>
          </w:tcPr>
          <w:p>
            <w:pPr>
              <w:jc w:val="right"/>
              <w:spacing w:after="0"/>
              <w:rPr>
                <w:sz w:val="20"/>
                <w:szCs w:val="20"/>
                <w:color w:val="auto"/>
              </w:rPr>
            </w:pPr>
            <w:r>
              <w:rPr>
                <w:rFonts w:ascii="Arial" w:cs="Arial" w:eastAsia="Arial" w:hAnsi="Arial"/>
                <w:sz w:val="18"/>
                <w:szCs w:val="18"/>
                <w:color w:val="auto"/>
              </w:rPr>
              <w:t>4,188,324</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Prescott Group Aggressive Small Cap, L.P.</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Prescott Group Aggressive Small Cap II, L.P.</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Phil Frohlich</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1924 South Utica, Suite 1120</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Tulsa, Oklahoma 74104-6529</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 J. Krevlin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4,104,751</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600 Fifth Avenue, 11th Floor</w:t>
            </w: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York, New York 10020</w:t>
            </w:r>
          </w:p>
        </w:tc>
        <w:tc>
          <w:tcPr>
            <w:tcW w:w="14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6"/>
        </w:trPr>
        <w:tc>
          <w:tcPr>
            <w:tcW w:w="7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5"/>
        </w:trPr>
        <w:tc>
          <w:tcPr>
            <w:tcW w:w="7940" w:type="dxa"/>
            <w:vAlign w:val="bottom"/>
            <w:gridSpan w:val="2"/>
          </w:tcPr>
          <w:p>
            <w:pPr>
              <w:spacing w:after="0"/>
              <w:rPr>
                <w:sz w:val="20"/>
                <w:szCs w:val="20"/>
                <w:color w:val="auto"/>
              </w:rPr>
            </w:pPr>
            <w:r>
              <w:rPr>
                <w:rFonts w:ascii="Arial" w:cs="Arial" w:eastAsia="Arial" w:hAnsi="Arial"/>
                <w:sz w:val="18"/>
                <w:szCs w:val="18"/>
                <w:color w:val="auto"/>
              </w:rPr>
              <w:t>Signia Capital Management, LLC</w:t>
            </w:r>
          </w:p>
        </w:tc>
        <w:tc>
          <w:tcPr>
            <w:tcW w:w="1480" w:type="dxa"/>
            <w:vAlign w:val="bottom"/>
          </w:tcPr>
          <w:p>
            <w:pPr>
              <w:jc w:val="right"/>
              <w:spacing w:after="0"/>
              <w:rPr>
                <w:sz w:val="20"/>
                <w:szCs w:val="20"/>
                <w:color w:val="auto"/>
              </w:rPr>
            </w:pPr>
            <w:r>
              <w:rPr>
                <w:rFonts w:ascii="Arial" w:cs="Arial" w:eastAsia="Arial" w:hAnsi="Arial"/>
                <w:sz w:val="18"/>
                <w:szCs w:val="18"/>
                <w:color w:val="auto"/>
              </w:rPr>
              <w:t>2,576,230</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111 N. Post Street, Suite 301</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Spokane, Washington 99201</w:t>
            </w:r>
          </w:p>
        </w:tc>
        <w:tc>
          <w:tcPr>
            <w:tcW w:w="1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2" w:lineRule="exact"/>
        <w:rPr>
          <w:sz w:val="20"/>
          <w:szCs w:val="20"/>
          <w:color w:val="auto"/>
        </w:rPr>
      </w:pPr>
    </w:p>
    <w:p>
      <w:pPr>
        <w:ind w:left="740" w:right="40" w:hanging="368"/>
        <w:spacing w:after="0" w:line="296" w:lineRule="auto"/>
        <w:tabs>
          <w:tab w:leader="none" w:pos="7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[51,078,020] shares of our common stock outstanding as of June 19, 2020.</w:t>
      </w:r>
    </w:p>
    <w:p>
      <w:pPr>
        <w:spacing w:after="0" w:line="53" w:lineRule="exact"/>
        <w:rPr>
          <w:rFonts w:ascii="Arial" w:cs="Arial" w:eastAsia="Arial" w:hAnsi="Arial"/>
          <w:sz w:val="16"/>
          <w:szCs w:val="16"/>
          <w:color w:val="auto"/>
        </w:rPr>
      </w:pPr>
    </w:p>
    <w:p>
      <w:pPr>
        <w:ind w:left="740" w:hanging="368"/>
        <w:spacing w:after="0" w:line="269" w:lineRule="auto"/>
        <w:tabs>
          <w:tab w:leader="none" w:pos="7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Beneficial ownership information for Red Mountain Partners, L.P. (“RMP”) and Red Mountain Capital Partners LLC (“RMCP LLC”) is based on a Form 4 dated January 17, 2020. Of the shares reflected in the table, (i) 7,522,354 shares are held directly by RMP, (ii) 862,523 shares are held directly by RMCP LLC, (iii) 15,000 shares are receivable upon exercise of options held by Mr. Mesdag and (iv) 227,418 shares are receivable upon settlement of deferred stock upon Mr. Mesdag’s separation from the Board. RMCP GP LLC (“RMCP GP”) is the general partner of RMP. RMCP LLC is the managing member of RMCP GP. Red Mountain Capital Management, Inc.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RMCP LLC, RMP and RMCP GP affirms membership in a group with each other but disclaims membership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368" w:right="80"/>
        <w:spacing w:after="0" w:line="289" w:lineRule="auto"/>
        <w:rPr>
          <w:sz w:val="20"/>
          <w:szCs w:val="20"/>
          <w:color w:val="auto"/>
        </w:rPr>
      </w:pPr>
      <w:r>
        <w:rPr>
          <w:rFonts w:ascii="Arial" w:cs="Arial" w:eastAsia="Arial" w:hAnsi="Arial"/>
          <w:sz w:val="16"/>
          <w:szCs w:val="16"/>
          <w:color w:val="auto"/>
        </w:rPr>
        <w:t>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 stock issued and outstanding, or (ii) any assets of the Company or any subsidiary thereof or any successor to or person in control of the Company.</w:t>
      </w:r>
    </w:p>
    <w:p>
      <w:pPr>
        <w:spacing w:after="0" w:line="58" w:lineRule="exact"/>
        <w:rPr>
          <w:sz w:val="20"/>
          <w:szCs w:val="20"/>
          <w:color w:val="auto"/>
        </w:rPr>
      </w:pPr>
    </w:p>
    <w:p>
      <w:pPr>
        <w:ind w:left="368" w:right="220" w:hanging="368"/>
        <w:spacing w:after="0" w:line="296" w:lineRule="auto"/>
        <w:tabs>
          <w:tab w:leader="none" w:pos="368"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a Form 4, dated June 5, 2020. J. Carlo Cannell, is the sole managing member of Cannell Capital LLC. Cannell Capital LLC is the investment adviser to and general partner of Tonga Partners, L.P. (“Tonga”) and Tristan Partners, L.P. (“Tristan”), an investment adviser to Tristan Offshore Fund Ltd. (“Tristan Offshore”), and an investment sub-advisor for Cuttyhunk Master Portfolio (“Cuttyhunk,” and collectively with Tonga, Tristan and Tristan Offshore, the “Investment Vehicles”). Mr. Cannell is the sole managing member of Cannell Capital LLC. As such, Mr. Cannell possesses the sole power to vote and to direct the disposition of the shares held by the Investment Vehicles.</w:t>
      </w:r>
    </w:p>
    <w:p>
      <w:pPr>
        <w:spacing w:after="0" w:line="53" w:lineRule="exact"/>
        <w:rPr>
          <w:rFonts w:ascii="Arial" w:cs="Arial" w:eastAsia="Arial" w:hAnsi="Arial"/>
          <w:sz w:val="16"/>
          <w:szCs w:val="16"/>
          <w:color w:val="auto"/>
        </w:rPr>
      </w:pPr>
    </w:p>
    <w:p>
      <w:pPr>
        <w:ind w:left="368" w:right="300" w:hanging="368"/>
        <w:spacing w:after="0" w:line="342" w:lineRule="auto"/>
        <w:tabs>
          <w:tab w:leader="none" w:pos="368"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a Form 4, dated January 17, 2020. Of these shares, 339,594 shares are held by Jewelcor Management, Inc. Mr. Holtzman is the chairman, chief executive officer and president and, together with his wife, indirectly, the majority shareholder of Jewelcor Management, Inc.</w:t>
      </w:r>
    </w:p>
    <w:p>
      <w:pPr>
        <w:spacing w:after="0" w:line="15" w:lineRule="exact"/>
        <w:rPr>
          <w:rFonts w:ascii="Arial" w:cs="Arial" w:eastAsia="Arial" w:hAnsi="Arial"/>
          <w:sz w:val="16"/>
          <w:szCs w:val="16"/>
          <w:color w:val="auto"/>
        </w:rPr>
      </w:pPr>
    </w:p>
    <w:p>
      <w:pPr>
        <w:ind w:left="368" w:hanging="368"/>
        <w:spacing w:after="0" w:line="269" w:lineRule="auto"/>
        <w:tabs>
          <w:tab w:leader="none" w:pos="3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Amendment No. 3 to Schedule 13G, dated January 21, 2020. Prescott Group Capital Management, L.L.C., Prescott Group Aggressive Small Cap, L.P., Prescott Group Aggressive Small Cap II L.P. and Mr. Phil Frohlich were the beneficial owners of an aggregate of 4,188,324 shares of common stock. Prescott Capital, as the general partner of the Small Cap Funds, the general partners of Prescott Master Fund, may direct the Small Cap Funds to direct the vote and disposition of the shares held by Prescott Master Fund. As the principal of Prescott Capital, Mr. Phil Frohlich may direct the vote and disposition of the shares held by Prescott Master Fund. Pursuant to a letter agreement between Prescott Group Capital Management, L.L.C. and the Company, Prescott Group Capital Management,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Prescott collectively would beneficially own, for purposes of Section 13(d) of the Exchange Act, and Rule 13d-3 thereunder, after giving effect to such acquisition, in excess of 15% of the amount of the issued and outstanding common stock of the Company or (ii) any assets of the Company or any subsidiary thereof or any successor to or person in control of the Company.</w:t>
      </w:r>
    </w:p>
    <w:p>
      <w:pPr>
        <w:spacing w:after="0" w:line="73" w:lineRule="exact"/>
        <w:rPr>
          <w:rFonts w:ascii="Arial" w:cs="Arial" w:eastAsia="Arial" w:hAnsi="Arial"/>
          <w:sz w:val="17"/>
          <w:szCs w:val="17"/>
          <w:color w:val="auto"/>
        </w:rPr>
      </w:pPr>
    </w:p>
    <w:p>
      <w:pPr>
        <w:ind w:left="368" w:hanging="368"/>
        <w:spacing w:after="0"/>
        <w:tabs>
          <w:tab w:leader="none" w:pos="3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Amendment No. 14 to Schedule 13G, dated April 22, 2019.</w:t>
      </w:r>
    </w:p>
    <w:p>
      <w:pPr>
        <w:spacing w:after="0" w:line="117" w:lineRule="exact"/>
        <w:rPr>
          <w:rFonts w:ascii="Arial" w:cs="Arial" w:eastAsia="Arial" w:hAnsi="Arial"/>
          <w:sz w:val="18"/>
          <w:szCs w:val="18"/>
          <w:color w:val="auto"/>
        </w:rPr>
      </w:pPr>
    </w:p>
    <w:p>
      <w:pPr>
        <w:ind w:left="368" w:right="400" w:hanging="368"/>
        <w:spacing w:after="0" w:line="277" w:lineRule="auto"/>
        <w:tabs>
          <w:tab w:leader="none" w:pos="3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Schedule 13G, dated January 9, 2020. Signia Capital Management, LLC possesses sole voting power with respect to 1,954,803 of these shares and sole dispositive power with respect to 2,576,230 of these shares.</w:t>
      </w:r>
    </w:p>
    <w:p>
      <w:pPr>
        <w:spacing w:after="0" w:line="386"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8"/>
          </w:cols>
          <w:pgMar w:left="692" w:top="449"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table sets forth certain information as of June 19, 2020,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ind w:right="31"/>
              <w:spacing w:after="0"/>
              <w:rPr>
                <w:sz w:val="20"/>
                <w:szCs w:val="20"/>
                <w:color w:val="auto"/>
              </w:rPr>
            </w:pPr>
            <w:r>
              <w:rPr>
                <w:rFonts w:ascii="Arial" w:cs="Arial" w:eastAsia="Arial" w:hAnsi="Arial"/>
                <w:sz w:val="16"/>
                <w:szCs w:val="16"/>
                <w:b w:val="1"/>
                <w:bCs w:val="1"/>
                <w:color w:val="auto"/>
                <w:w w:val="97"/>
              </w:rPr>
              <w:t>Number of Shares</w:t>
            </w:r>
          </w:p>
        </w:tc>
        <w:tc>
          <w:tcPr>
            <w:tcW w:w="48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9"/>
              </w:rPr>
              <w:t>Percent of Class</w:t>
            </w:r>
          </w:p>
        </w:tc>
      </w:tr>
      <w:tr>
        <w:trPr>
          <w:trHeight w:val="213"/>
        </w:trPr>
        <w:tc>
          <w:tcPr>
            <w:tcW w:w="7940" w:type="dxa"/>
            <w:vAlign w:val="bottom"/>
            <w:gridSpan w:val="2"/>
          </w:tcPr>
          <w:p>
            <w:pPr>
              <w:spacing w:after="0"/>
              <w:rPr>
                <w:sz w:val="20"/>
                <w:szCs w:val="20"/>
                <w:color w:val="auto"/>
              </w:rPr>
            </w:pPr>
            <w:r>
              <w:rPr>
                <w:rFonts w:ascii="Arial" w:cs="Arial" w:eastAsia="Arial" w:hAnsi="Arial"/>
                <w:sz w:val="16"/>
                <w:szCs w:val="16"/>
                <w:b w:val="1"/>
                <w:bCs w:val="1"/>
                <w:color w:val="auto"/>
              </w:rPr>
              <w:t>Name and Title</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480" w:type="dxa"/>
            <w:vAlign w:val="bottom"/>
          </w:tcPr>
          <w:p>
            <w:pPr>
              <w:spacing w:after="0"/>
              <w:rPr>
                <w:sz w:val="18"/>
                <w:szCs w:val="18"/>
                <w:color w:val="auto"/>
              </w:rPr>
            </w:pPr>
          </w:p>
        </w:tc>
        <w:tc>
          <w:tcPr>
            <w:tcW w:w="1160" w:type="dxa"/>
            <w:vAlign w:val="bottom"/>
          </w:tcPr>
          <w:p>
            <w:pPr>
              <w:jc w:val="right"/>
              <w:ind w:right="391"/>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26"/>
        </w:trPr>
        <w:tc>
          <w:tcPr>
            <w:tcW w:w="7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 Kyees</w:t>
            </w:r>
          </w:p>
        </w:tc>
        <w:tc>
          <w:tcPr>
            <w:tcW w:w="12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206,871</w:t>
            </w:r>
          </w:p>
        </w:tc>
        <w:tc>
          <w:tcPr>
            <w:tcW w:w="4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128,000</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1,607,465</w:t>
            </w:r>
          </w:p>
        </w:tc>
        <w:tc>
          <w:tcPr>
            <w:tcW w:w="4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Former President and Chief Executive Officer, former Director, former Acting CEO</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208,825</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309,588</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Chief Administrative Officer, General Counsel and Secretary</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Francis C. Chane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201,032</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Anthony J. Gaeta</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119,037</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Senior Vice President,</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278,959</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ind w:left="140"/>
              <w:spacing w:after="0"/>
              <w:rPr>
                <w:sz w:val="20"/>
                <w:szCs w:val="20"/>
                <w:color w:val="auto"/>
              </w:rPr>
            </w:pPr>
            <w:r>
              <w:rPr>
                <w:rFonts w:ascii="Arial" w:cs="Arial" w:eastAsia="Arial" w:hAnsi="Arial"/>
                <w:sz w:val="18"/>
                <w:szCs w:val="18"/>
                <w:color w:val="auto"/>
              </w:rPr>
              <w:t>Former Executive Vice President, Chief Operating Officer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S. Davey</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7940" w:type="dxa"/>
            <w:vAlign w:val="bottom"/>
            <w:gridSpan w:val="2"/>
          </w:tcPr>
          <w:p>
            <w:pPr>
              <w:ind w:left="180"/>
              <w:spacing w:after="0"/>
              <w:rPr>
                <w:sz w:val="20"/>
                <w:szCs w:val="20"/>
                <w:color w:val="auto"/>
              </w:rPr>
            </w:pPr>
            <w:r>
              <w:rPr>
                <w:rFonts w:ascii="Arial" w:cs="Arial" w:eastAsia="Arial" w:hAnsi="Arial"/>
                <w:sz w:val="18"/>
                <w:szCs w:val="18"/>
                <w:color w:val="auto"/>
              </w:rPr>
              <w:t>Former Executive Vice President and Chief Marketing Officer</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191,224</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29"/>
        </w:trPr>
        <w:tc>
          <w:tcPr>
            <w:tcW w:w="7940" w:type="dxa"/>
            <w:vAlign w:val="bottom"/>
            <w:gridSpan w:val="2"/>
          </w:tcPr>
          <w:p>
            <w:pPr>
              <w:spacing w:after="0"/>
              <w:rPr>
                <w:sz w:val="20"/>
                <w:szCs w:val="20"/>
                <w:color w:val="auto"/>
              </w:rPr>
            </w:pPr>
            <w:r>
              <w:rPr>
                <w:rFonts w:ascii="Arial" w:cs="Arial" w:eastAsia="Arial" w:hAnsi="Arial"/>
                <w:sz w:val="18"/>
                <w:szCs w:val="18"/>
                <w:color w:val="auto"/>
              </w:rPr>
              <w:t>Lionel F. Conacher,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146,334</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Seymour Holtzman,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4,792,018</w:t>
            </w:r>
          </w:p>
        </w:tc>
        <w:tc>
          <w:tcPr>
            <w:tcW w:w="4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w:t>
            </w: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8,668,995</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r>
      <w:tr>
        <w:trPr>
          <w:trHeight w:val="229"/>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181,009</w:t>
            </w: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1480" w:type="dxa"/>
            <w:vAlign w:val="bottom"/>
          </w:tcPr>
          <w:p>
            <w:pPr>
              <w:jc w:val="right"/>
              <w:spacing w:after="0"/>
              <w:rPr>
                <w:sz w:val="20"/>
                <w:szCs w:val="20"/>
                <w:color w:val="auto"/>
              </w:rPr>
            </w:pPr>
            <w:r>
              <w:rPr>
                <w:rFonts w:ascii="Arial" w:cs="Arial" w:eastAsia="Arial" w:hAnsi="Arial"/>
                <w:sz w:val="18"/>
                <w:szCs w:val="18"/>
                <w:color w:val="auto"/>
              </w:rPr>
              <w:t>436,089</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7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132,149</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794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(16 persons)</w:t>
            </w:r>
          </w:p>
        </w:tc>
        <w:tc>
          <w:tcPr>
            <w:tcW w:w="1480" w:type="dxa"/>
            <w:vAlign w:val="bottom"/>
          </w:tcPr>
          <w:p>
            <w:pPr>
              <w:jc w:val="right"/>
              <w:spacing w:after="0"/>
              <w:rPr>
                <w:sz w:val="20"/>
                <w:szCs w:val="20"/>
                <w:color w:val="auto"/>
              </w:rPr>
            </w:pPr>
            <w:r>
              <w:rPr>
                <w:rFonts w:ascii="Arial" w:cs="Arial" w:eastAsia="Arial" w:hAnsi="Arial"/>
                <w:sz w:val="18"/>
                <w:szCs w:val="18"/>
                <w:color w:val="auto"/>
              </w:rPr>
              <w:t>15,921,025</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9512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7" w:lineRule="exact"/>
        <w:rPr>
          <w:sz w:val="20"/>
          <w:szCs w:val="20"/>
          <w:color w:val="auto"/>
        </w:rPr>
      </w:pPr>
    </w:p>
    <w:p>
      <w:pPr>
        <w:ind w:left="380" w:right="100" w:hanging="372"/>
        <w:spacing w:after="0" w:line="296"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[51,078,020] shares of our common stock outstanding as of June 19, 2020.</w:t>
      </w:r>
    </w:p>
    <w:p>
      <w:pPr>
        <w:spacing w:after="0" w:line="53" w:lineRule="exact"/>
        <w:rPr>
          <w:rFonts w:ascii="Arial" w:cs="Arial" w:eastAsia="Arial" w:hAnsi="Arial"/>
          <w:sz w:val="16"/>
          <w:szCs w:val="16"/>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28,648 shares subject to stock options exercisable within 60 days and 107,030 shares of deferred stock.</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42,403 shares subject to stock options exercisable within 60 days.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68,906 shares subject to stock options exercisable within 60 days.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38,888 shares subject to stock options exercisable within 60 days.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18,719 shares subject to stock options exercisable within 60 days.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372" w:hanging="372"/>
        <w:spacing w:after="0" w:line="254" w:lineRule="auto"/>
        <w:tabs>
          <w:tab w:leader="none" w:pos="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15,000 shares subject to stock options exercisable within 60 days and 227,418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spacing w:after="0" w:line="83" w:lineRule="exact"/>
        <w:rPr>
          <w:rFonts w:ascii="Arial" w:cs="Arial" w:eastAsia="Arial" w:hAnsi="Arial"/>
          <w:sz w:val="18"/>
          <w:szCs w:val="18"/>
          <w:color w:val="auto"/>
        </w:rPr>
      </w:pPr>
    </w:p>
    <w:p>
      <w:pPr>
        <w:ind w:left="372" w:hanging="372"/>
        <w:spacing w:after="0"/>
        <w:tabs>
          <w:tab w:leader="none" w:pos="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281,456 shares subject to stock options exercisable within 60 days and 334,448 shares of deferred stock.</w:t>
      </w:r>
    </w:p>
    <w:p>
      <w:pPr>
        <w:spacing w:after="0" w:line="200" w:lineRule="exact"/>
        <w:rPr>
          <w:sz w:val="20"/>
          <w:szCs w:val="20"/>
          <w:color w:val="auto"/>
        </w:rPr>
      </w:pPr>
    </w:p>
    <w:p>
      <w:pPr>
        <w:spacing w:after="0" w:line="22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52"/>
          </w:cols>
          <w:pgMar w:left="328" w:top="449" w:right="41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u w:val="single" w:color="auto"/>
          <w:color w:val="auto"/>
        </w:rPr>
        <w:t>https://investor.dxl.com</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furnish without charge to each person whose proxy is being solicited, upon request of any such person, a copy of the 2019 Annual Report as filed with the SEC, including the financial statements and schedules thereto. A request for a copy of such report should be directed to Destination XL Group, Inc., 555 Turnpike Street, Canton, MA 02021, Attention: Investor Relations</w:t>
      </w:r>
      <w:r>
        <w:rPr>
          <w:rFonts w:ascii="Arial" w:cs="Arial" w:eastAsia="Arial" w:hAnsi="Arial"/>
          <w:sz w:val="18"/>
          <w:szCs w:val="18"/>
          <w:i w:val="1"/>
          <w:iCs w:val="1"/>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telephone (781)-828-9300 or via the “contact us” dropdown on the investor page of our website. We will send you a copy of the Proxy Statement promptly after we receive your request.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2021 Annual Meeting of Stockholders, the proposal must be received by the Secretary of our Company at our principal executive offices by March 4, 2021 (120 days before the anniversary of the date this Proxy Statement is being mailed to our stockholders).</w:t>
      </w:r>
    </w:p>
    <w:p>
      <w:pPr>
        <w:spacing w:after="0" w:line="14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Other stockholder proposals</w:t>
      </w:r>
      <w:r>
        <w:rPr>
          <w:rFonts w:ascii="Arial" w:cs="Arial" w:eastAsia="Arial" w:hAnsi="Arial"/>
          <w:sz w:val="17"/>
          <w:szCs w:val="17"/>
          <w:color w:val="auto"/>
        </w:rPr>
        <w:t>: Our By-Laws provide that for business to be properly brought before an Annual Meeting of Stockholders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2021 Annual Meeting, a stockholder must deliver the requisite notice of such item to the Secretary of our Company not before April 14, 2021 or after May 14, 2021.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11" w:lineRule="exact"/>
        <w:rPr>
          <w:sz w:val="20"/>
          <w:szCs w:val="20"/>
          <w:color w:val="auto"/>
        </w:rPr>
      </w:pPr>
    </w:p>
    <w:p>
      <w:pPr>
        <w:ind w:right="120" w:firstLine="499"/>
        <w:spacing w:after="0" w:line="277" w:lineRule="auto"/>
        <w:rPr>
          <w:sz w:val="20"/>
          <w:szCs w:val="20"/>
          <w:color w:val="auto"/>
        </w:rPr>
      </w:pPr>
      <w:r>
        <w:rPr>
          <w:rFonts w:ascii="Arial" w:cs="Arial" w:eastAsia="Arial" w:hAnsi="Arial"/>
          <w:sz w:val="18"/>
          <w:szCs w:val="18"/>
          <w:color w:val="auto"/>
        </w:rPr>
        <w:t>Destination XL Group, Inc., a corporation organized and existing under and by virtue of the General Corporation Law of the State of Delaware (the “Corporation”), does hereby certify as follows:</w:t>
      </w:r>
    </w:p>
    <w:p>
      <w:pPr>
        <w:spacing w:after="0" w:line="62" w:lineRule="exact"/>
        <w:rPr>
          <w:sz w:val="20"/>
          <w:szCs w:val="20"/>
          <w:color w:val="auto"/>
        </w:rPr>
      </w:pPr>
    </w:p>
    <w:p>
      <w:pPr>
        <w:ind w:left="560" w:hanging="363"/>
        <w:spacing w:after="0" w:line="277"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Certificate of Amendment to Restated Certificate of Incorporation, as amended, of the Corporation (this “Certificate of Amendment”) was duly adopted in accordance with Section 242 of the General Corporation Law of the State of Delaware.</w:t>
      </w:r>
    </w:p>
    <w:p>
      <w:pPr>
        <w:spacing w:after="0" w:line="62" w:lineRule="exact"/>
        <w:rPr>
          <w:rFonts w:ascii="Arial" w:cs="Arial" w:eastAsia="Arial" w:hAnsi="Arial"/>
          <w:sz w:val="18"/>
          <w:szCs w:val="18"/>
          <w:color w:val="auto"/>
        </w:rPr>
      </w:pPr>
    </w:p>
    <w:p>
      <w:pPr>
        <w:ind w:left="560" w:hanging="363"/>
        <w:spacing w:after="0" w:line="277"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Certificate of Amendment amends Article FOURTH of the Corporation’s Restated Certificate of Incorporation, as amended, by adding the following paragraph in paragraph 4.2 thereof:</w:t>
      </w:r>
    </w:p>
    <w:p>
      <w:pPr>
        <w:spacing w:after="0" w:line="170" w:lineRule="exact"/>
        <w:rPr>
          <w:sz w:val="20"/>
          <w:szCs w:val="20"/>
          <w:color w:val="auto"/>
        </w:rPr>
      </w:pPr>
    </w:p>
    <w:p>
      <w:pPr>
        <w:ind w:left="760" w:right="20"/>
        <w:spacing w:after="0" w:line="269" w:lineRule="auto"/>
        <w:rPr>
          <w:sz w:val="20"/>
          <w:szCs w:val="20"/>
          <w:color w:val="auto"/>
        </w:rPr>
      </w:pPr>
      <w:r>
        <w:rPr>
          <w:rFonts w:ascii="Arial" w:cs="Arial" w:eastAsia="Arial" w:hAnsi="Arial"/>
          <w:sz w:val="17"/>
          <w:szCs w:val="17"/>
          <w:color w:val="auto"/>
        </w:rPr>
        <w:t>4.2. Effective as of [__] on [__] (the “Effective Time”), each [__ (__)]</w:t>
      </w:r>
      <w:r>
        <w:rPr>
          <w:rFonts w:ascii="Arial" w:cs="Arial" w:eastAsia="Arial" w:hAnsi="Arial"/>
          <w:sz w:val="14"/>
          <w:szCs w:val="14"/>
          <w:color w:val="auto"/>
        </w:rPr>
        <w:t>1</w:t>
      </w:r>
      <w:r>
        <w:rPr>
          <w:rFonts w:ascii="Arial" w:cs="Arial" w:eastAsia="Arial" w:hAnsi="Arial"/>
          <w:sz w:val="17"/>
          <w:szCs w:val="17"/>
          <w:color w:val="auto"/>
        </w:rPr>
        <w:t xml:space="preserve"> shares of Common Stock issued and outstanding immediately prior to the Effective Time shall be combined and changed into one (1) validly issued, fully paid and nonassessable share of Common Stock, subject to the treatment of fractional share interests as described below (the “Reverse Stock Split”). The Reverse Stock Split shall occur without any further action on the part of the Corporation or the holder of Common Stock, and whether or not certificates representing such holder’s shares of Common Stock prior to the Reverse Stock Split are surrendered for cancellation. No fractional interest in a share of Common Stock shall be deliverable upon the Reverse Stock Split. A holder who otherwise would be entitled to receive a fractional share of Common Stock will automatically receive an additional fraction of a share of Common Stock to round up to the next whole share.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plus any additional fraction of a share of Common Stock to round up to the next whole share.</w:t>
      </w:r>
    </w:p>
    <w:p>
      <w:pPr>
        <w:spacing w:after="0" w:line="185" w:lineRule="exact"/>
        <w:rPr>
          <w:sz w:val="20"/>
          <w:szCs w:val="20"/>
          <w:color w:val="auto"/>
        </w:rPr>
      </w:pPr>
    </w:p>
    <w:p>
      <w:pPr>
        <w:ind w:left="540" w:hanging="357"/>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Certificate of Amendment shall become effective as of [__] on [__]</w:t>
      </w:r>
      <w:r>
        <w:rPr>
          <w:rFonts w:ascii="Arial" w:cs="Arial" w:eastAsia="Arial" w:hAnsi="Arial"/>
          <w:sz w:val="15"/>
          <w:szCs w:val="15"/>
          <w:color w:val="auto"/>
        </w:rPr>
        <w:t>2</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duly executed by an authorized officer as of this [__] day of [______], 20[__].</w:t>
      </w:r>
    </w:p>
    <w:p>
      <w:pPr>
        <w:spacing w:after="0" w:line="1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DESTINATION XL GROUP,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3056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hanging="132"/>
        <w:spacing w:after="0"/>
        <w:tabs>
          <w:tab w:leader="none" w:pos="140" w:val="left"/>
        </w:tabs>
        <w:numPr>
          <w:ilvl w:val="0"/>
          <w:numId w:val="55"/>
        </w:numPr>
        <w:rPr>
          <w:rFonts w:ascii="Arial" w:cs="Arial" w:eastAsia="Arial" w:hAnsi="Arial"/>
          <w:sz w:val="15"/>
          <w:szCs w:val="15"/>
          <w:color w:val="auto"/>
        </w:rPr>
      </w:pPr>
      <w:r>
        <w:rPr>
          <w:rFonts w:ascii="Arial" w:cs="Arial" w:eastAsia="Arial" w:hAnsi="Arial"/>
          <w:sz w:val="18"/>
          <w:szCs w:val="18"/>
          <w:color w:val="212121"/>
        </w:rPr>
        <w:t>Number to be between two (2) and fifteen (15), as determined by the Board of Directors.</w:t>
      </w:r>
    </w:p>
    <w:p>
      <w:pPr>
        <w:spacing w:after="0" w:line="2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2 </w:t>
      </w:r>
      <w:r>
        <w:rPr>
          <w:rFonts w:ascii="Arial" w:cs="Arial" w:eastAsia="Arial" w:hAnsi="Arial"/>
          <w:sz w:val="17"/>
          <w:szCs w:val="17"/>
          <w:color w:val="auto"/>
        </w:rPr>
        <w:t>To be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423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10320"/>
        <w:spacing w:after="0"/>
        <w:rPr>
          <w:sz w:val="20"/>
          <w:szCs w:val="20"/>
          <w:color w:val="auto"/>
        </w:rPr>
      </w:pPr>
      <w:r>
        <w:rPr>
          <w:rFonts w:ascii="Arial" w:cs="Arial" w:eastAsia="Arial" w:hAnsi="Arial"/>
          <w:sz w:val="16"/>
          <w:szCs w:val="16"/>
          <w:b w:val="1"/>
          <w:bCs w:val="1"/>
          <w:color w:val="auto"/>
        </w:rPr>
        <w:t>Appendix B</w:t>
      </w:r>
    </w:p>
    <w:p>
      <w:pPr>
        <w:spacing w:after="0" w:line="252"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u w:val="single" w:color="auto"/>
          <w:color w:val="auto"/>
        </w:rPr>
        <w:t>Explanatory Note</w:t>
      </w:r>
      <w:r>
        <w:rPr>
          <w:rFonts w:ascii="Arial" w:cs="Arial" w:eastAsia="Arial" w:hAnsi="Arial"/>
          <w:sz w:val="17"/>
          <w:szCs w:val="17"/>
          <w:color w:val="auto"/>
        </w:rPr>
        <w:t>: This Appendix A contains a copy of the Destination XL Group, Inc. 2016 Incentive Compensation Plan as proposed to be amended by Proposal 4 included in this Proxy Statement to which this Appendix B is attached (proposed additions are shown in bold and as double-underlined text and proposed deletions are shown in bold and as strike-throughs). If a reverse stock split is effected, the shares authorized, available and outstanding under the 2016 Incentive Compensation Plan will be reduced proportionately based on the ratio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40"/>
        <w:spacing w:after="0"/>
        <w:rPr>
          <w:sz w:val="20"/>
          <w:szCs w:val="20"/>
          <w:color w:val="auto"/>
        </w:rPr>
      </w:pPr>
      <w:r>
        <w:rPr>
          <w:rFonts w:ascii="Arial" w:cs="Arial" w:eastAsia="Arial" w:hAnsi="Arial"/>
          <w:sz w:val="25"/>
          <w:szCs w:val="25"/>
          <w:b w:val="1"/>
          <w:bCs w:val="1"/>
          <w:color w:val="auto"/>
        </w:rPr>
        <w:t>DESTINATION XL GROUP, INC.</w:t>
      </w:r>
    </w:p>
    <w:p>
      <w:pPr>
        <w:spacing w:after="0" w:line="38" w:lineRule="exact"/>
        <w:rPr>
          <w:sz w:val="20"/>
          <w:szCs w:val="20"/>
          <w:color w:val="auto"/>
        </w:rPr>
      </w:pPr>
    </w:p>
    <w:p>
      <w:pPr>
        <w:ind w:left="3180"/>
        <w:spacing w:after="0"/>
        <w:rPr>
          <w:sz w:val="20"/>
          <w:szCs w:val="20"/>
          <w:color w:val="auto"/>
        </w:rPr>
      </w:pPr>
      <w:r>
        <w:rPr>
          <w:rFonts w:ascii="Arial" w:cs="Arial" w:eastAsia="Arial" w:hAnsi="Arial"/>
          <w:sz w:val="25"/>
          <w:szCs w:val="25"/>
          <w:b w:val="1"/>
          <w:bCs w:val="1"/>
          <w:color w:val="auto"/>
        </w:rPr>
        <w:t>2016 INCENTIVE COMPENSATION PLAN</w:t>
      </w:r>
    </w:p>
    <w:p>
      <w:pPr>
        <w:spacing w:after="0" w:line="10" w:lineRule="exact"/>
        <w:rPr>
          <w:sz w:val="20"/>
          <w:szCs w:val="20"/>
          <w:color w:val="auto"/>
        </w:rPr>
      </w:pPr>
    </w:p>
    <w:p>
      <w:pPr>
        <w:ind w:left="222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5"/>
          <w:szCs w:val="25"/>
          <w:b w:val="1"/>
          <w:bCs w:val="1"/>
          <w:u w:val="single" w:color="auto"/>
          <w:color w:val="auto"/>
        </w:rPr>
        <w:t>AS AMENDED AND RESTATED EFFECTIVE ______, 2020</w:t>
      </w: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11430</wp:posOffset>
            </wp:positionV>
            <wp:extent cx="42176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 xml:space="preserve">2016 INCENTIVE COMPENSATION PLAN, </w:t>
      </w:r>
      <w:r>
        <w:rPr>
          <w:rFonts w:ascii="Arial" w:cs="Arial" w:eastAsia="Arial" w:hAnsi="Arial"/>
          <w:sz w:val="22"/>
          <w:szCs w:val="22"/>
          <w:b w:val="1"/>
          <w:bCs w:val="1"/>
          <w:u w:val="single" w:color="auto"/>
          <w:color w:val="auto"/>
        </w:rPr>
        <w:t>AS AMENDED AND RESTATED ____,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6800" w:type="dxa"/>
            <w:vAlign w:val="bottom"/>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Purpose</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6800" w:type="dxa"/>
            <w:vAlign w:val="bottom"/>
          </w:tcPr>
          <w:p>
            <w:pPr>
              <w:ind w:left="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Definitions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6800" w:type="dxa"/>
            <w:vAlign w:val="bottom"/>
          </w:tcPr>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Administration</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6800" w:type="dxa"/>
            <w:vAlign w:val="bottom"/>
          </w:tcPr>
          <w:p>
            <w:pPr>
              <w:ind w:left="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Shares Subject to Plan</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6800" w:type="dxa"/>
            <w:vAlign w:val="bottom"/>
          </w:tcPr>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Eligibility; Per-Participation Limitations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6800" w:type="dxa"/>
            <w:vAlign w:val="bottom"/>
          </w:tcPr>
          <w:p>
            <w:pPr>
              <w:ind w:left="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Award Vesting Limitations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6800" w:type="dxa"/>
            <w:vAlign w:val="bottom"/>
          </w:tcPr>
          <w:p>
            <w:pPr>
              <w:ind w:left="4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Specific Terms of Awards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6800" w:type="dxa"/>
            <w:vAlign w:val="bottom"/>
          </w:tcPr>
          <w:p>
            <w:pPr>
              <w:ind w:left="40"/>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Certain Provisions Applicable to Awards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6800" w:type="dxa"/>
            <w:vAlign w:val="bottom"/>
          </w:tcPr>
          <w:p>
            <w:pPr>
              <w:ind w:left="4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Code Section 162(m) Provisions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6800" w:type="dxa"/>
            <w:vAlign w:val="bottom"/>
          </w:tcPr>
          <w:p>
            <w:pPr>
              <w:ind w:left="4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Change in Control</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B-13</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6800" w:type="dxa"/>
            <w:vAlign w:val="bottom"/>
          </w:tcPr>
          <w:p>
            <w:pPr>
              <w:ind w:left="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General Provisions</w:t>
              </w:r>
            </w:hyperlink>
          </w:p>
        </w:tc>
        <w:tc>
          <w:tcPr>
            <w:tcW w:w="4180" w:type="dxa"/>
            <w:vAlign w:val="bottom"/>
          </w:tcPr>
          <w:p>
            <w:pPr>
              <w:jc w:val="right"/>
              <w:spacing w:after="0"/>
              <w:rPr>
                <w:sz w:val="20"/>
                <w:szCs w:val="20"/>
                <w:color w:val="auto"/>
              </w:rPr>
            </w:pPr>
            <w:r>
              <w:rPr>
                <w:rFonts w:ascii="Arial" w:cs="Arial" w:eastAsia="Arial" w:hAnsi="Arial"/>
                <w:sz w:val="18"/>
                <w:szCs w:val="18"/>
                <w:color w:val="auto"/>
              </w:rPr>
              <w:t>B-14</w:t>
            </w:r>
          </w:p>
        </w:tc>
      </w:tr>
      <w:tr>
        <w:trPr>
          <w:trHeight w:val="1721"/>
        </w:trPr>
        <w:tc>
          <w:tcPr>
            <w:tcW w:w="280" w:type="dxa"/>
            <w:vAlign w:val="bottom"/>
            <w:tcBorders>
              <w:bottom w:val="single" w:sz="8" w:color="9A9A9A"/>
            </w:tcBorders>
          </w:tcPr>
          <w:p>
            <w:pPr>
              <w:spacing w:after="0"/>
              <w:rPr>
                <w:sz w:val="24"/>
                <w:szCs w:val="24"/>
                <w:color w:val="auto"/>
              </w:rPr>
            </w:pPr>
          </w:p>
        </w:tc>
        <w:tc>
          <w:tcPr>
            <w:tcW w:w="68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922"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2016 INCENTIVE COMPENSATION PLAN, AS AMENDED AND RESTATED</w:t>
      </w:r>
    </w:p>
    <w:p>
      <w:pPr>
        <w:spacing w:after="0" w:line="195" w:lineRule="exact"/>
        <w:rPr>
          <w:sz w:val="20"/>
          <w:szCs w:val="20"/>
          <w:color w:val="auto"/>
        </w:rPr>
      </w:pPr>
    </w:p>
    <w:p>
      <w:pPr>
        <w:ind w:right="60" w:firstLine="773"/>
        <w:spacing w:after="0" w:line="291" w:lineRule="auto"/>
        <w:tabs>
          <w:tab w:leader="none" w:pos="1548" w:val="left"/>
        </w:tabs>
        <w:numPr>
          <w:ilvl w:val="1"/>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Purpose</w:t>
      </w:r>
      <w:r>
        <w:rPr>
          <w:rFonts w:ascii="Arial" w:cs="Arial" w:eastAsia="Arial" w:hAnsi="Arial"/>
          <w:sz w:val="16"/>
          <w:szCs w:val="16"/>
          <w:color w:val="auto"/>
        </w:rPr>
        <w:t>. The purpose of this DESTINATION XL GROUP, INC. 2016 INCENTIVE COMPENSATION PLAN (the “Plan”) is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 The Plan was originally adopted effective as of August 4, 2016 and was amended effective as of August 8, 2019 and </w:t>
      </w:r>
      <w:r>
        <w:rPr>
          <w:rFonts w:ascii="Arial" w:cs="Arial" w:eastAsia="Arial" w:hAnsi="Arial"/>
          <w:sz w:val="16"/>
          <w:szCs w:val="16"/>
          <w:u w:val="single" w:color="auto"/>
          <w:color w:val="auto"/>
        </w:rPr>
        <w:t>______, 2020</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340" w:firstLine="773"/>
        <w:spacing w:after="0" w:line="277" w:lineRule="auto"/>
        <w:tabs>
          <w:tab w:leader="none" w:pos="1548" w:val="left"/>
        </w:tabs>
        <w:numPr>
          <w:ilvl w:val="1"/>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 hereof and elsewhere herein.</w:t>
      </w:r>
    </w:p>
    <w:p>
      <w:pPr>
        <w:spacing w:after="0" w:line="170" w:lineRule="exact"/>
        <w:rPr>
          <w:rFonts w:ascii="Arial" w:cs="Arial" w:eastAsia="Arial" w:hAnsi="Arial"/>
          <w:sz w:val="18"/>
          <w:szCs w:val="18"/>
          <w:color w:val="auto"/>
        </w:rPr>
      </w:pPr>
    </w:p>
    <w:p>
      <w:pPr>
        <w:ind w:right="20" w:firstLine="1537"/>
        <w:spacing w:after="0" w:line="263" w:lineRule="auto"/>
        <w:tabs>
          <w:tab w:leader="none" w:pos="2376"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83" w:lineRule="exact"/>
        <w:rPr>
          <w:rFonts w:ascii="Arial" w:cs="Arial" w:eastAsia="Arial" w:hAnsi="Arial"/>
          <w:sz w:val="18"/>
          <w:szCs w:val="18"/>
          <w:color w:val="auto"/>
        </w:rPr>
      </w:pPr>
    </w:p>
    <w:p>
      <w:pPr>
        <w:ind w:right="500" w:firstLine="1537"/>
        <w:spacing w:after="0" w:line="277" w:lineRule="auto"/>
        <w:tabs>
          <w:tab w:leader="none" w:pos="2386"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70" w:lineRule="exact"/>
        <w:rPr>
          <w:rFonts w:ascii="Arial" w:cs="Arial" w:eastAsia="Arial" w:hAnsi="Arial"/>
          <w:sz w:val="18"/>
          <w:szCs w:val="18"/>
          <w:color w:val="auto"/>
        </w:rPr>
      </w:pPr>
    </w:p>
    <w:p>
      <w:pPr>
        <w:ind w:firstLine="1537"/>
        <w:spacing w:after="0" w:line="279" w:lineRule="auto"/>
        <w:tabs>
          <w:tab w:leader="none" w:pos="2376" w:val="left"/>
        </w:tabs>
        <w:numPr>
          <w:ilvl w:val="2"/>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Beneficiary</w:t>
      </w:r>
      <w:r>
        <w:rPr>
          <w:rFonts w:ascii="Arial" w:cs="Arial" w:eastAsia="Arial" w:hAnsi="Arial"/>
          <w:sz w:val="17"/>
          <w:szCs w:val="17"/>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71" w:lineRule="exact"/>
        <w:rPr>
          <w:rFonts w:ascii="Arial" w:cs="Arial" w:eastAsia="Arial" w:hAnsi="Arial"/>
          <w:sz w:val="17"/>
          <w:szCs w:val="17"/>
          <w:color w:val="auto"/>
        </w:rPr>
      </w:pPr>
    </w:p>
    <w:p>
      <w:pPr>
        <w:ind w:left="2400" w:hanging="863"/>
        <w:spacing w:after="0" w:line="196" w:lineRule="exact"/>
        <w:tabs>
          <w:tab w:leader="none" w:pos="2400" w:val="left"/>
        </w:tabs>
        <w:numPr>
          <w:ilvl w:val="2"/>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Beneficial Owner</w:t>
      </w:r>
      <w:r>
        <w:rPr>
          <w:rFonts w:ascii="Arial" w:cs="Arial" w:eastAsia="Arial" w:hAnsi="Arial"/>
          <w:sz w:val="17"/>
          <w:szCs w:val="17"/>
          <w:color w:val="auto"/>
        </w:rPr>
        <w:t>” shall have the meaning ascribed to such term in Rule 13d</w:t>
      </w:r>
      <w:r>
        <w:rPr>
          <w:rFonts w:ascii="MS PGothic" w:cs="MS PGothic" w:eastAsia="MS PGothic" w:hAnsi="MS PGothic"/>
          <w:sz w:val="17"/>
          <w:szCs w:val="17"/>
          <w:color w:val="auto"/>
        </w:rPr>
        <w:t>‑</w:t>
      </w:r>
      <w:r>
        <w:rPr>
          <w:rFonts w:ascii="Arial" w:cs="Arial" w:eastAsia="Arial" w:hAnsi="Arial"/>
          <w:sz w:val="17"/>
          <w:szCs w:val="17"/>
          <w:color w:val="auto"/>
        </w:rPr>
        <w:t>3 under the Exchange Act and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successor to such Rule.</w:t>
      </w:r>
    </w:p>
    <w:p>
      <w:pPr>
        <w:spacing w:after="0" w:line="210" w:lineRule="exact"/>
        <w:rPr>
          <w:rFonts w:ascii="Arial" w:cs="Arial" w:eastAsia="Arial" w:hAnsi="Arial"/>
          <w:sz w:val="17"/>
          <w:szCs w:val="17"/>
          <w:color w:val="auto"/>
        </w:rPr>
      </w:pPr>
    </w:p>
    <w:p>
      <w:pPr>
        <w:ind w:left="2380" w:hanging="843"/>
        <w:spacing w:after="0"/>
        <w:tabs>
          <w:tab w:leader="none" w:pos="2380"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left="2360" w:hanging="823"/>
        <w:spacing w:after="0"/>
        <w:tabs>
          <w:tab w:leader="none" w:pos="2360"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10(b) of the Plan.</w:t>
      </w:r>
    </w:p>
    <w:p>
      <w:pPr>
        <w:spacing w:after="0" w:line="225" w:lineRule="exact"/>
        <w:rPr>
          <w:rFonts w:ascii="Arial" w:cs="Arial" w:eastAsia="Arial" w:hAnsi="Arial"/>
          <w:sz w:val="18"/>
          <w:szCs w:val="18"/>
          <w:color w:val="auto"/>
        </w:rPr>
      </w:pPr>
    </w:p>
    <w:p>
      <w:pPr>
        <w:ind w:right="260" w:firstLine="1537"/>
        <w:spacing w:after="0" w:line="277" w:lineRule="auto"/>
        <w:tabs>
          <w:tab w:leader="none" w:pos="2386" w:val="left"/>
        </w:tabs>
        <w:numPr>
          <w:ilvl w:val="2"/>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ind w:right="80" w:firstLine="1537"/>
        <w:spacing w:after="0" w:line="287" w:lineRule="auto"/>
        <w:tabs>
          <w:tab w:leader="none" w:pos="2386" w:val="left"/>
        </w:tabs>
        <w:numPr>
          <w:ilvl w:val="2"/>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w:t>
      </w:r>
    </w:p>
    <w:p>
      <w:pPr>
        <w:spacing w:after="0" w:line="2" w:lineRule="exact"/>
        <w:rPr>
          <w:rFonts w:ascii="Arial" w:cs="Arial" w:eastAsia="Arial" w:hAnsi="Arial"/>
          <w:sz w:val="16"/>
          <w:szCs w:val="16"/>
          <w:color w:val="auto"/>
        </w:rPr>
      </w:pPr>
    </w:p>
    <w:p>
      <w:pPr>
        <w:ind w:right="40" w:firstLine="8"/>
        <w:spacing w:after="0" w:line="253" w:lineRule="auto"/>
        <w:tabs>
          <w:tab w:leader="none" w:pos="2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92" w:lineRule="exact"/>
        <w:rPr>
          <w:rFonts w:ascii="Arial" w:cs="Arial" w:eastAsia="Arial" w:hAnsi="Arial"/>
          <w:sz w:val="18"/>
          <w:szCs w:val="18"/>
          <w:color w:val="auto"/>
        </w:rPr>
      </w:pPr>
    </w:p>
    <w:p>
      <w:pPr>
        <w:jc w:val="both"/>
        <w:ind w:right="260" w:firstLine="1537"/>
        <w:spacing w:after="0" w:line="263" w:lineRule="auto"/>
        <w:tabs>
          <w:tab w:leader="none" w:pos="2346" w:val="left"/>
        </w:tabs>
        <w:numPr>
          <w:ilvl w:val="2"/>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-5077460</wp:posOffset>
            </wp:positionV>
            <wp:extent cx="6343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9" w:name="page70"/>
    <w:bookmarkEnd w:id="69"/>
    <w:p>
      <w:pPr>
        <w:ind w:firstLine="1537"/>
        <w:spacing w:after="0" w:line="255" w:lineRule="auto"/>
        <w:tabs>
          <w:tab w:leader="none" w:pos="23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92" w:lineRule="exact"/>
        <w:rPr>
          <w:rFonts w:ascii="Arial" w:cs="Arial" w:eastAsia="Arial" w:hAnsi="Arial"/>
          <w:sz w:val="18"/>
          <w:szCs w:val="18"/>
          <w:color w:val="auto"/>
        </w:rPr>
      </w:pPr>
    </w:p>
    <w:p>
      <w:pPr>
        <w:ind w:right="40" w:firstLine="1537"/>
        <w:spacing w:after="0" w:line="277" w:lineRule="auto"/>
        <w:tabs>
          <w:tab w:leader="none" w:pos="23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70" w:lineRule="exact"/>
        <w:rPr>
          <w:rFonts w:ascii="Arial" w:cs="Arial" w:eastAsia="Arial" w:hAnsi="Arial"/>
          <w:sz w:val="18"/>
          <w:szCs w:val="18"/>
          <w:color w:val="auto"/>
        </w:rPr>
      </w:pPr>
    </w:p>
    <w:p>
      <w:pPr>
        <w:ind w:firstLine="1537"/>
        <w:spacing w:after="0" w:line="263" w:lineRule="auto"/>
        <w:tabs>
          <w:tab w:leader="none" w:pos="23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w:t>
      </w:r>
      <w:r>
        <w:rPr>
          <w:rFonts w:ascii="Arial" w:cs="Arial" w:eastAsia="Arial" w:hAnsi="Arial"/>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83" w:lineRule="exact"/>
        <w:rPr>
          <w:rFonts w:ascii="Arial" w:cs="Arial" w:eastAsia="Arial" w:hAnsi="Arial"/>
          <w:sz w:val="18"/>
          <w:szCs w:val="18"/>
          <w:color w:val="auto"/>
        </w:rPr>
      </w:pPr>
    </w:p>
    <w:p>
      <w:pPr>
        <w:ind w:left="2440" w:hanging="903"/>
        <w:spacing w:after="0"/>
        <w:tabs>
          <w:tab w:leader="none" w:pos="24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Award</w:t>
      </w:r>
      <w:r>
        <w:rPr>
          <w:rFonts w:ascii="Arial" w:cs="Arial" w:eastAsia="Arial" w:hAnsi="Arial"/>
          <w:sz w:val="16"/>
          <w:szCs w:val="16"/>
          <w:color w:val="auto"/>
        </w:rPr>
        <w:t>” means an Award of Deferred Stock or Restricted Stock Units granted to a Participant under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7(e) hereof.</w:t>
      </w:r>
    </w:p>
    <w:p>
      <w:pPr>
        <w:spacing w:after="0" w:line="210" w:lineRule="exact"/>
        <w:rPr>
          <w:rFonts w:ascii="Arial" w:cs="Arial" w:eastAsia="Arial" w:hAnsi="Arial"/>
          <w:sz w:val="16"/>
          <w:szCs w:val="16"/>
          <w:color w:val="auto"/>
        </w:rPr>
      </w:pPr>
    </w:p>
    <w:p>
      <w:pPr>
        <w:ind w:left="2400" w:hanging="863"/>
        <w:spacing w:after="0"/>
        <w:tabs>
          <w:tab w:leader="none" w:pos="2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right="40" w:firstLine="1537"/>
        <w:spacing w:after="0" w:line="277" w:lineRule="auto"/>
        <w:tabs>
          <w:tab w:leader="none" w:pos="23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0" w:lineRule="exact"/>
        <w:rPr>
          <w:rFonts w:ascii="Arial" w:cs="Arial" w:eastAsia="Arial" w:hAnsi="Arial"/>
          <w:sz w:val="18"/>
          <w:szCs w:val="18"/>
          <w:color w:val="auto"/>
        </w:rPr>
      </w:pPr>
    </w:p>
    <w:p>
      <w:pPr>
        <w:ind w:right="260" w:firstLine="1537"/>
        <w:spacing w:after="0" w:line="308" w:lineRule="auto"/>
        <w:tabs>
          <w:tab w:leader="none" w:pos="2386" w:val="left"/>
        </w:tabs>
        <w:numPr>
          <w:ilvl w:val="0"/>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46" w:lineRule="exact"/>
        <w:rPr>
          <w:rFonts w:ascii="Arial" w:cs="Arial" w:eastAsia="Arial" w:hAnsi="Arial"/>
          <w:sz w:val="17"/>
          <w:szCs w:val="17"/>
          <w:color w:val="auto"/>
        </w:rPr>
      </w:pPr>
    </w:p>
    <w:p>
      <w:pPr>
        <w:ind w:left="2400" w:hanging="863"/>
        <w:spacing w:after="0"/>
        <w:tabs>
          <w:tab w:leader="none" w:pos="2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5" w:lineRule="exact"/>
        <w:rPr>
          <w:rFonts w:ascii="Arial" w:cs="Arial" w:eastAsia="Arial" w:hAnsi="Arial"/>
          <w:sz w:val="18"/>
          <w:szCs w:val="18"/>
          <w:color w:val="auto"/>
        </w:rPr>
      </w:pPr>
    </w:p>
    <w:p>
      <w:pPr>
        <w:ind w:right="120" w:firstLine="1537"/>
        <w:spacing w:after="0" w:line="272" w:lineRule="auto"/>
        <w:tabs>
          <w:tab w:leader="none" w:pos="2356" w:val="left"/>
        </w:tabs>
        <w:numPr>
          <w:ilvl w:val="0"/>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Eligible Person</w:t>
      </w:r>
      <w:r>
        <w:rPr>
          <w:rFonts w:ascii="Arial" w:cs="Arial" w:eastAsia="Arial" w:hAnsi="Arial"/>
          <w:sz w:val="17"/>
          <w:szCs w:val="17"/>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77" w:lineRule="exact"/>
        <w:rPr>
          <w:rFonts w:ascii="Arial" w:cs="Arial" w:eastAsia="Arial" w:hAnsi="Arial"/>
          <w:sz w:val="17"/>
          <w:szCs w:val="17"/>
          <w:color w:val="auto"/>
        </w:rPr>
      </w:pPr>
    </w:p>
    <w:p>
      <w:pPr>
        <w:jc w:val="both"/>
        <w:ind w:right="100" w:firstLine="1537"/>
        <w:spacing w:after="0" w:line="259" w:lineRule="auto"/>
        <w:tabs>
          <w:tab w:leader="none" w:pos="23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86" w:lineRule="exact"/>
        <w:rPr>
          <w:rFonts w:ascii="Arial" w:cs="Arial" w:eastAsia="Arial" w:hAnsi="Arial"/>
          <w:sz w:val="18"/>
          <w:szCs w:val="18"/>
          <w:color w:val="auto"/>
        </w:rPr>
      </w:pPr>
    </w:p>
    <w:p>
      <w:pPr>
        <w:ind w:right="240" w:firstLine="1537"/>
        <w:spacing w:after="0" w:line="277" w:lineRule="auto"/>
        <w:tabs>
          <w:tab w:leader="none" w:pos="23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ind w:right="40" w:firstLine="1537"/>
        <w:spacing w:after="0" w:line="257" w:lineRule="auto"/>
        <w:tabs>
          <w:tab w:leader="none" w:pos="23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87" w:lineRule="exact"/>
        <w:rPr>
          <w:rFonts w:ascii="Arial" w:cs="Arial" w:eastAsia="Arial" w:hAnsi="Arial"/>
          <w:sz w:val="18"/>
          <w:szCs w:val="18"/>
          <w:color w:val="auto"/>
        </w:rPr>
      </w:pPr>
    </w:p>
    <w:p>
      <w:pPr>
        <w:ind w:left="2400" w:hanging="863"/>
        <w:spacing w:after="0"/>
        <w:tabs>
          <w:tab w:leader="none" w:pos="24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Full Value Award</w:t>
      </w:r>
      <w:r>
        <w:rPr>
          <w:rFonts w:ascii="Arial" w:cs="Arial" w:eastAsia="Arial" w:hAnsi="Arial"/>
          <w:sz w:val="16"/>
          <w:szCs w:val="16"/>
          <w:color w:val="auto"/>
        </w:rPr>
        <w:t>” means any Award other than an option or a Stock Appreciation Right and that is settled in Shares.</w:t>
      </w:r>
    </w:p>
    <w:p>
      <w:pPr>
        <w:spacing w:after="0" w:line="248" w:lineRule="exact"/>
        <w:rPr>
          <w:rFonts w:ascii="Arial" w:cs="Arial" w:eastAsia="Arial" w:hAnsi="Arial"/>
          <w:sz w:val="16"/>
          <w:szCs w:val="16"/>
          <w:color w:val="auto"/>
        </w:rPr>
      </w:pPr>
    </w:p>
    <w:p>
      <w:pPr>
        <w:ind w:right="620" w:firstLine="1537"/>
        <w:spacing w:after="0" w:line="263" w:lineRule="auto"/>
        <w:tabs>
          <w:tab w:leader="none" w:pos="24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0" w:name="page71"/>
    <w:bookmarkEnd w:id="70"/>
    <w:p>
      <w:pPr>
        <w:spacing w:after="0" w:line="286" w:lineRule="auto"/>
        <w:rPr>
          <w:sz w:val="20"/>
          <w:szCs w:val="20"/>
          <w:color w:val="auto"/>
        </w:rPr>
      </w:pPr>
      <w:r>
        <w:rPr>
          <w:rFonts w:ascii="Arial" w:cs="Arial" w:eastAsia="Arial" w:hAnsi="Arial"/>
          <w:sz w:val="16"/>
          <w:szCs w:val="16"/>
          <w:color w:val="auto"/>
        </w:rPr>
        <w:t>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74" w:lineRule="exact"/>
        <w:rPr>
          <w:sz w:val="20"/>
          <w:szCs w:val="20"/>
          <w:color w:val="auto"/>
        </w:rPr>
      </w:pPr>
    </w:p>
    <w:p>
      <w:pPr>
        <w:ind w:right="60" w:firstLine="1537"/>
        <w:spacing w:after="0" w:line="277" w:lineRule="auto"/>
        <w:tabs>
          <w:tab w:leader="none" w:pos="238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jc w:val="both"/>
        <w:ind w:right="40" w:firstLine="1537"/>
        <w:spacing w:after="0" w:line="263" w:lineRule="auto"/>
        <w:tabs>
          <w:tab w:leader="none" w:pos="2386"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3" w:lineRule="exact"/>
        <w:rPr>
          <w:rFonts w:ascii="Arial" w:cs="Arial" w:eastAsia="Arial" w:hAnsi="Arial"/>
          <w:sz w:val="18"/>
          <w:szCs w:val="18"/>
          <w:color w:val="auto"/>
        </w:rPr>
      </w:pPr>
    </w:p>
    <w:p>
      <w:pPr>
        <w:ind w:left="2380" w:hanging="843"/>
        <w:spacing w:after="0"/>
        <w:tabs>
          <w:tab w:leader="none" w:pos="2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10(b)(ii) of the Plan.</w:t>
      </w:r>
    </w:p>
    <w:p>
      <w:pPr>
        <w:spacing w:after="0" w:line="225" w:lineRule="exact"/>
        <w:rPr>
          <w:sz w:val="20"/>
          <w:szCs w:val="20"/>
          <w:color w:val="auto"/>
        </w:rPr>
      </w:pPr>
    </w:p>
    <w:p>
      <w:pPr>
        <w:ind w:firstLine="1537"/>
        <w:spacing w:after="0" w:line="269" w:lineRule="auto"/>
        <w:tabs>
          <w:tab w:leader="none" w:pos="2456"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Justifiable Cause</w:t>
      </w:r>
      <w:r>
        <w:rPr>
          <w:rFonts w:ascii="Arial" w:cs="Arial" w:eastAsia="Arial" w:hAnsi="Arial"/>
          <w:sz w:val="17"/>
          <w:szCs w:val="17"/>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81" w:lineRule="exact"/>
        <w:rPr>
          <w:rFonts w:ascii="Arial" w:cs="Arial" w:eastAsia="Arial" w:hAnsi="Arial"/>
          <w:sz w:val="17"/>
          <w:szCs w:val="17"/>
          <w:color w:val="auto"/>
        </w:rPr>
      </w:pPr>
    </w:p>
    <w:p>
      <w:pPr>
        <w:ind w:right="200" w:firstLine="1537"/>
        <w:spacing w:after="0" w:line="342" w:lineRule="auto"/>
        <w:tabs>
          <w:tab w:leader="none" w:pos="2476"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Listing Market</w:t>
      </w:r>
      <w:r>
        <w:rPr>
          <w:rFonts w:ascii="Arial" w:cs="Arial" w:eastAsia="Arial" w:hAnsi="Arial"/>
          <w:sz w:val="16"/>
          <w:szCs w:val="16"/>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23" w:lineRule="exact"/>
        <w:rPr>
          <w:rFonts w:ascii="Arial" w:cs="Arial" w:eastAsia="Arial" w:hAnsi="Arial"/>
          <w:sz w:val="16"/>
          <w:szCs w:val="16"/>
          <w:color w:val="auto"/>
        </w:rPr>
      </w:pPr>
    </w:p>
    <w:p>
      <w:pPr>
        <w:ind w:right="520" w:firstLine="1537"/>
        <w:spacing w:after="0" w:line="277" w:lineRule="auto"/>
        <w:tabs>
          <w:tab w:leader="none" w:pos="24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7(b)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person under this Plan.</w:t>
      </w:r>
    </w:p>
    <w:p>
      <w:pPr>
        <w:spacing w:after="0" w:line="210" w:lineRule="exact"/>
        <w:rPr>
          <w:rFonts w:ascii="Arial" w:cs="Arial" w:eastAsia="Arial" w:hAnsi="Arial"/>
          <w:sz w:val="16"/>
          <w:szCs w:val="16"/>
          <w:color w:val="auto"/>
        </w:rPr>
      </w:pPr>
    </w:p>
    <w:p>
      <w:pPr>
        <w:ind w:left="2460" w:hanging="923"/>
        <w:spacing w:after="0"/>
        <w:tabs>
          <w:tab w:leader="none" w:pos="2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7(i) hereof.</w:t>
      </w:r>
    </w:p>
    <w:p>
      <w:pPr>
        <w:spacing w:after="0" w:line="225" w:lineRule="exact"/>
        <w:rPr>
          <w:rFonts w:ascii="Arial" w:cs="Arial" w:eastAsia="Arial" w:hAnsi="Arial"/>
          <w:sz w:val="18"/>
          <w:szCs w:val="18"/>
          <w:color w:val="auto"/>
        </w:rPr>
      </w:pPr>
    </w:p>
    <w:p>
      <w:pPr>
        <w:ind w:right="360" w:firstLine="1537"/>
        <w:spacing w:after="0" w:line="277" w:lineRule="auto"/>
        <w:tabs>
          <w:tab w:leader="none" w:pos="24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5480" w:right="80" w:hanging="3943"/>
        <w:spacing w:after="0" w:line="527" w:lineRule="auto"/>
        <w:tabs>
          <w:tab w:leader="none" w:pos="24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color w:val="auto"/>
        </w:rPr>
        <w:t>” means any Award of Performance Shares or Performance Units granted pursuant to Section 7(h).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right="60" w:firstLine="1537"/>
        <w:spacing w:after="0" w:line="308" w:lineRule="auto"/>
        <w:tabs>
          <w:tab w:leader="none" w:pos="2476"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ind w:firstLine="1537"/>
        <w:spacing w:after="0" w:line="259" w:lineRule="auto"/>
        <w:tabs>
          <w:tab w:leader="none" w:pos="23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jc w:val="both"/>
        <w:ind w:right="320" w:firstLine="1537"/>
        <w:spacing w:after="0" w:line="259" w:lineRule="auto"/>
        <w:tabs>
          <w:tab w:leader="none" w:pos="23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ind w:right="20" w:firstLine="1537"/>
        <w:spacing w:after="0" w:line="277" w:lineRule="auto"/>
        <w:tabs>
          <w:tab w:leader="none" w:pos="24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left="2400" w:hanging="863"/>
        <w:spacing w:after="0"/>
        <w:tabs>
          <w:tab w:leader="none" w:pos="2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2006 Incentive Compensation Plan.</w:t>
      </w:r>
    </w:p>
    <w:p>
      <w:pPr>
        <w:spacing w:after="0" w:line="225" w:lineRule="exact"/>
        <w:rPr>
          <w:rFonts w:ascii="Arial" w:cs="Arial" w:eastAsia="Arial" w:hAnsi="Arial"/>
          <w:sz w:val="18"/>
          <w:szCs w:val="18"/>
          <w:color w:val="auto"/>
        </w:rPr>
      </w:pPr>
    </w:p>
    <w:p>
      <w:pPr>
        <w:ind w:right="40" w:firstLine="1537"/>
        <w:spacing w:after="0" w:line="257" w:lineRule="auto"/>
        <w:tabs>
          <w:tab w:leader="none" w:pos="25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87" w:lineRule="exact"/>
        <w:rPr>
          <w:rFonts w:ascii="Arial" w:cs="Arial" w:eastAsia="Arial" w:hAnsi="Arial"/>
          <w:sz w:val="18"/>
          <w:szCs w:val="18"/>
          <w:color w:val="auto"/>
        </w:rPr>
      </w:pPr>
    </w:p>
    <w:p>
      <w:pPr>
        <w:ind w:right="160" w:firstLine="1537"/>
        <w:spacing w:after="0" w:line="286" w:lineRule="auto"/>
        <w:tabs>
          <w:tab w:leader="none" w:pos="2476"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65" w:lineRule="exact"/>
        <w:rPr>
          <w:rFonts w:ascii="Arial" w:cs="Arial" w:eastAsia="Arial" w:hAnsi="Arial"/>
          <w:sz w:val="17"/>
          <w:szCs w:val="17"/>
          <w:color w:val="auto"/>
        </w:rPr>
      </w:pPr>
    </w:p>
    <w:p>
      <w:pPr>
        <w:ind w:left="2480" w:hanging="943"/>
        <w:spacing w:after="0"/>
        <w:tabs>
          <w:tab w:leader="none" w:pos="2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Restricted Stock granted to a Participant under Section 7(d) hereof.</w:t>
      </w:r>
    </w:p>
    <w:p>
      <w:pPr>
        <w:spacing w:after="0" w:line="236" w:lineRule="exact"/>
        <w:rPr>
          <w:rFonts w:ascii="Arial" w:cs="Arial" w:eastAsia="Arial" w:hAnsi="Arial"/>
          <w:sz w:val="17"/>
          <w:szCs w:val="17"/>
          <w:color w:val="auto"/>
        </w:rPr>
      </w:pPr>
    </w:p>
    <w:p>
      <w:pPr>
        <w:ind w:right="40" w:firstLine="1537"/>
        <w:spacing w:after="0" w:line="277" w:lineRule="auto"/>
        <w:tabs>
          <w:tab w:leader="none" w:pos="24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 Award</w:t>
      </w:r>
      <w:r>
        <w:rPr>
          <w:rFonts w:ascii="Arial" w:cs="Arial" w:eastAsia="Arial" w:hAnsi="Arial"/>
          <w:sz w:val="16"/>
          <w:szCs w:val="16"/>
          <w:color w:val="auto"/>
        </w:rPr>
        <w:t>” means an Award of Restricted Stock Unit granted to a Participant under Section 7(e)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right="200" w:firstLine="1537"/>
        <w:spacing w:after="0" w:line="277" w:lineRule="auto"/>
        <w:tabs>
          <w:tab w:leader="none" w:pos="24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ind w:right="80" w:firstLine="1537"/>
        <w:spacing w:after="0" w:line="263" w:lineRule="auto"/>
        <w:tabs>
          <w:tab w:leader="none" w:pos="24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83" w:lineRule="exact"/>
        <w:rPr>
          <w:rFonts w:ascii="Arial" w:cs="Arial" w:eastAsia="Arial" w:hAnsi="Arial"/>
          <w:sz w:val="18"/>
          <w:szCs w:val="18"/>
          <w:color w:val="auto"/>
        </w:rPr>
      </w:pPr>
    </w:p>
    <w:p>
      <w:pPr>
        <w:ind w:right="180" w:firstLine="1537"/>
        <w:spacing w:after="0" w:line="277" w:lineRule="auto"/>
        <w:tabs>
          <w:tab w:leader="none" w:pos="23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11(c) hereof.</w:t>
      </w:r>
    </w:p>
    <w:p>
      <w:pPr>
        <w:spacing w:after="0" w:line="170" w:lineRule="exact"/>
        <w:rPr>
          <w:rFonts w:ascii="Arial" w:cs="Arial" w:eastAsia="Arial" w:hAnsi="Arial"/>
          <w:sz w:val="18"/>
          <w:szCs w:val="18"/>
          <w:color w:val="auto"/>
        </w:rPr>
      </w:pPr>
    </w:p>
    <w:p>
      <w:pPr>
        <w:ind w:left="2480" w:hanging="943"/>
        <w:spacing w:after="0"/>
        <w:tabs>
          <w:tab w:leader="none" w:pos="2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7(c) hereof.</w:t>
      </w:r>
    </w:p>
    <w:p>
      <w:pPr>
        <w:spacing w:after="0" w:line="225" w:lineRule="exact"/>
        <w:rPr>
          <w:rFonts w:ascii="Arial" w:cs="Arial" w:eastAsia="Arial" w:hAnsi="Arial"/>
          <w:sz w:val="18"/>
          <w:szCs w:val="18"/>
          <w:color w:val="auto"/>
        </w:rPr>
      </w:pPr>
    </w:p>
    <w:p>
      <w:pPr>
        <w:jc w:val="both"/>
        <w:ind w:right="100" w:firstLine="1537"/>
        <w:spacing w:after="0" w:line="259" w:lineRule="auto"/>
        <w:tabs>
          <w:tab w:leader="none" w:pos="24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left="-20" w:right="180" w:firstLine="1537"/>
        <w:spacing w:after="0" w:line="263" w:lineRule="auto"/>
        <w:tabs>
          <w:tab w:leader="none" w:pos="25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83" w:lineRule="exact"/>
        <w:rPr>
          <w:rFonts w:ascii="Arial" w:cs="Arial" w:eastAsia="Arial" w:hAnsi="Arial"/>
          <w:sz w:val="18"/>
          <w:szCs w:val="18"/>
          <w:color w:val="auto"/>
        </w:rPr>
      </w:pPr>
    </w:p>
    <w:p>
      <w:pPr>
        <w:ind w:left="1540" w:hanging="787"/>
        <w:spacing w:after="0"/>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537"/>
        <w:spacing w:after="0" w:line="269" w:lineRule="auto"/>
        <w:tabs>
          <w:tab w:leader="none" w:pos="2356"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Authority of the Committee</w:t>
      </w:r>
      <w:r>
        <w:rPr>
          <w:rFonts w:ascii="Arial" w:cs="Arial" w:eastAsia="Arial" w:hAnsi="Arial"/>
          <w:sz w:val="17"/>
          <w:szCs w:val="17"/>
          <w:color w:val="auto"/>
        </w:rPr>
        <w:t>. The Plan shall be administered by the Committee, except to the extent the Board elects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85" w:lineRule="exact"/>
        <w:rPr>
          <w:rFonts w:ascii="Arial" w:cs="Arial" w:eastAsia="Arial" w:hAnsi="Arial"/>
          <w:sz w:val="17"/>
          <w:szCs w:val="17"/>
          <w:color w:val="auto"/>
        </w:rPr>
      </w:pPr>
    </w:p>
    <w:p>
      <w:pPr>
        <w:ind w:left="-20" w:right="80" w:firstLine="1537"/>
        <w:spacing w:after="0" w:line="268" w:lineRule="auto"/>
        <w:tabs>
          <w:tab w:leader="none" w:pos="2366"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Manner of Exercise of Committee Authority</w:t>
      </w:r>
      <w:r>
        <w:rPr>
          <w:rFonts w:ascii="Arial" w:cs="Arial" w:eastAsia="Arial" w:hAnsi="Arial"/>
          <w:sz w:val="17"/>
          <w:szCs w:val="17"/>
          <w:color w:val="auto"/>
        </w:rPr>
        <w:t>. The Committee, and not the Board, shall exercise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86" w:lineRule="exact"/>
        <w:rPr>
          <w:rFonts w:ascii="Arial" w:cs="Arial" w:eastAsia="Arial" w:hAnsi="Arial"/>
          <w:sz w:val="17"/>
          <w:szCs w:val="17"/>
          <w:color w:val="auto"/>
        </w:rPr>
      </w:pPr>
    </w:p>
    <w:p>
      <w:pPr>
        <w:ind w:left="-20" w:firstLine="1537"/>
        <w:spacing w:after="0" w:line="296" w:lineRule="auto"/>
        <w:tabs>
          <w:tab w:leader="none" w:pos="2356" w:val="left"/>
        </w:tabs>
        <w:numPr>
          <w:ilvl w:val="1"/>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61" w:lineRule="exact"/>
        <w:rPr>
          <w:rFonts w:ascii="Arial" w:cs="Arial" w:eastAsia="Arial" w:hAnsi="Arial"/>
          <w:sz w:val="16"/>
          <w:szCs w:val="16"/>
          <w:color w:val="auto"/>
        </w:rPr>
      </w:pPr>
    </w:p>
    <w:p>
      <w:pPr>
        <w:ind w:left="1540" w:hanging="787"/>
        <w:spacing w:after="0"/>
        <w:tabs>
          <w:tab w:leader="none" w:pos="154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537"/>
        <w:spacing w:after="0" w:line="254" w:lineRule="auto"/>
        <w:tabs>
          <w:tab w:leader="none" w:pos="2356"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Section 11(c) hereof, the aggregate number of Shares reserved and available for delivery under the Plan shall be equal to the sum of (i) </w:t>
      </w:r>
      <w:r>
        <w:rPr>
          <w:rFonts w:ascii="Arial" w:cs="Arial" w:eastAsia="Arial" w:hAnsi="Arial"/>
          <w:sz w:val="18"/>
          <w:szCs w:val="18"/>
          <w:b w:val="1"/>
          <w:bCs w:val="1"/>
          <w:color w:val="auto"/>
          <w:strike w:val="1"/>
        </w:rPr>
        <w:t>8,000,000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9,740,000</w:t>
      </w:r>
      <w:r>
        <w:rPr>
          <w:rFonts w:ascii="Arial" w:cs="Arial" w:eastAsia="Arial" w:hAnsi="Arial"/>
          <w:sz w:val="18"/>
          <w:szCs w:val="18"/>
          <w:color w:val="auto"/>
        </w:rPr>
        <w:t xml:space="preserve">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94" w:lineRule="exact"/>
        <w:rPr>
          <w:rFonts w:ascii="Arial" w:cs="Arial" w:eastAsia="Arial" w:hAnsi="Arial"/>
          <w:sz w:val="18"/>
          <w:szCs w:val="18"/>
          <w:color w:val="auto"/>
        </w:rPr>
      </w:pPr>
    </w:p>
    <w:p>
      <w:pPr>
        <w:ind w:left="-20" w:right="20" w:firstLine="1537"/>
        <w:spacing w:after="0" w:line="257" w:lineRule="auto"/>
        <w:tabs>
          <w:tab w:leader="none" w:pos="2366"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w:t>
      </w:r>
      <w:r>
        <w:rPr>
          <w:rFonts w:ascii="Arial" w:cs="Arial" w:eastAsia="Arial" w:hAnsi="Arial"/>
          <w:sz w:val="18"/>
          <w:szCs w:val="18"/>
          <w:color w:val="auto"/>
        </w:rPr>
        <w:t>. No Award may be granted if the number of Shares that would be 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6661785</wp:posOffset>
            </wp:positionH>
            <wp:positionV relativeFrom="paragraph">
              <wp:posOffset>-1508125</wp:posOffset>
            </wp:positionV>
            <wp:extent cx="4546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3" w:name="page74"/>
    <w:bookmarkEnd w:id="73"/>
    <w:p>
      <w:pPr>
        <w:ind w:left="2340" w:hanging="843"/>
        <w:spacing w:after="0"/>
        <w:tabs>
          <w:tab w:leader="none" w:pos="2340"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40" w:firstLine="2302"/>
        <w:spacing w:after="0" w:line="272" w:lineRule="auto"/>
        <w:tabs>
          <w:tab w:leader="none" w:pos="3071" w:val="left"/>
        </w:tabs>
        <w:numPr>
          <w:ilvl w:val="2"/>
          <w:numId w:val="64"/>
        </w:numPr>
        <w:rPr>
          <w:rFonts w:ascii="Arial" w:cs="Arial" w:eastAsia="Arial" w:hAnsi="Arial"/>
          <w:sz w:val="17"/>
          <w:szCs w:val="17"/>
          <w:color w:val="auto"/>
        </w:rPr>
      </w:pPr>
      <w:r>
        <w:rPr>
          <w:rFonts w:ascii="Arial" w:cs="Arial" w:eastAsia="Arial" w:hAnsi="Arial"/>
          <w:sz w:val="17"/>
          <w:szCs w:val="17"/>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77" w:lineRule="exact"/>
        <w:rPr>
          <w:rFonts w:ascii="Arial" w:cs="Arial" w:eastAsia="Arial" w:hAnsi="Arial"/>
          <w:sz w:val="17"/>
          <w:szCs w:val="17"/>
          <w:color w:val="auto"/>
        </w:rPr>
      </w:pPr>
    </w:p>
    <w:p>
      <w:pPr>
        <w:ind w:left="-40" w:right="280" w:firstLine="2302"/>
        <w:spacing w:after="0" w:line="311" w:lineRule="auto"/>
        <w:tabs>
          <w:tab w:leader="none" w:pos="3121" w:val="left"/>
        </w:tabs>
        <w:numPr>
          <w:ilvl w:val="2"/>
          <w:numId w:val="64"/>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148" w:lineRule="exact"/>
        <w:rPr>
          <w:rFonts w:ascii="Arial" w:cs="Arial" w:eastAsia="Arial" w:hAnsi="Arial"/>
          <w:sz w:val="16"/>
          <w:szCs w:val="16"/>
          <w:color w:val="auto"/>
        </w:rPr>
      </w:pPr>
    </w:p>
    <w:p>
      <w:pPr>
        <w:ind w:left="-40" w:right="60" w:firstLine="2302"/>
        <w:spacing w:after="0" w:line="269" w:lineRule="auto"/>
        <w:tabs>
          <w:tab w:leader="none" w:pos="3171" w:val="left"/>
        </w:tabs>
        <w:numPr>
          <w:ilvl w:val="2"/>
          <w:numId w:val="64"/>
        </w:numPr>
        <w:rPr>
          <w:rFonts w:ascii="Arial" w:cs="Arial" w:eastAsia="Arial" w:hAnsi="Arial"/>
          <w:sz w:val="17"/>
          <w:szCs w:val="17"/>
          <w:color w:val="auto"/>
        </w:rPr>
      </w:pPr>
      <w:r>
        <w:rPr>
          <w:rFonts w:ascii="Arial" w:cs="Arial" w:eastAsia="Arial" w:hAnsi="Arial"/>
          <w:sz w:val="17"/>
          <w:szCs w:val="17"/>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85" w:lineRule="exact"/>
        <w:rPr>
          <w:rFonts w:ascii="Arial" w:cs="Arial" w:eastAsia="Arial" w:hAnsi="Arial"/>
          <w:sz w:val="17"/>
          <w:szCs w:val="17"/>
          <w:color w:val="auto"/>
        </w:rPr>
      </w:pPr>
    </w:p>
    <w:p>
      <w:pPr>
        <w:ind w:left="-40" w:firstLine="2302"/>
        <w:spacing w:after="0" w:line="259" w:lineRule="auto"/>
        <w:tabs>
          <w:tab w:leader="none" w:pos="3161" w:val="left"/>
        </w:tabs>
        <w:numPr>
          <w:ilvl w:val="2"/>
          <w:numId w:val="64"/>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Section 4(c) to the contrary but subject to adjustment as provided in Section 11(c) hereof, the maximum aggregate number of Shares that may be delivered under the Plan as a result of the exercise of the Incentive Stock Options shall be </w:t>
      </w:r>
      <w:r>
        <w:rPr>
          <w:rFonts w:ascii="Arial" w:cs="Arial" w:eastAsia="Arial" w:hAnsi="Arial"/>
          <w:sz w:val="18"/>
          <w:szCs w:val="18"/>
          <w:b w:val="1"/>
          <w:bCs w:val="1"/>
          <w:color w:val="auto"/>
          <w:strike w:val="1"/>
        </w:rPr>
        <w:t>8,000,000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9,740,000</w:t>
      </w:r>
      <w:r>
        <w:rPr>
          <w:rFonts w:ascii="Arial" w:cs="Arial" w:eastAsia="Arial" w:hAnsi="Arial"/>
          <w:sz w:val="18"/>
          <w:szCs w:val="18"/>
          <w:color w:val="auto"/>
        </w:rPr>
        <w:t xml:space="preserve"> Shares. In no event shall any Incentive Stock Options be granted under the Plan after the tenth anniversary of the date on which the Board adopts the Plan.</w:t>
      </w:r>
    </w:p>
    <w:p>
      <w:pPr>
        <w:spacing w:after="0" w:line="186" w:lineRule="exact"/>
        <w:rPr>
          <w:rFonts w:ascii="Arial" w:cs="Arial" w:eastAsia="Arial" w:hAnsi="Arial"/>
          <w:sz w:val="18"/>
          <w:szCs w:val="18"/>
          <w:color w:val="auto"/>
        </w:rPr>
      </w:pPr>
    </w:p>
    <w:p>
      <w:pPr>
        <w:ind w:left="-40" w:right="100" w:firstLine="2302"/>
        <w:spacing w:after="0" w:line="259" w:lineRule="auto"/>
        <w:tabs>
          <w:tab w:leader="none" w:pos="3111" w:val="left"/>
        </w:tabs>
        <w:numPr>
          <w:ilvl w:val="2"/>
          <w:numId w:val="64"/>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86" w:lineRule="exact"/>
        <w:rPr>
          <w:rFonts w:ascii="Arial" w:cs="Arial" w:eastAsia="Arial" w:hAnsi="Arial"/>
          <w:sz w:val="18"/>
          <w:szCs w:val="18"/>
          <w:color w:val="auto"/>
        </w:rPr>
      </w:pPr>
    </w:p>
    <w:p>
      <w:pPr>
        <w:ind w:left="2360" w:hanging="863"/>
        <w:spacing w:after="0"/>
        <w:tabs>
          <w:tab w:leader="none" w:pos="2360"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Awards Under Prior Plan</w:t>
      </w:r>
      <w:r>
        <w:rPr>
          <w:rFonts w:ascii="Arial" w:cs="Arial" w:eastAsia="Arial" w:hAnsi="Arial"/>
          <w:sz w:val="17"/>
          <w:szCs w:val="17"/>
          <w:color w:val="auto"/>
        </w:rPr>
        <w:t>. No further awards shall be made under the Prior Plan after July 31, 2016.</w:t>
      </w:r>
    </w:p>
    <w:p>
      <w:pPr>
        <w:spacing w:after="0" w:line="236" w:lineRule="exact"/>
        <w:rPr>
          <w:rFonts w:ascii="Arial" w:cs="Arial" w:eastAsia="Arial" w:hAnsi="Arial"/>
          <w:sz w:val="17"/>
          <w:szCs w:val="17"/>
          <w:color w:val="auto"/>
        </w:rPr>
      </w:pPr>
    </w:p>
    <w:p>
      <w:pPr>
        <w:ind w:left="-40" w:right="100" w:firstLine="773"/>
        <w:spacing w:after="0" w:line="291" w:lineRule="auto"/>
        <w:tabs>
          <w:tab w:leader="none" w:pos="1508"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Per-Participant Limitations</w:t>
      </w:r>
      <w:r>
        <w:rPr>
          <w:rFonts w:ascii="Arial" w:cs="Arial" w:eastAsia="Arial" w:hAnsi="Arial"/>
          <w:sz w:val="16"/>
          <w:szCs w:val="16"/>
          <w:color w:val="auto"/>
        </w:rPr>
        <w:t>. Awards may be granted under the Plan only to Eligible Persons. Subject to adjustment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66" w:lineRule="exact"/>
        <w:rPr>
          <w:rFonts w:ascii="Arial" w:cs="Arial" w:eastAsia="Arial" w:hAnsi="Arial"/>
          <w:sz w:val="16"/>
          <w:szCs w:val="16"/>
          <w:color w:val="auto"/>
        </w:rPr>
      </w:pPr>
    </w:p>
    <w:p>
      <w:pPr>
        <w:ind w:left="-40" w:right="40" w:firstLine="773"/>
        <w:spacing w:after="0" w:line="255" w:lineRule="auto"/>
        <w:tabs>
          <w:tab w:leader="none" w:pos="1508"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Award Vesting Limitations</w:t>
      </w:r>
      <w:r>
        <w:rPr>
          <w:rFonts w:ascii="Arial" w:cs="Arial" w:eastAsia="Arial" w:hAnsi="Arial"/>
          <w:sz w:val="18"/>
          <w:szCs w:val="18"/>
          <w:color w:val="auto"/>
        </w:rPr>
        <w:t>. Notwithstanding any other provision of the Plan to the contrary, but subject to Section 10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-3151505</wp:posOffset>
            </wp:positionV>
            <wp:extent cx="4540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60" w:top="557" w:right="379" w:bottom="1440" w:gutter="0" w:footer="0" w:header="0"/>
        </w:sectPr>
      </w:pPr>
    </w:p>
    <w:bookmarkStart w:id="74" w:name="page75"/>
    <w:bookmarkEnd w:id="74"/>
    <w:p>
      <w:pPr>
        <w:ind w:left="1560" w:hanging="787"/>
        <w:spacing w:after="0"/>
        <w:tabs>
          <w:tab w:leader="none" w:pos="156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537"/>
        <w:spacing w:after="0" w:line="254" w:lineRule="auto"/>
        <w:tabs>
          <w:tab w:leader="none" w:pos="2376" w:val="left"/>
        </w:tabs>
        <w:numPr>
          <w:ilvl w:val="1"/>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7.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91" w:lineRule="exact"/>
        <w:rPr>
          <w:rFonts w:ascii="Arial" w:cs="Arial" w:eastAsia="Arial" w:hAnsi="Arial"/>
          <w:sz w:val="18"/>
          <w:szCs w:val="18"/>
          <w:color w:val="auto"/>
        </w:rPr>
      </w:pPr>
    </w:p>
    <w:p>
      <w:pPr>
        <w:ind w:left="2400" w:hanging="863"/>
        <w:spacing w:after="0"/>
        <w:tabs>
          <w:tab w:leader="none" w:pos="2400" w:val="left"/>
        </w:tabs>
        <w:numPr>
          <w:ilvl w:val="1"/>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color w:val="auto"/>
        </w:rPr>
        <w:t>. The Committee is authorized to grant Options to any Eligible Person on the following terms and conditions:</w:t>
      </w:r>
    </w:p>
    <w:p>
      <w:pPr>
        <w:spacing w:after="0" w:line="236" w:lineRule="exact"/>
        <w:rPr>
          <w:rFonts w:ascii="Arial" w:cs="Arial" w:eastAsia="Arial" w:hAnsi="Arial"/>
          <w:sz w:val="17"/>
          <w:szCs w:val="17"/>
          <w:color w:val="auto"/>
        </w:rPr>
      </w:pPr>
    </w:p>
    <w:p>
      <w:pPr>
        <w:ind w:right="60" w:firstLine="2302"/>
        <w:spacing w:after="0" w:line="268" w:lineRule="auto"/>
        <w:tabs>
          <w:tab w:leader="none" w:pos="3111" w:val="left"/>
        </w:tabs>
        <w:numPr>
          <w:ilvl w:val="2"/>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Other than in connection with Substitute Awards, the exercise price per Share purchasable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86" w:lineRule="exact"/>
        <w:rPr>
          <w:rFonts w:ascii="Arial" w:cs="Arial" w:eastAsia="Arial" w:hAnsi="Arial"/>
          <w:sz w:val="17"/>
          <w:szCs w:val="17"/>
          <w:color w:val="auto"/>
        </w:rPr>
      </w:pPr>
    </w:p>
    <w:p>
      <w:pPr>
        <w:ind w:firstLine="2302"/>
        <w:spacing w:after="0" w:line="269" w:lineRule="auto"/>
        <w:tabs>
          <w:tab w:leader="none" w:pos="3161" w:val="left"/>
        </w:tabs>
        <w:numPr>
          <w:ilvl w:val="2"/>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Subject to the maximum term of any Option set forth in Section 7(b),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85" w:lineRule="exact"/>
        <w:rPr>
          <w:rFonts w:ascii="Arial" w:cs="Arial" w:eastAsia="Arial" w:hAnsi="Arial"/>
          <w:sz w:val="17"/>
          <w:szCs w:val="17"/>
          <w:color w:val="auto"/>
        </w:rPr>
      </w:pPr>
    </w:p>
    <w:p>
      <w:pPr>
        <w:ind w:right="400" w:firstLine="2302"/>
        <w:spacing w:after="0" w:line="277" w:lineRule="auto"/>
        <w:tabs>
          <w:tab w:leader="none" w:pos="3211" w:val="left"/>
        </w:tabs>
        <w:numPr>
          <w:ilvl w:val="2"/>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 The Committee may, in its sole discretion, provide that the Shares to be issued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 Option shall be in the form of Restricted Stock or other similar securities.</w:t>
      </w:r>
    </w:p>
    <w:p>
      <w:pPr>
        <w:spacing w:after="0" w:line="170" w:lineRule="exact"/>
        <w:rPr>
          <w:rFonts w:ascii="Arial" w:cs="Arial" w:eastAsia="Arial" w:hAnsi="Arial"/>
          <w:sz w:val="18"/>
          <w:szCs w:val="18"/>
          <w:color w:val="auto"/>
        </w:rPr>
      </w:pPr>
    </w:p>
    <w:p>
      <w:pPr>
        <w:ind w:right="40" w:firstLine="2302"/>
        <w:spacing w:after="0" w:line="285" w:lineRule="auto"/>
        <w:tabs>
          <w:tab w:leader="none" w:pos="3201" w:val="left"/>
        </w:tabs>
        <w:numPr>
          <w:ilvl w:val="2"/>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422 of the Code, Options granted as Incentive Stock Options shall be subject to the following special terms and conditions:</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3"/>
          <w:numId w:val="66"/>
        </w:numPr>
        <w:rPr>
          <w:rFonts w:ascii="Arial" w:cs="Arial" w:eastAsia="Arial" w:hAnsi="Arial"/>
          <w:sz w:val="17"/>
          <w:szCs w:val="17"/>
          <w:color w:val="auto"/>
        </w:rPr>
      </w:pPr>
      <w:r>
        <w:rPr>
          <w:rFonts w:ascii="Arial" w:cs="Arial" w:eastAsia="Arial" w:hAnsi="Arial"/>
          <w:sz w:val="17"/>
          <w:szCs w:val="17"/>
          <w:color w:val="auto"/>
        </w:rPr>
        <w:t>the Option shall not be exercisable for more than ten years after the date such Incentive Stock</w:t>
      </w:r>
    </w:p>
    <w:p>
      <w:pPr>
        <w:spacing w:after="0" w:line="34" w:lineRule="exact"/>
        <w:rPr>
          <w:rFonts w:ascii="Arial" w:cs="Arial" w:eastAsia="Arial" w:hAnsi="Arial"/>
          <w:sz w:val="17"/>
          <w:szCs w:val="17"/>
          <w:color w:val="auto"/>
        </w:rPr>
      </w:pPr>
    </w:p>
    <w:p>
      <w:pPr>
        <w:ind w:right="40"/>
        <w:spacing w:after="0" w:line="295" w:lineRule="auto"/>
        <w:rPr>
          <w:rFonts w:ascii="Arial" w:cs="Arial" w:eastAsia="Arial" w:hAnsi="Arial"/>
          <w:sz w:val="17"/>
          <w:szCs w:val="17"/>
          <w:color w:val="auto"/>
        </w:rPr>
      </w:pPr>
      <w:r>
        <w:rPr>
          <w:rFonts w:ascii="Arial" w:cs="Arial" w:eastAsia="Arial" w:hAnsi="Arial"/>
          <w:sz w:val="16"/>
          <w:szCs w:val="16"/>
          <w:color w:val="auto"/>
        </w:rPr>
        <w:t>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jc w:val="both"/>
        <w:ind w:right="40" w:firstLine="3065"/>
        <w:spacing w:after="0" w:line="301" w:lineRule="auto"/>
        <w:tabs>
          <w:tab w:leader="none" w:pos="3945" w:val="left"/>
        </w:tabs>
        <w:numPr>
          <w:ilvl w:val="2"/>
          <w:numId w:val="67"/>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157" w:lineRule="exact"/>
        <w:rPr>
          <w:rFonts w:ascii="Arial" w:cs="Arial" w:eastAsia="Arial" w:hAnsi="Arial"/>
          <w:sz w:val="16"/>
          <w:szCs w:val="16"/>
          <w:color w:val="auto"/>
        </w:rPr>
      </w:pPr>
    </w:p>
    <w:p>
      <w:pPr>
        <w:ind w:left="3960" w:hanging="895"/>
        <w:spacing w:after="0"/>
        <w:tabs>
          <w:tab w:leader="none" w:pos="3960" w:val="left"/>
        </w:tabs>
        <w:numPr>
          <w:ilvl w:val="2"/>
          <w:numId w:val="67"/>
        </w:numPr>
        <w:rPr>
          <w:rFonts w:ascii="Arial" w:cs="Arial" w:eastAsia="Arial" w:hAnsi="Arial"/>
          <w:sz w:val="17"/>
          <w:szCs w:val="17"/>
          <w:color w:val="auto"/>
        </w:rPr>
      </w:pPr>
      <w:r>
        <w:rPr>
          <w:rFonts w:ascii="Arial" w:cs="Arial" w:eastAsia="Arial" w:hAnsi="Arial"/>
          <w:sz w:val="17"/>
          <w:szCs w:val="17"/>
          <w:color w:val="auto"/>
        </w:rPr>
        <w:t>if shares acquired by exercise of an Incentive Stock Option are disposed of within two years</w:t>
      </w:r>
    </w:p>
    <w:p>
      <w:pPr>
        <w:spacing w:after="0" w:line="34" w:lineRule="exact"/>
        <w:rPr>
          <w:rFonts w:ascii="Arial" w:cs="Arial" w:eastAsia="Arial" w:hAnsi="Arial"/>
          <w:sz w:val="17"/>
          <w:szCs w:val="17"/>
          <w:color w:val="auto"/>
        </w:rPr>
      </w:pPr>
    </w:p>
    <w:p>
      <w:pPr>
        <w:ind w:right="180"/>
        <w:spacing w:after="0" w:line="255" w:lineRule="auto"/>
        <w:rPr>
          <w:rFonts w:ascii="Arial" w:cs="Arial" w:eastAsia="Arial" w:hAnsi="Arial"/>
          <w:sz w:val="17"/>
          <w:szCs w:val="17"/>
          <w:color w:val="auto"/>
        </w:rPr>
      </w:pPr>
      <w:r>
        <w:rPr>
          <w:rFonts w:ascii="Arial" w:cs="Arial" w:eastAsia="Arial" w:hAnsi="Arial"/>
          <w:sz w:val="18"/>
          <w:szCs w:val="18"/>
          <w:color w:val="auto"/>
        </w:rPr>
        <w:t>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89" w:lineRule="exact"/>
        <w:rPr>
          <w:rFonts w:ascii="Arial" w:cs="Arial" w:eastAsia="Arial" w:hAnsi="Arial"/>
          <w:sz w:val="17"/>
          <w:szCs w:val="17"/>
          <w:color w:val="auto"/>
        </w:rPr>
      </w:pPr>
    </w:p>
    <w:p>
      <w:pPr>
        <w:ind w:right="40" w:firstLine="1537"/>
        <w:spacing w:after="0" w:line="263" w:lineRule="auto"/>
        <w:tabs>
          <w:tab w:leader="none" w:pos="2376"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(a “Freestanding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 upon such terms and conditions as the Committee may establish in its sole discretion, not inconsistent with the provisions of the Plan, including the following:</w:t>
      </w:r>
    </w:p>
    <w:p>
      <w:pPr>
        <w:spacing w:after="0" w:line="183" w:lineRule="exact"/>
        <w:rPr>
          <w:rFonts w:ascii="Arial" w:cs="Arial" w:eastAsia="Arial" w:hAnsi="Arial"/>
          <w:sz w:val="18"/>
          <w:szCs w:val="18"/>
          <w:color w:val="auto"/>
        </w:rPr>
      </w:pPr>
    </w:p>
    <w:p>
      <w:pPr>
        <w:ind w:firstLine="2302"/>
        <w:spacing w:after="0" w:line="269" w:lineRule="auto"/>
        <w:tabs>
          <w:tab w:leader="none" w:pos="3111"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Right to Payment</w:t>
      </w:r>
      <w:r>
        <w:rPr>
          <w:rFonts w:ascii="Arial" w:cs="Arial" w:eastAsia="Arial" w:hAnsi="Arial"/>
          <w:sz w:val="17"/>
          <w:szCs w:val="17"/>
          <w:color w:val="auto"/>
        </w:rPr>
        <w:t>. A Stock Appreciation Right shall confer on the Participant to whom it is granted a right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81" w:lineRule="exact"/>
        <w:rPr>
          <w:rFonts w:ascii="Arial" w:cs="Arial" w:eastAsia="Arial" w:hAnsi="Arial"/>
          <w:sz w:val="17"/>
          <w:szCs w:val="17"/>
          <w:color w:val="auto"/>
        </w:rPr>
      </w:pPr>
    </w:p>
    <w:p>
      <w:pPr>
        <w:ind w:right="40" w:firstLine="2302"/>
        <w:spacing w:after="0" w:line="254" w:lineRule="auto"/>
        <w:tabs>
          <w:tab w:leader="none" w:pos="3161" w:val="left"/>
        </w:tabs>
        <w:numPr>
          <w:ilvl w:val="1"/>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Subject to the maximum term of any Stock Appreciation Right set forth in Section 7(c),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94" w:lineRule="exact"/>
        <w:rPr>
          <w:rFonts w:ascii="Arial" w:cs="Arial" w:eastAsia="Arial" w:hAnsi="Arial"/>
          <w:sz w:val="18"/>
          <w:szCs w:val="18"/>
          <w:color w:val="auto"/>
        </w:rPr>
      </w:pPr>
    </w:p>
    <w:p>
      <w:pPr>
        <w:ind w:left="2400" w:hanging="863"/>
        <w:spacing w:after="0"/>
        <w:tabs>
          <w:tab w:leader="none" w:pos="240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terms and conditions:</w:t>
      </w:r>
    </w:p>
    <w:p>
      <w:pPr>
        <w:spacing w:after="0" w:line="210" w:lineRule="exact"/>
        <w:rPr>
          <w:rFonts w:ascii="Arial" w:cs="Arial" w:eastAsia="Arial" w:hAnsi="Arial"/>
          <w:sz w:val="16"/>
          <w:szCs w:val="16"/>
          <w:color w:val="auto"/>
        </w:rPr>
      </w:pPr>
    </w:p>
    <w:p>
      <w:pPr>
        <w:ind w:right="60" w:firstLine="2302"/>
        <w:spacing w:after="0" w:line="269" w:lineRule="auto"/>
        <w:tabs>
          <w:tab w:leader="none" w:pos="3111"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Grant and Restrictions</w:t>
      </w:r>
      <w:r>
        <w:rPr>
          <w:rFonts w:ascii="Arial" w:cs="Arial" w:eastAsia="Arial" w:hAnsi="Arial"/>
          <w:sz w:val="17"/>
          <w:szCs w:val="17"/>
          <w:color w:val="auto"/>
        </w:rPr>
        <w:t>. Restricted Stock Awards shall be subject to such restrictions on transferability,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6" w:name="page77"/>
    <w:bookmarkEnd w:id="76"/>
    <w:p>
      <w:pPr>
        <w:ind w:left="-8" w:right="80" w:firstLine="2302"/>
        <w:spacing w:after="0" w:line="293" w:lineRule="auto"/>
        <w:tabs>
          <w:tab w:leader="none" w:pos="3153" w:val="left"/>
        </w:tabs>
        <w:numPr>
          <w:ilvl w:val="2"/>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164" w:lineRule="exact"/>
        <w:rPr>
          <w:rFonts w:ascii="Arial" w:cs="Arial" w:eastAsia="Arial" w:hAnsi="Arial"/>
          <w:sz w:val="16"/>
          <w:szCs w:val="16"/>
          <w:color w:val="auto"/>
        </w:rPr>
      </w:pPr>
    </w:p>
    <w:p>
      <w:pPr>
        <w:ind w:left="-8" w:right="100" w:firstLine="2302"/>
        <w:spacing w:after="0" w:line="301" w:lineRule="auto"/>
        <w:tabs>
          <w:tab w:leader="none" w:pos="3203" w:val="left"/>
        </w:tabs>
        <w:numPr>
          <w:ilvl w:val="2"/>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7" w:lineRule="exact"/>
        <w:rPr>
          <w:rFonts w:ascii="Arial" w:cs="Arial" w:eastAsia="Arial" w:hAnsi="Arial"/>
          <w:sz w:val="16"/>
          <w:szCs w:val="16"/>
          <w:color w:val="auto"/>
        </w:rPr>
      </w:pPr>
    </w:p>
    <w:p>
      <w:pPr>
        <w:ind w:left="-8" w:firstLine="2302"/>
        <w:spacing w:after="0" w:line="271" w:lineRule="auto"/>
        <w:tabs>
          <w:tab w:leader="none" w:pos="3193" w:val="left"/>
        </w:tabs>
        <w:numPr>
          <w:ilvl w:val="2"/>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8" w:lineRule="exact"/>
        <w:rPr>
          <w:rFonts w:ascii="Arial" w:cs="Arial" w:eastAsia="Arial" w:hAnsi="Arial"/>
          <w:sz w:val="17"/>
          <w:szCs w:val="17"/>
          <w:color w:val="auto"/>
        </w:rPr>
      </w:pPr>
    </w:p>
    <w:p>
      <w:pPr>
        <w:ind w:left="-8" w:right="100" w:firstLine="1537"/>
        <w:spacing w:after="0" w:line="277" w:lineRule="auto"/>
        <w:tabs>
          <w:tab w:leader="none" w:pos="2368" w:val="left"/>
        </w:tabs>
        <w:numPr>
          <w:ilvl w:val="1"/>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Deferred Award</w:t>
      </w:r>
      <w:r>
        <w:rPr>
          <w:rFonts w:ascii="Arial" w:cs="Arial" w:eastAsia="Arial" w:hAnsi="Arial"/>
          <w:sz w:val="18"/>
          <w:szCs w:val="18"/>
          <w:color w:val="auto"/>
        </w:rPr>
        <w:t>. The Committee is authorized to grant “Deferred Awards,” which include Deferred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 Awards, to any Eligible Person on the following terms and conditions.</w:t>
      </w:r>
    </w:p>
    <w:p>
      <w:pPr>
        <w:spacing w:after="0" w:line="170" w:lineRule="exact"/>
        <w:rPr>
          <w:rFonts w:ascii="Arial" w:cs="Arial" w:eastAsia="Arial" w:hAnsi="Arial"/>
          <w:sz w:val="18"/>
          <w:szCs w:val="18"/>
          <w:color w:val="auto"/>
        </w:rPr>
      </w:pPr>
    </w:p>
    <w:p>
      <w:pPr>
        <w:ind w:left="-8" w:right="60" w:firstLine="2302"/>
        <w:spacing w:after="0" w:line="288" w:lineRule="auto"/>
        <w:tabs>
          <w:tab w:leader="none" w:pos="3103" w:val="left"/>
        </w:tabs>
        <w:numPr>
          <w:ilvl w:val="2"/>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Award shall occur upon expiration of the deferral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68" w:lineRule="exact"/>
        <w:rPr>
          <w:rFonts w:ascii="Arial" w:cs="Arial" w:eastAsia="Arial" w:hAnsi="Arial"/>
          <w:sz w:val="16"/>
          <w:szCs w:val="16"/>
          <w:color w:val="auto"/>
        </w:rPr>
      </w:pPr>
    </w:p>
    <w:p>
      <w:pPr>
        <w:ind w:left="-8" w:right="80" w:firstLine="2302"/>
        <w:spacing w:after="0" w:line="272" w:lineRule="auto"/>
        <w:tabs>
          <w:tab w:leader="none" w:pos="3153" w:val="left"/>
        </w:tabs>
        <w:numPr>
          <w:ilvl w:val="2"/>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77" w:lineRule="exact"/>
        <w:rPr>
          <w:rFonts w:ascii="Arial" w:cs="Arial" w:eastAsia="Arial" w:hAnsi="Arial"/>
          <w:sz w:val="17"/>
          <w:szCs w:val="17"/>
          <w:color w:val="auto"/>
        </w:rPr>
      </w:pPr>
    </w:p>
    <w:p>
      <w:pPr>
        <w:ind w:left="-8" w:right="20" w:firstLine="2302"/>
        <w:spacing w:after="0" w:line="291" w:lineRule="auto"/>
        <w:tabs>
          <w:tab w:leader="none" w:pos="3203" w:val="left"/>
        </w:tabs>
        <w:numPr>
          <w:ilvl w:val="2"/>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the date of grant,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provided in the last sentence of Section 7(h) hereof, any Dividend Equivalents that are granted with respect to any Deferred Award shall be either</w:t>
      </w:r>
    </w:p>
    <w:p>
      <w:pPr>
        <w:ind w:left="-8" w:right="120" w:firstLine="8"/>
        <w:spacing w:after="0" w:line="269" w:lineRule="auto"/>
        <w:tabs>
          <w:tab w:leader="none" w:pos="287" w:val="left"/>
        </w:tabs>
        <w:numPr>
          <w:ilvl w:val="0"/>
          <w:numId w:val="71"/>
        </w:numPr>
        <w:rPr>
          <w:rFonts w:ascii="Arial" w:cs="Arial" w:eastAsia="Arial" w:hAnsi="Arial"/>
          <w:sz w:val="17"/>
          <w:szCs w:val="17"/>
          <w:color w:val="auto"/>
        </w:rPr>
      </w:pPr>
      <w:r>
        <w:rPr>
          <w:rFonts w:ascii="Arial" w:cs="Arial" w:eastAsia="Arial" w:hAnsi="Arial"/>
          <w:sz w:val="17"/>
          <w:szCs w:val="17"/>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557" w:right="339" w:bottom="1440" w:gutter="0" w:footer="0" w:header="0"/>
        </w:sectPr>
      </w:pPr>
    </w:p>
    <w:bookmarkStart w:id="77" w:name="page78"/>
    <w:bookmarkEnd w:id="77"/>
    <w:p>
      <w:pPr>
        <w:ind w:left="-20" w:right="100" w:firstLine="1537"/>
        <w:spacing w:after="0" w:line="296" w:lineRule="auto"/>
        <w:tabs>
          <w:tab w:leader="none" w:pos="2336"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61" w:lineRule="exact"/>
        <w:rPr>
          <w:rFonts w:ascii="Arial" w:cs="Arial" w:eastAsia="Arial" w:hAnsi="Arial"/>
          <w:sz w:val="16"/>
          <w:szCs w:val="16"/>
          <w:color w:val="auto"/>
        </w:rPr>
      </w:pPr>
    </w:p>
    <w:p>
      <w:pPr>
        <w:ind w:left="-20" w:firstLine="1537"/>
        <w:spacing w:after="0" w:line="270" w:lineRule="auto"/>
        <w:tabs>
          <w:tab w:leader="none" w:pos="2366"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80" w:lineRule="exact"/>
        <w:rPr>
          <w:rFonts w:ascii="Arial" w:cs="Arial" w:eastAsia="Arial" w:hAnsi="Arial"/>
          <w:sz w:val="17"/>
          <w:szCs w:val="17"/>
          <w:color w:val="auto"/>
        </w:rPr>
      </w:pPr>
    </w:p>
    <w:p>
      <w:pPr>
        <w:ind w:left="-20" w:right="20" w:firstLine="1537"/>
        <w:spacing w:after="0" w:line="269" w:lineRule="auto"/>
        <w:tabs>
          <w:tab w:leader="none" w:pos="2366"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The Committee is authorized to grant Performance Awards to any Eligible Person payable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1" w:lineRule="exact"/>
        <w:rPr>
          <w:rFonts w:ascii="Arial" w:cs="Arial" w:eastAsia="Arial" w:hAnsi="Arial"/>
          <w:sz w:val="17"/>
          <w:szCs w:val="17"/>
          <w:color w:val="auto"/>
        </w:rPr>
      </w:pPr>
    </w:p>
    <w:p>
      <w:pPr>
        <w:ind w:left="-20" w:right="60" w:firstLine="1537"/>
        <w:spacing w:after="0" w:line="289" w:lineRule="auto"/>
        <w:tabs>
          <w:tab w:leader="none" w:pos="2326"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66" w:lineRule="exact"/>
        <w:rPr>
          <w:rFonts w:ascii="Arial" w:cs="Arial" w:eastAsia="Arial" w:hAnsi="Arial"/>
          <w:sz w:val="16"/>
          <w:szCs w:val="16"/>
          <w:color w:val="auto"/>
        </w:rPr>
      </w:pPr>
    </w:p>
    <w:p>
      <w:pPr>
        <w:ind w:left="1540" w:hanging="787"/>
        <w:spacing w:after="0"/>
        <w:tabs>
          <w:tab w:leader="none" w:pos="154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1537"/>
        <w:spacing w:after="0" w:line="269" w:lineRule="auto"/>
        <w:tabs>
          <w:tab w:leader="none" w:pos="2356" w:val="left"/>
        </w:tabs>
        <w:numPr>
          <w:ilvl w:val="1"/>
          <w:numId w:val="73"/>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78" w:name="page79"/>
    <w:bookmarkEnd w:id="78"/>
    <w:p>
      <w:pPr>
        <w:jc w:val="both"/>
        <w:ind w:right="60" w:firstLine="1537"/>
        <w:spacing w:after="0" w:line="263" w:lineRule="auto"/>
        <w:tabs>
          <w:tab w:leader="none" w:pos="2386"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 event shall the term of any Option or Stock Appreciation Right exceed a period of ten years (or in the case of an Incentive Stock Option such shorter term as may be required under Section 422 of the Code).</w:t>
      </w:r>
    </w:p>
    <w:p>
      <w:pPr>
        <w:spacing w:after="0" w:line="183" w:lineRule="exact"/>
        <w:rPr>
          <w:rFonts w:ascii="Arial" w:cs="Arial" w:eastAsia="Arial" w:hAnsi="Arial"/>
          <w:sz w:val="18"/>
          <w:szCs w:val="18"/>
          <w:color w:val="auto"/>
        </w:rPr>
      </w:pPr>
    </w:p>
    <w:p>
      <w:pPr>
        <w:ind w:right="40" w:firstLine="1537"/>
        <w:spacing w:after="0" w:line="286" w:lineRule="auto"/>
        <w:tabs>
          <w:tab w:leader="none" w:pos="2376"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70" w:lineRule="exact"/>
        <w:rPr>
          <w:rFonts w:ascii="Arial" w:cs="Arial" w:eastAsia="Arial" w:hAnsi="Arial"/>
          <w:sz w:val="16"/>
          <w:szCs w:val="16"/>
          <w:color w:val="auto"/>
        </w:rPr>
      </w:pPr>
    </w:p>
    <w:p>
      <w:pPr>
        <w:ind w:firstLine="1537"/>
        <w:spacing w:after="0" w:line="296" w:lineRule="auto"/>
        <w:tabs>
          <w:tab w:leader="none" w:pos="2386"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61" w:lineRule="exact"/>
        <w:rPr>
          <w:rFonts w:ascii="Arial" w:cs="Arial" w:eastAsia="Arial" w:hAnsi="Arial"/>
          <w:sz w:val="16"/>
          <w:szCs w:val="16"/>
          <w:color w:val="auto"/>
        </w:rPr>
      </w:pPr>
    </w:p>
    <w:p>
      <w:pPr>
        <w:ind w:right="600" w:firstLine="1537"/>
        <w:spacing w:after="0" w:line="277" w:lineRule="auto"/>
        <w:tabs>
          <w:tab w:leader="none" w:pos="2376"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The following provisions shall apply to any Award that is or may potentially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409A of the Code.</w:t>
      </w:r>
    </w:p>
    <w:p>
      <w:pPr>
        <w:spacing w:after="0" w:line="170" w:lineRule="exact"/>
        <w:rPr>
          <w:rFonts w:ascii="Arial" w:cs="Arial" w:eastAsia="Arial" w:hAnsi="Arial"/>
          <w:sz w:val="18"/>
          <w:szCs w:val="18"/>
          <w:color w:val="auto"/>
        </w:rPr>
      </w:pPr>
    </w:p>
    <w:p>
      <w:pPr>
        <w:ind w:right="160" w:firstLine="2302"/>
        <w:spacing w:after="0" w:line="296" w:lineRule="auto"/>
        <w:tabs>
          <w:tab w:leader="none" w:pos="3111"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61" w:lineRule="exact"/>
        <w:rPr>
          <w:rFonts w:ascii="Arial" w:cs="Arial" w:eastAsia="Arial" w:hAnsi="Arial"/>
          <w:sz w:val="16"/>
          <w:szCs w:val="16"/>
          <w:color w:val="auto"/>
        </w:rPr>
      </w:pPr>
    </w:p>
    <w:p>
      <w:pPr>
        <w:ind w:right="500" w:firstLine="2302"/>
        <w:spacing w:after="0" w:line="277" w:lineRule="auto"/>
        <w:tabs>
          <w:tab w:leader="none" w:pos="31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0" w:lineRule="exact"/>
        <w:rPr>
          <w:rFonts w:ascii="Arial" w:cs="Arial" w:eastAsia="Arial" w:hAnsi="Arial"/>
          <w:sz w:val="18"/>
          <w:szCs w:val="18"/>
          <w:color w:val="auto"/>
        </w:rPr>
      </w:pPr>
    </w:p>
    <w:p>
      <w:pPr>
        <w:ind w:left="3960" w:hanging="895"/>
        <w:spacing w:after="0"/>
        <w:tabs>
          <w:tab w:leader="none" w:pos="3960" w:val="left"/>
        </w:tabs>
        <w:numPr>
          <w:ilvl w:val="2"/>
          <w:numId w:val="74"/>
        </w:numPr>
        <w:rPr>
          <w:rFonts w:ascii="Arial" w:cs="Arial" w:eastAsia="Arial" w:hAnsi="Arial"/>
          <w:sz w:val="17"/>
          <w:szCs w:val="17"/>
          <w:color w:val="auto"/>
        </w:rPr>
      </w:pPr>
      <w:r>
        <w:rPr>
          <w:rFonts w:ascii="Arial" w:cs="Arial" w:eastAsia="Arial" w:hAnsi="Arial"/>
          <w:sz w:val="17"/>
          <w:szCs w:val="17"/>
          <w:color w:val="auto"/>
        </w:rPr>
        <w:t>Payments under the Section 409A Plan may be made only upon (u) the Participant’s “separation</w:t>
      </w:r>
    </w:p>
    <w:p>
      <w:pPr>
        <w:spacing w:after="0" w:line="34" w:lineRule="exact"/>
        <w:rPr>
          <w:rFonts w:ascii="Arial" w:cs="Arial" w:eastAsia="Arial" w:hAnsi="Arial"/>
          <w:sz w:val="17"/>
          <w:szCs w:val="17"/>
          <w:color w:val="auto"/>
        </w:rPr>
      </w:pPr>
    </w:p>
    <w:p>
      <w:pPr>
        <w:ind w:right="80"/>
        <w:spacing w:after="0" w:line="277" w:lineRule="auto"/>
        <w:rPr>
          <w:rFonts w:ascii="Arial" w:cs="Arial" w:eastAsia="Arial" w:hAnsi="Arial"/>
          <w:sz w:val="17"/>
          <w:szCs w:val="17"/>
          <w:color w:val="auto"/>
        </w:rPr>
      </w:pPr>
      <w:r>
        <w:rPr>
          <w:rFonts w:ascii="Arial" w:cs="Arial" w:eastAsia="Arial" w:hAnsi="Arial"/>
          <w:sz w:val="17"/>
          <w:szCs w:val="17"/>
          <w:color w:val="auto"/>
        </w:rPr>
        <w:t>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2" w:lineRule="exact"/>
        <w:rPr>
          <w:rFonts w:ascii="Arial" w:cs="Arial" w:eastAsia="Arial" w:hAnsi="Arial"/>
          <w:sz w:val="17"/>
          <w:szCs w:val="17"/>
          <w:color w:val="auto"/>
        </w:rPr>
      </w:pPr>
    </w:p>
    <w:p>
      <w:pPr>
        <w:ind w:left="3960" w:hanging="895"/>
        <w:spacing w:after="0"/>
        <w:tabs>
          <w:tab w:leader="none" w:pos="3960" w:val="left"/>
        </w:tabs>
        <w:numPr>
          <w:ilvl w:val="2"/>
          <w:numId w:val="74"/>
        </w:numPr>
        <w:rPr>
          <w:rFonts w:ascii="Arial" w:cs="Arial" w:eastAsia="Arial" w:hAnsi="Arial"/>
          <w:sz w:val="16"/>
          <w:szCs w:val="16"/>
          <w:color w:val="auto"/>
        </w:rPr>
      </w:pPr>
      <w:r>
        <w:rPr>
          <w:rFonts w:ascii="Arial" w:cs="Arial" w:eastAsia="Arial" w:hAnsi="Arial"/>
          <w:sz w:val="16"/>
          <w:szCs w:val="16"/>
          <w:color w:val="auto"/>
        </w:rPr>
        <w:t>The time or schedule for any payment of the deferred compensation may not be accelerated, except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extent provided in applicable Treasury Regulations or other applicable guidance issued by the Internal Revenue Service;</w:t>
      </w:r>
    </w:p>
    <w:p>
      <w:pPr>
        <w:spacing w:after="0" w:line="210" w:lineRule="exact"/>
        <w:rPr>
          <w:rFonts w:ascii="Arial" w:cs="Arial" w:eastAsia="Arial" w:hAnsi="Arial"/>
          <w:sz w:val="16"/>
          <w:szCs w:val="16"/>
          <w:color w:val="auto"/>
        </w:rPr>
      </w:pPr>
    </w:p>
    <w:p>
      <w:pPr>
        <w:ind w:left="3960" w:hanging="895"/>
        <w:spacing w:after="0"/>
        <w:tabs>
          <w:tab w:leader="none" w:pos="3960" w:val="left"/>
        </w:tabs>
        <w:numPr>
          <w:ilvl w:val="2"/>
          <w:numId w:val="74"/>
        </w:numPr>
        <w:rPr>
          <w:rFonts w:ascii="Arial" w:cs="Arial" w:eastAsia="Arial" w:hAnsi="Arial"/>
          <w:sz w:val="16"/>
          <w:szCs w:val="16"/>
          <w:color w:val="auto"/>
        </w:rPr>
      </w:pPr>
      <w:r>
        <w:rPr>
          <w:rFonts w:ascii="Arial" w:cs="Arial" w:eastAsia="Arial" w:hAnsi="Arial"/>
          <w:sz w:val="16"/>
          <w:szCs w:val="16"/>
          <w:color w:val="auto"/>
        </w:rPr>
        <w:t>Any elections with respect to the deferral of such compensation or the time and form of distribution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such deferred compensation shall comply with the requirements of Section 409A(a)(4) of the Code; and</w:t>
      </w:r>
    </w:p>
    <w:p>
      <w:pPr>
        <w:spacing w:after="0" w:line="210" w:lineRule="exact"/>
        <w:rPr>
          <w:rFonts w:ascii="Arial" w:cs="Arial" w:eastAsia="Arial" w:hAnsi="Arial"/>
          <w:sz w:val="16"/>
          <w:szCs w:val="16"/>
          <w:color w:val="auto"/>
        </w:rPr>
      </w:pPr>
    </w:p>
    <w:p>
      <w:pPr>
        <w:jc w:val="both"/>
        <w:ind w:firstLine="3065"/>
        <w:spacing w:after="0" w:line="263" w:lineRule="auto"/>
        <w:tabs>
          <w:tab w:leader="none" w:pos="3955" w:val="left"/>
        </w:tabs>
        <w:numPr>
          <w:ilvl w:val="2"/>
          <w:numId w:val="74"/>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jc w:val="both"/>
        <w:ind w:right="40"/>
        <w:spacing w:after="0" w:line="263"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4" w:lineRule="exact"/>
        <w:rPr>
          <w:sz w:val="20"/>
          <w:szCs w:val="20"/>
          <w:color w:val="auto"/>
        </w:rPr>
      </w:pPr>
    </w:p>
    <w:p>
      <w:pPr>
        <w:ind w:right="60" w:firstLine="2302"/>
        <w:spacing w:after="0" w:line="255" w:lineRule="auto"/>
        <w:tabs>
          <w:tab w:leader="none" w:pos="3211"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192" w:lineRule="exact"/>
        <w:rPr>
          <w:rFonts w:ascii="Arial" w:cs="Arial" w:eastAsia="Arial" w:hAnsi="Arial"/>
          <w:sz w:val="18"/>
          <w:szCs w:val="18"/>
          <w:color w:val="auto"/>
        </w:rPr>
      </w:pPr>
    </w:p>
    <w:p>
      <w:pPr>
        <w:ind w:left="2360" w:hanging="823"/>
        <w:spacing w:after="0"/>
        <w:tabs>
          <w:tab w:leader="none" w:pos="236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Certain 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2302"/>
        <w:spacing w:after="0" w:line="269" w:lineRule="auto"/>
        <w:tabs>
          <w:tab w:leader="none" w:pos="3156"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85" w:lineRule="exact"/>
        <w:rPr>
          <w:sz w:val="20"/>
          <w:szCs w:val="20"/>
          <w:color w:val="auto"/>
        </w:rPr>
      </w:pPr>
    </w:p>
    <w:p>
      <w:pPr>
        <w:ind w:firstLine="2302"/>
        <w:spacing w:after="0" w:line="290" w:lineRule="auto"/>
        <w:tabs>
          <w:tab w:leader="none" w:pos="3161" w:val="left"/>
        </w:tabs>
        <w:numPr>
          <w:ilvl w:val="3"/>
          <w:numId w:val="77"/>
        </w:numPr>
        <w:rPr>
          <w:rFonts w:ascii="Arial" w:cs="Arial" w:eastAsia="Arial" w:hAnsi="Arial"/>
          <w:sz w:val="16"/>
          <w:szCs w:val="16"/>
          <w:color w:val="auto"/>
        </w:rPr>
      </w:pPr>
      <w:r>
        <w:rPr>
          <w:rFonts w:ascii="Arial" w:cs="Arial" w:eastAsia="Arial" w:hAnsi="Arial"/>
          <w:sz w:val="16"/>
          <w:szCs w:val="16"/>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65" w:lineRule="exact"/>
        <w:rPr>
          <w:rFonts w:ascii="Arial" w:cs="Arial" w:eastAsia="Arial" w:hAnsi="Arial"/>
          <w:sz w:val="16"/>
          <w:szCs w:val="16"/>
          <w:color w:val="auto"/>
        </w:rPr>
      </w:pPr>
    </w:p>
    <w:p>
      <w:pPr>
        <w:ind w:left="1560" w:hanging="787"/>
        <w:spacing w:after="0"/>
        <w:tabs>
          <w:tab w:leader="none" w:pos="1560"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37"/>
        <w:spacing w:after="0" w:line="263" w:lineRule="auto"/>
        <w:tabs>
          <w:tab w:leader="none" w:pos="2376" w:val="left"/>
        </w:tabs>
        <w:numPr>
          <w:ilvl w:val="2"/>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who is, or is likely to be, as of the end of the tax year in which the Company would claim a tax deduction in connection with such Award, a Covered Employee, that the provisions of this Section 9 shall be applicable to such Award.</w:t>
      </w:r>
    </w:p>
    <w:p>
      <w:pPr>
        <w:spacing w:after="0" w:line="183" w:lineRule="exact"/>
        <w:rPr>
          <w:rFonts w:ascii="Arial" w:cs="Arial" w:eastAsia="Arial" w:hAnsi="Arial"/>
          <w:sz w:val="18"/>
          <w:szCs w:val="18"/>
          <w:color w:val="auto"/>
        </w:rPr>
      </w:pPr>
    </w:p>
    <w:p>
      <w:pPr>
        <w:ind w:right="120" w:firstLine="1537"/>
        <w:spacing w:after="0" w:line="283" w:lineRule="auto"/>
        <w:tabs>
          <w:tab w:leader="none" w:pos="2386" w:val="left"/>
        </w:tabs>
        <w:numPr>
          <w:ilvl w:val="2"/>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9, then the payment or distribution thereof or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w:t>
      </w:r>
    </w:p>
    <w:p>
      <w:pPr>
        <w:spacing w:after="0" w:line="3" w:lineRule="exact"/>
        <w:rPr>
          <w:rFonts w:ascii="Arial" w:cs="Arial" w:eastAsia="Arial" w:hAnsi="Arial"/>
          <w:sz w:val="16"/>
          <w:szCs w:val="16"/>
          <w:color w:val="auto"/>
        </w:rPr>
      </w:pPr>
    </w:p>
    <w:p>
      <w:pPr>
        <w:ind w:right="60" w:firstLine="8"/>
        <w:spacing w:after="0" w:line="273"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ind w:right="180"/>
        <w:spacing w:after="0" w:line="257" w:lineRule="auto"/>
        <w:rPr>
          <w:sz w:val="20"/>
          <w:szCs w:val="20"/>
          <w:color w:val="auto"/>
        </w:rPr>
      </w:pPr>
      <w:r>
        <w:rPr>
          <w:rFonts w:ascii="Arial" w:cs="Arial" w:eastAsia="Arial" w:hAnsi="Arial"/>
          <w:sz w:val="18"/>
          <w:szCs w:val="18"/>
          <w:color w:val="auto"/>
        </w:rPr>
        <w:t>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88" w:lineRule="exact"/>
        <w:rPr>
          <w:sz w:val="20"/>
          <w:szCs w:val="20"/>
          <w:color w:val="auto"/>
        </w:rPr>
      </w:pPr>
    </w:p>
    <w:p>
      <w:pPr>
        <w:ind w:right="100" w:firstLine="1537"/>
        <w:spacing w:after="0" w:line="257" w:lineRule="auto"/>
        <w:tabs>
          <w:tab w:leader="none" w:pos="2376"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Period; Timing For Establishing Performance Goals</w:t>
      </w:r>
      <w:r>
        <w:rPr>
          <w:rFonts w:ascii="Arial" w:cs="Arial" w:eastAsia="Arial" w:hAnsi="Arial"/>
          <w:sz w:val="18"/>
          <w:szCs w:val="18"/>
          <w:color w:val="auto"/>
        </w:rPr>
        <w:t>. Achievement of performance goals in respect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Performance Awards subject to this Section 9 shall be measured over a Performance Period no shorter than 12 months 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187" w:lineRule="exact"/>
        <w:rPr>
          <w:rFonts w:ascii="Arial" w:cs="Arial" w:eastAsia="Arial" w:hAnsi="Arial"/>
          <w:sz w:val="18"/>
          <w:szCs w:val="18"/>
          <w:color w:val="auto"/>
        </w:rPr>
      </w:pPr>
    </w:p>
    <w:p>
      <w:pPr>
        <w:ind w:firstLine="1537"/>
        <w:spacing w:after="0" w:line="279" w:lineRule="auto"/>
        <w:tabs>
          <w:tab w:leader="none" w:pos="2386" w:val="left"/>
        </w:tabs>
        <w:numPr>
          <w:ilvl w:val="1"/>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71" w:lineRule="exact"/>
        <w:rPr>
          <w:rFonts w:ascii="Arial" w:cs="Arial" w:eastAsia="Arial" w:hAnsi="Arial"/>
          <w:sz w:val="17"/>
          <w:szCs w:val="17"/>
          <w:color w:val="auto"/>
        </w:rPr>
      </w:pPr>
    </w:p>
    <w:p>
      <w:pPr>
        <w:ind w:right="160" w:firstLine="1537"/>
        <w:spacing w:after="0" w:line="259" w:lineRule="auto"/>
        <w:tabs>
          <w:tab w:leader="none" w:pos="2376"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9 unless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1640" w:hanging="867"/>
        <w:spacing w:after="0"/>
        <w:tabs>
          <w:tab w:leader="none" w:pos="164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537"/>
        <w:spacing w:after="0" w:line="282" w:lineRule="auto"/>
        <w:tabs>
          <w:tab w:leader="none" w:pos="2376" w:val="left"/>
        </w:tabs>
        <w:numPr>
          <w:ilvl w:val="1"/>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color w:val="auto"/>
        </w:rPr>
        <w:t>. Unless otherwise provided in any employment or other agreement between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w:t>
      </w:r>
    </w:p>
    <w:p>
      <w:pPr>
        <w:spacing w:after="0" w:line="10"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1" w:name="page82"/>
    <w:bookmarkEnd w:id="81"/>
    <w:p>
      <w:pPr>
        <w:ind w:left="-20" w:right="340" w:firstLine="1537"/>
        <w:spacing w:after="0" w:line="263" w:lineRule="auto"/>
        <w:tabs>
          <w:tab w:leader="none" w:pos="2366" w:val="left"/>
        </w:tabs>
        <w:numPr>
          <w:ilvl w:val="1"/>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any employment or other agreement for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Participant and the Company or any Subsidiary, or in an Award Agreement, a “Change in Control” shall mean the occurrence of any of the following:</w:t>
      </w:r>
    </w:p>
    <w:p>
      <w:pPr>
        <w:spacing w:after="0" w:line="183" w:lineRule="exact"/>
        <w:rPr>
          <w:rFonts w:ascii="Arial" w:cs="Arial" w:eastAsia="Arial" w:hAnsi="Arial"/>
          <w:sz w:val="18"/>
          <w:szCs w:val="18"/>
          <w:color w:val="auto"/>
        </w:rPr>
      </w:pPr>
    </w:p>
    <w:p>
      <w:pPr>
        <w:ind w:left="-20" w:right="180" w:firstLine="2302"/>
        <w:spacing w:after="0" w:line="253" w:lineRule="auto"/>
        <w:tabs>
          <w:tab w:leader="none" w:pos="3091" w:val="left"/>
        </w:tabs>
        <w:numPr>
          <w:ilvl w:val="2"/>
          <w:numId w:val="82"/>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96" w:lineRule="exact"/>
        <w:rPr>
          <w:rFonts w:ascii="Arial" w:cs="Arial" w:eastAsia="Arial" w:hAnsi="Arial"/>
          <w:sz w:val="18"/>
          <w:szCs w:val="18"/>
          <w:color w:val="auto"/>
        </w:rPr>
      </w:pPr>
    </w:p>
    <w:p>
      <w:pPr>
        <w:ind w:left="-20" w:firstLine="2302"/>
        <w:spacing w:after="0" w:line="254" w:lineRule="auto"/>
        <w:tabs>
          <w:tab w:leader="none" w:pos="3141" w:val="left"/>
        </w:tabs>
        <w:numPr>
          <w:ilvl w:val="2"/>
          <w:numId w:val="82"/>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4" w:lineRule="exact"/>
        <w:rPr>
          <w:rFonts w:ascii="Arial" w:cs="Arial" w:eastAsia="Arial" w:hAnsi="Arial"/>
          <w:sz w:val="18"/>
          <w:szCs w:val="18"/>
          <w:color w:val="auto"/>
        </w:rPr>
      </w:pPr>
    </w:p>
    <w:p>
      <w:pPr>
        <w:ind w:left="-20" w:right="20" w:firstLine="2302"/>
        <w:spacing w:after="0" w:line="267" w:lineRule="auto"/>
        <w:tabs>
          <w:tab w:leader="none" w:pos="3191" w:val="left"/>
        </w:tabs>
        <w:numPr>
          <w:ilvl w:val="2"/>
          <w:numId w:val="82"/>
        </w:numPr>
        <w:rPr>
          <w:rFonts w:ascii="Arial" w:cs="Arial" w:eastAsia="Arial" w:hAnsi="Arial"/>
          <w:sz w:val="17"/>
          <w:szCs w:val="17"/>
          <w:color w:val="auto"/>
        </w:rPr>
      </w:pPr>
      <w:r>
        <w:rPr>
          <w:rFonts w:ascii="Arial" w:cs="Arial" w:eastAsia="Arial" w:hAnsi="Arial"/>
          <w:sz w:val="17"/>
          <w:szCs w:val="17"/>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91" w:lineRule="exact"/>
        <w:rPr>
          <w:rFonts w:ascii="Arial" w:cs="Arial" w:eastAsia="Arial" w:hAnsi="Arial"/>
          <w:sz w:val="17"/>
          <w:szCs w:val="17"/>
          <w:color w:val="auto"/>
        </w:rPr>
      </w:pPr>
    </w:p>
    <w:p>
      <w:pPr>
        <w:ind w:left="3180" w:hanging="898"/>
        <w:spacing w:after="0"/>
        <w:tabs>
          <w:tab w:leader="none" w:pos="3180" w:val="left"/>
        </w:tabs>
        <w:numPr>
          <w:ilvl w:val="2"/>
          <w:numId w:val="82"/>
        </w:numPr>
        <w:rPr>
          <w:rFonts w:ascii="Arial" w:cs="Arial" w:eastAsia="Arial" w:hAnsi="Arial"/>
          <w:sz w:val="17"/>
          <w:szCs w:val="17"/>
          <w:color w:val="auto"/>
        </w:rPr>
      </w:pPr>
      <w:r>
        <w:rPr>
          <w:rFonts w:ascii="Arial" w:cs="Arial" w:eastAsia="Arial" w:hAnsi="Arial"/>
          <w:sz w:val="17"/>
          <w:szCs w:val="17"/>
          <w:color w:val="auto"/>
        </w:rPr>
        <w:t>Approval by the shareholders of the Company of a complete liquidation or dissolution of the Company.</w:t>
      </w:r>
    </w:p>
    <w:p>
      <w:pPr>
        <w:spacing w:after="0" w:line="236" w:lineRule="exact"/>
        <w:rPr>
          <w:rFonts w:ascii="Arial" w:cs="Arial" w:eastAsia="Arial" w:hAnsi="Arial"/>
          <w:sz w:val="17"/>
          <w:szCs w:val="17"/>
          <w:color w:val="auto"/>
        </w:rPr>
      </w:pPr>
    </w:p>
    <w:p>
      <w:pPr>
        <w:ind w:left="1620" w:hanging="867"/>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60" w:firstLine="1537"/>
        <w:spacing w:after="0" w:line="254" w:lineRule="auto"/>
        <w:tabs>
          <w:tab w:leader="none" w:pos="2356" w:val="left"/>
        </w:tabs>
        <w:numPr>
          <w:ilvl w:val="1"/>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Legal and Other Requirements</w:t>
      </w:r>
      <w:r>
        <w:rPr>
          <w:rFonts w:ascii="Arial" w:cs="Arial" w:eastAsia="Arial" w:hAnsi="Arial"/>
          <w:sz w:val="18"/>
          <w:szCs w:val="18"/>
          <w:color w:val="auto"/>
        </w:rPr>
        <w:t>. The Company may, to the extent deemed necessary or advisable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82" w:name="page83"/>
    <w:bookmarkEnd w:id="82"/>
    <w:p>
      <w:pPr>
        <w:ind w:firstLine="1537"/>
        <w:spacing w:after="0" w:line="285" w:lineRule="auto"/>
        <w:tabs>
          <w:tab w:leader="none" w:pos="2386"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76" w:lineRule="exact"/>
        <w:rPr>
          <w:rFonts w:ascii="Arial" w:cs="Arial" w:eastAsia="Arial" w:hAnsi="Arial"/>
          <w:sz w:val="16"/>
          <w:szCs w:val="16"/>
          <w:color w:val="auto"/>
        </w:rPr>
      </w:pPr>
    </w:p>
    <w:p>
      <w:pPr>
        <w:ind w:left="2380" w:hanging="843"/>
        <w:spacing w:after="0"/>
        <w:tabs>
          <w:tab w:leader="none" w:pos="238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2302"/>
        <w:spacing w:after="0" w:line="268" w:lineRule="auto"/>
        <w:tabs>
          <w:tab w:leader="none" w:pos="3111" w:val="left"/>
        </w:tabs>
        <w:numPr>
          <w:ilvl w:val="1"/>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spacing w:after="0" w:line="179" w:lineRule="exact"/>
        <w:rPr>
          <w:rFonts w:ascii="Arial" w:cs="Arial" w:eastAsia="Arial" w:hAnsi="Arial"/>
          <w:sz w:val="17"/>
          <w:szCs w:val="17"/>
          <w:color w:val="auto"/>
        </w:rPr>
      </w:pPr>
    </w:p>
    <w:p>
      <w:pPr>
        <w:ind w:left="3160" w:hanging="858"/>
        <w:spacing w:after="0"/>
        <w:tabs>
          <w:tab w:leader="none" w:pos="3160" w:val="left"/>
        </w:tabs>
        <w:numPr>
          <w:ilvl w:val="1"/>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60" w:hanging="895"/>
        <w:spacing w:after="0"/>
        <w:tabs>
          <w:tab w:leader="none" w:pos="3960" w:val="left"/>
        </w:tabs>
        <w:numPr>
          <w:ilvl w:val="2"/>
          <w:numId w:val="84"/>
        </w:numPr>
        <w:rPr>
          <w:rFonts w:ascii="Arial" w:cs="Arial" w:eastAsia="Arial" w:hAnsi="Arial"/>
          <w:sz w:val="17"/>
          <w:szCs w:val="17"/>
          <w:color w:val="auto"/>
        </w:rPr>
      </w:pPr>
      <w:r>
        <w:rPr>
          <w:rFonts w:ascii="Arial" w:cs="Arial" w:eastAsia="Arial" w:hAnsi="Arial"/>
          <w:sz w:val="17"/>
          <w:szCs w:val="17"/>
          <w:color w:val="auto"/>
        </w:rPr>
        <w:t>In the event of any merger, consolidation or other reorganization in which the Company does not</w:t>
      </w:r>
    </w:p>
    <w:p>
      <w:pPr>
        <w:spacing w:after="0" w:line="34" w:lineRule="exact"/>
        <w:rPr>
          <w:rFonts w:ascii="Arial" w:cs="Arial" w:eastAsia="Arial" w:hAnsi="Arial"/>
          <w:sz w:val="17"/>
          <w:szCs w:val="17"/>
          <w:color w:val="auto"/>
        </w:rPr>
      </w:pPr>
    </w:p>
    <w:p>
      <w:pPr>
        <w:spacing w:after="0" w:line="267" w:lineRule="auto"/>
        <w:rPr>
          <w:rFonts w:ascii="Arial" w:cs="Arial" w:eastAsia="Arial" w:hAnsi="Arial"/>
          <w:sz w:val="17"/>
          <w:szCs w:val="17"/>
          <w:color w:val="auto"/>
        </w:rPr>
      </w:pPr>
      <w:r>
        <w:rPr>
          <w:rFonts w:ascii="Arial" w:cs="Arial" w:eastAsia="Arial" w:hAnsi="Arial"/>
          <w:sz w:val="17"/>
          <w:szCs w:val="17"/>
          <w:color w:val="auto"/>
        </w:rPr>
        <w:t>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left="-40" w:right="20" w:firstLine="3065"/>
        <w:spacing w:after="0" w:line="286" w:lineRule="auto"/>
        <w:tabs>
          <w:tab w:leader="none" w:pos="3905" w:val="left"/>
        </w:tabs>
        <w:numPr>
          <w:ilvl w:val="2"/>
          <w:numId w:val="85"/>
        </w:numPr>
        <w:rPr>
          <w:rFonts w:ascii="Arial" w:cs="Arial" w:eastAsia="Arial" w:hAnsi="Arial"/>
          <w:sz w:val="16"/>
          <w:szCs w:val="16"/>
          <w:color w:val="auto"/>
        </w:rPr>
      </w:pPr>
      <w:r>
        <w:rPr>
          <w:rFonts w:ascii="Arial" w:cs="Arial" w:eastAsia="Arial" w:hAnsi="Arial"/>
          <w:sz w:val="16"/>
          <w:szCs w:val="16"/>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73" w:lineRule="exact"/>
        <w:rPr>
          <w:rFonts w:ascii="Arial" w:cs="Arial" w:eastAsia="Arial" w:hAnsi="Arial"/>
          <w:sz w:val="16"/>
          <w:szCs w:val="16"/>
          <w:color w:val="auto"/>
        </w:rPr>
      </w:pPr>
    </w:p>
    <w:p>
      <w:pPr>
        <w:ind w:left="-40" w:firstLine="2302"/>
        <w:spacing w:after="0" w:line="287" w:lineRule="auto"/>
        <w:tabs>
          <w:tab w:leader="none" w:pos="3171" w:val="left"/>
        </w:tabs>
        <w:numPr>
          <w:ilvl w:val="1"/>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71" w:lineRule="exact"/>
        <w:rPr>
          <w:rFonts w:ascii="Arial" w:cs="Arial" w:eastAsia="Arial" w:hAnsi="Arial"/>
          <w:sz w:val="16"/>
          <w:szCs w:val="16"/>
          <w:color w:val="auto"/>
        </w:rPr>
      </w:pPr>
    </w:p>
    <w:p>
      <w:pPr>
        <w:ind w:left="-40" w:right="140" w:firstLine="1537"/>
        <w:spacing w:after="0" w:line="272" w:lineRule="auto"/>
        <w:tabs>
          <w:tab w:leader="none" w:pos="2346"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Award Agreements</w:t>
      </w:r>
      <w:r>
        <w:rPr>
          <w:rFonts w:ascii="Arial" w:cs="Arial" w:eastAsia="Arial" w:hAnsi="Arial"/>
          <w:sz w:val="17"/>
          <w:szCs w:val="17"/>
          <w:color w:val="auto"/>
        </w:rPr>
        <w:t>. Each Award Agreement shall either be (i) in writing in a form approved by the Committee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77" w:lineRule="exact"/>
        <w:rPr>
          <w:rFonts w:ascii="Arial" w:cs="Arial" w:eastAsia="Arial" w:hAnsi="Arial"/>
          <w:sz w:val="17"/>
          <w:szCs w:val="17"/>
          <w:color w:val="auto"/>
        </w:rPr>
      </w:pPr>
    </w:p>
    <w:p>
      <w:pPr>
        <w:ind w:left="-40" w:right="40" w:firstLine="1537"/>
        <w:spacing w:after="0" w:line="290" w:lineRule="auto"/>
        <w:tabs>
          <w:tab w:leader="none" w:pos="2336"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220345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60" w:top="557" w:right="359" w:bottom="1440" w:gutter="0" w:footer="0" w:header="0"/>
        </w:sectPr>
      </w:pPr>
    </w:p>
    <w:bookmarkStart w:id="84" w:name="page85"/>
    <w:bookmarkEnd w:id="84"/>
    <w:p>
      <w:pPr>
        <w:ind w:left="-20" w:right="60" w:firstLine="1537"/>
        <w:spacing w:after="0" w:line="289" w:lineRule="auto"/>
        <w:tabs>
          <w:tab w:leader="none" w:pos="2336"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66" w:lineRule="exact"/>
        <w:rPr>
          <w:rFonts w:ascii="Arial" w:cs="Arial" w:eastAsia="Arial" w:hAnsi="Arial"/>
          <w:sz w:val="16"/>
          <w:szCs w:val="16"/>
          <w:color w:val="auto"/>
        </w:rPr>
      </w:pPr>
    </w:p>
    <w:p>
      <w:pPr>
        <w:ind w:left="-20" w:right="20" w:firstLine="1537"/>
        <w:spacing w:after="0" w:line="268" w:lineRule="auto"/>
        <w:tabs>
          <w:tab w:leader="none" w:pos="2366"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on Rights Conferred Under Plan</w:t>
      </w:r>
      <w:r>
        <w:rPr>
          <w:rFonts w:ascii="Arial" w:cs="Arial" w:eastAsia="Arial" w:hAnsi="Arial"/>
          <w:sz w:val="17"/>
          <w:szCs w:val="17"/>
          <w:color w:val="auto"/>
        </w:rPr>
        <w:t>. Neither the Plan nor any action taken hereunder or under any Award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186" w:lineRule="exact"/>
        <w:rPr>
          <w:rFonts w:ascii="Arial" w:cs="Arial" w:eastAsia="Arial" w:hAnsi="Arial"/>
          <w:sz w:val="17"/>
          <w:szCs w:val="17"/>
          <w:color w:val="auto"/>
        </w:rPr>
      </w:pPr>
    </w:p>
    <w:p>
      <w:pPr>
        <w:ind w:left="-20" w:right="20" w:firstLine="1537"/>
        <w:spacing w:after="0" w:line="291" w:lineRule="auto"/>
        <w:tabs>
          <w:tab w:leader="none" w:pos="2366"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6" w:lineRule="exact"/>
        <w:rPr>
          <w:rFonts w:ascii="Arial" w:cs="Arial" w:eastAsia="Arial" w:hAnsi="Arial"/>
          <w:sz w:val="16"/>
          <w:szCs w:val="16"/>
          <w:color w:val="auto"/>
        </w:rPr>
      </w:pPr>
    </w:p>
    <w:p>
      <w:pPr>
        <w:ind w:left="-20" w:right="300" w:firstLine="1537"/>
        <w:spacing w:after="0" w:line="311" w:lineRule="auto"/>
        <w:tabs>
          <w:tab w:leader="none" w:pos="2326" w:val="left"/>
        </w:tabs>
        <w:numPr>
          <w:ilvl w:val="0"/>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48" w:lineRule="exact"/>
        <w:rPr>
          <w:rFonts w:ascii="Arial" w:cs="Arial" w:eastAsia="Arial" w:hAnsi="Arial"/>
          <w:sz w:val="16"/>
          <w:szCs w:val="16"/>
          <w:color w:val="auto"/>
        </w:rPr>
      </w:pPr>
    </w:p>
    <w:p>
      <w:pPr>
        <w:ind w:left="-20" w:firstLine="1537"/>
        <w:spacing w:after="0" w:line="257" w:lineRule="auto"/>
        <w:tabs>
          <w:tab w:leader="none" w:pos="2326"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7" w:lineRule="exact"/>
        <w:rPr>
          <w:rFonts w:ascii="Arial" w:cs="Arial" w:eastAsia="Arial" w:hAnsi="Arial"/>
          <w:sz w:val="18"/>
          <w:szCs w:val="18"/>
          <w:color w:val="auto"/>
        </w:rPr>
      </w:pPr>
    </w:p>
    <w:p>
      <w:pPr>
        <w:ind w:left="-20" w:right="80" w:firstLine="1537"/>
        <w:spacing w:after="0" w:line="263" w:lineRule="auto"/>
        <w:tabs>
          <w:tab w:leader="none" w:pos="2366"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rules and regulations under the Plan, and any Award Agreement shall be determined in accordance with the laws of the State of Delaware without giving effect to principles of conflict of laws, and applicable federal law.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557" w:right="339" w:bottom="1440" w:gutter="0" w:footer="0" w:header="0"/>
        </w:sectPr>
      </w:pPr>
    </w:p>
    <w:bookmarkStart w:id="85" w:name="page86"/>
    <w:bookmarkEnd w:id="85"/>
    <w:p>
      <w:pPr>
        <w:ind w:right="60" w:firstLine="1537"/>
        <w:spacing w:after="0" w:line="286" w:lineRule="auto"/>
        <w:tabs>
          <w:tab w:leader="none" w:pos="2346"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ind w:right="60" w:firstLine="1537"/>
        <w:spacing w:after="0" w:line="271" w:lineRule="auto"/>
        <w:tabs>
          <w:tab w:leader="none" w:pos="2436"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78" w:lineRule="exact"/>
        <w:rPr>
          <w:rFonts w:ascii="Arial" w:cs="Arial" w:eastAsia="Arial" w:hAnsi="Arial"/>
          <w:sz w:val="17"/>
          <w:szCs w:val="17"/>
          <w:color w:val="auto"/>
        </w:rPr>
      </w:pPr>
    </w:p>
    <w:p>
      <w:pPr>
        <w:jc w:val="both"/>
        <w:ind w:firstLine="1537"/>
        <w:spacing w:after="0" w:line="263" w:lineRule="auto"/>
        <w:tabs>
          <w:tab w:leader="none" w:pos="2386"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 the masculine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 shall include the feminine gender. Headings of Articles and Sections hereof are inserted for convenience and reference and constitute no part of the Plan.</w:t>
      </w:r>
    </w:p>
    <w:p>
      <w:pPr>
        <w:spacing w:after="0" w:line="183" w:lineRule="exact"/>
        <w:rPr>
          <w:rFonts w:ascii="Arial" w:cs="Arial" w:eastAsia="Arial" w:hAnsi="Arial"/>
          <w:sz w:val="18"/>
          <w:szCs w:val="18"/>
          <w:color w:val="auto"/>
        </w:rPr>
      </w:pPr>
    </w:p>
    <w:p>
      <w:pPr>
        <w:jc w:val="both"/>
        <w:ind w:right="160" w:firstLine="1537"/>
        <w:spacing w:after="0" w:line="263" w:lineRule="auto"/>
        <w:tabs>
          <w:tab w:leader="none" w:pos="2386"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 unenforceable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court of law in any jurisdiction, the remaining provisions hereof and thereof shall be severable and enforceable in accordance with their terms, and all provisions shall remain enforceable in any other jurisdiction.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Appendix 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Measure</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is a non-GAAP measure. This non-GAAP measure is not presented in accordance with GAAP and should not be considered superior to or as a substitute for net loss or any other measure of performance derived in accordance with GAAP. In addition, all companies do not calculate non-GAAP financial measures in the same manner and, accordingly, this non-GAAP measure may not be comparable to similar measures used by other companies.</w:t>
      </w:r>
    </w:p>
    <w:p>
      <w:pPr>
        <w:spacing w:after="0" w:line="18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Adjusted EBITDA is calculated as earnings before interest, taxes, depreciation and amortization and is before exit costs associated with London operations, CEO transition costs, corporate restructuring charges and any impairment of assets. We believe that adjusted EBITDA is useful to investors in evaluating our performance. With the significant capital investment we have made over the past several years in connection with DXL store openings, we have had increased levels of depreciation and interest, and therefore, management uses adjusted EBITDA as a key metric to measure profitability and economic productivity. The following table is a reconciliation of net loss to adjusted EBITDA: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w w:val="96"/>
              </w:rPr>
              <w:t>(in millions)</w:t>
            </w:r>
          </w:p>
        </w:tc>
        <w:tc>
          <w:tcPr>
            <w:tcW w:w="47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color w:val="auto"/>
              </w:rPr>
              <w:t>Fiscal 2019</w:t>
            </w:r>
          </w:p>
        </w:tc>
        <w:tc>
          <w:tcPr>
            <w:tcW w:w="280" w:type="dxa"/>
            <w:vAlign w:val="bottom"/>
          </w:tcPr>
          <w:p>
            <w:pPr>
              <w:spacing w:after="0"/>
              <w:rPr>
                <w:sz w:val="17"/>
                <w:szCs w:val="17"/>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4"/>
                <w:szCs w:val="14"/>
                <w:color w:val="auto"/>
              </w:rPr>
              <w:t>Fiscal 2018</w:t>
            </w:r>
          </w:p>
        </w:tc>
      </w:tr>
      <w:tr>
        <w:trPr>
          <w:trHeight w:val="20"/>
        </w:trPr>
        <w:tc>
          <w:tcPr>
            <w:tcW w:w="800" w:type="dxa"/>
            <w:vAlign w:val="bottom"/>
            <w:tcBorders>
              <w:bottom w:val="single" w:sz="8" w:color="CFF0FC"/>
            </w:tcBorders>
          </w:tcPr>
          <w:p>
            <w:pPr>
              <w:spacing w:after="0" w:line="20" w:lineRule="exact"/>
              <w:rPr>
                <w:sz w:val="1"/>
                <w:szCs w:val="1"/>
                <w:color w:val="auto"/>
              </w:rPr>
            </w:pPr>
          </w:p>
        </w:tc>
        <w:tc>
          <w:tcPr>
            <w:tcW w:w="4700" w:type="dxa"/>
            <w:vAlign w:val="bottom"/>
            <w:tcBorders>
              <w:bottom w:val="single" w:sz="8" w:color="CFF0FC"/>
            </w:tcBorders>
          </w:tcPr>
          <w:p>
            <w:pPr>
              <w:spacing w:after="0" w:line="20" w:lineRule="exact"/>
              <w:rPr>
                <w:sz w:val="1"/>
                <w:szCs w:val="1"/>
                <w:color w:val="auto"/>
              </w:rPr>
            </w:pPr>
          </w:p>
        </w:tc>
        <w:tc>
          <w:tcPr>
            <w:tcW w:w="21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23"/>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on a GAAP basis</w:t>
            </w:r>
          </w:p>
        </w:tc>
        <w:tc>
          <w:tcPr>
            <w:tcW w:w="21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w:t>
            </w:r>
          </w:p>
        </w:tc>
      </w:tr>
      <w:tr>
        <w:trPr>
          <w:trHeight w:val="229"/>
        </w:trPr>
        <w:tc>
          <w:tcPr>
            <w:tcW w:w="5500" w:type="dxa"/>
            <w:vAlign w:val="bottom"/>
            <w:gridSpan w:val="2"/>
          </w:tcPr>
          <w:p>
            <w:pPr>
              <w:spacing w:after="0"/>
              <w:rPr>
                <w:sz w:val="20"/>
                <w:szCs w:val="20"/>
                <w:color w:val="auto"/>
              </w:rPr>
            </w:pPr>
            <w:r>
              <w:rPr>
                <w:rFonts w:ascii="Arial" w:cs="Arial" w:eastAsia="Arial" w:hAnsi="Arial"/>
                <w:sz w:val="18"/>
                <w:szCs w:val="18"/>
                <w:color w:val="auto"/>
              </w:rPr>
              <w:t>Add back:</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(benefit) for income taxes</w:t>
            </w:r>
          </w:p>
        </w:tc>
        <w:tc>
          <w:tcPr>
            <w:tcW w:w="2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r>
      <w:tr>
        <w:trPr>
          <w:trHeight w:val="229"/>
        </w:trPr>
        <w:tc>
          <w:tcPr>
            <w:tcW w:w="55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29"/>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2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r>
      <w:tr>
        <w:trPr>
          <w:trHeight w:val="229"/>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 back:</w:t>
            </w:r>
          </w:p>
        </w:tc>
        <w:tc>
          <w:tcPr>
            <w:tcW w:w="2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Exit costs associated with London operations</w:t>
            </w:r>
          </w:p>
        </w:tc>
        <w:tc>
          <w:tcPr>
            <w:tcW w:w="2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CEO transition costs</w:t>
            </w:r>
          </w:p>
        </w:tc>
        <w:tc>
          <w:tcPr>
            <w:tcW w:w="2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r>
      <w:tr>
        <w:trPr>
          <w:trHeight w:val="229"/>
        </w:trPr>
        <w:tc>
          <w:tcPr>
            <w:tcW w:w="5500" w:type="dxa"/>
            <w:vAlign w:val="bottom"/>
            <w:gridSpan w:val="2"/>
          </w:tcPr>
          <w:p>
            <w:pPr>
              <w:ind w:left="140"/>
              <w:spacing w:after="0"/>
              <w:rPr>
                <w:sz w:val="20"/>
                <w:szCs w:val="20"/>
                <w:color w:val="auto"/>
              </w:rPr>
            </w:pPr>
            <w:r>
              <w:rPr>
                <w:rFonts w:ascii="Arial" w:cs="Arial" w:eastAsia="Arial" w:hAnsi="Arial"/>
                <w:sz w:val="18"/>
                <w:szCs w:val="18"/>
                <w:color w:val="auto"/>
              </w:rPr>
              <w:t>Corporate restructuring charge</w:t>
            </w:r>
          </w:p>
        </w:tc>
        <w:tc>
          <w:tcPr>
            <w:tcW w:w="2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Impairment of assets</w:t>
            </w:r>
          </w:p>
        </w:tc>
        <w:tc>
          <w:tcPr>
            <w:tcW w:w="2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7"/>
          <w:szCs w:val="17"/>
          <w:b w:val="1"/>
          <w:bCs w:val="1"/>
          <w:color w:val="auto"/>
        </w:rPr>
        <w:t>Notice of 2020 Annual Meeting of</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Stockholders and Proxy Statement</w:t>
      </w:r>
    </w:p>
    <w:p>
      <w:pPr>
        <w:spacing w:after="0" w:line="3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Wednesday, August 12, 2020</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11:30 A.M. EDT</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Canton, Massachusetts 02021</w:t>
      </w:r>
    </w:p>
    <w:p>
      <w:pPr>
        <w:spacing w:after="0" w:line="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Please sign your proxy and</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485775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8" w:name="page89"/>
    <w:bookmarkEnd w:id="88"/>
    <w:p>
      <w:pPr>
        <w:jc w:val="center"/>
        <w:ind w:right="-959"/>
        <w:spacing w:after="0"/>
        <w:rPr>
          <w:sz w:val="20"/>
          <w:szCs w:val="20"/>
          <w:color w:val="auto"/>
        </w:rPr>
      </w:pPr>
      <w:r>
        <w:rPr>
          <w:rFonts w:ascii="Arial" w:cs="Arial" w:eastAsia="Arial" w:hAnsi="Arial"/>
          <w:sz w:val="18"/>
          <w:szCs w:val="18"/>
          <w:b w:val="1"/>
          <w:bCs w:val="1"/>
          <w:color w:val="auto"/>
        </w:rPr>
        <w:t>ANNUAL MEETING OF STOCKHOLDERS OF</w:t>
      </w:r>
    </w:p>
    <w:p>
      <w:pPr>
        <w:spacing w:after="0" w:line="19" w:lineRule="exact"/>
        <w:rPr>
          <w:sz w:val="20"/>
          <w:szCs w:val="20"/>
          <w:color w:val="auto"/>
        </w:rPr>
      </w:pPr>
    </w:p>
    <w:p>
      <w:pPr>
        <w:jc w:val="center"/>
        <w:ind w:right="-959"/>
        <w:spacing w:after="0"/>
        <w:rPr>
          <w:sz w:val="20"/>
          <w:szCs w:val="20"/>
          <w:color w:val="auto"/>
        </w:rPr>
      </w:pPr>
      <w:r>
        <w:rPr>
          <w:rFonts w:ascii="Arial" w:cs="Arial" w:eastAsia="Arial" w:hAnsi="Arial"/>
          <w:sz w:val="22"/>
          <w:szCs w:val="22"/>
          <w:color w:val="auto"/>
        </w:rPr>
        <w:t>DESTINATION XL GROUP, INC.</w:t>
      </w:r>
    </w:p>
    <w:p>
      <w:pPr>
        <w:jc w:val="center"/>
        <w:ind w:right="-959"/>
        <w:spacing w:after="0"/>
        <w:rPr>
          <w:sz w:val="20"/>
          <w:szCs w:val="20"/>
          <w:color w:val="auto"/>
        </w:rPr>
      </w:pPr>
      <w:r>
        <w:rPr>
          <w:rFonts w:ascii="Arial" w:cs="Arial" w:eastAsia="Arial" w:hAnsi="Arial"/>
          <w:sz w:val="18"/>
          <w:szCs w:val="18"/>
          <w:b w:val="1"/>
          <w:bCs w:val="1"/>
          <w:color w:val="auto"/>
        </w:rPr>
        <w:t>August 12, 2020</w:t>
      </w:r>
    </w:p>
    <w:p>
      <w:pPr>
        <w:spacing w:after="0" w:line="88" w:lineRule="exact"/>
        <w:rPr>
          <w:sz w:val="20"/>
          <w:szCs w:val="20"/>
          <w:color w:val="auto"/>
        </w:rPr>
      </w:pPr>
    </w:p>
    <w:p>
      <w:pPr>
        <w:jc w:val="center"/>
        <w:ind w:right="-959"/>
        <w:spacing w:after="0"/>
        <w:rPr>
          <w:sz w:val="20"/>
          <w:szCs w:val="20"/>
          <w:color w:val="auto"/>
        </w:rPr>
      </w:pPr>
      <w:r>
        <w:rPr>
          <w:rFonts w:ascii="Arial" w:cs="Arial" w:eastAsia="Arial" w:hAnsi="Arial"/>
          <w:sz w:val="11"/>
          <w:szCs w:val="11"/>
          <w:b w:val="1"/>
          <w:bCs w:val="1"/>
          <w:color w:val="auto"/>
        </w:rPr>
        <w:t>GO GREEN</w:t>
      </w:r>
    </w:p>
    <w:p>
      <w:pPr>
        <w:spacing w:after="0" w:line="2" w:lineRule="exact"/>
        <w:rPr>
          <w:sz w:val="20"/>
          <w:szCs w:val="20"/>
          <w:color w:val="auto"/>
        </w:rPr>
      </w:pPr>
    </w:p>
    <w:p>
      <w:pPr>
        <w:jc w:val="center"/>
        <w:ind w:right="-959"/>
        <w:spacing w:after="0"/>
        <w:rPr>
          <w:sz w:val="20"/>
          <w:szCs w:val="20"/>
          <w:color w:val="auto"/>
        </w:rPr>
      </w:pPr>
      <w:r>
        <w:rPr>
          <w:rFonts w:ascii="Arial" w:cs="Arial" w:eastAsia="Arial" w:hAnsi="Arial"/>
          <w:sz w:val="11"/>
          <w:szCs w:val="11"/>
          <w:color w:val="auto"/>
        </w:rPr>
        <w:t>e-consent makes it easy to go paperless. With e-consent, you can quickly access your proxy material, statements and other eligible documents online, while</w:t>
      </w:r>
    </w:p>
    <w:p>
      <w:pPr>
        <w:jc w:val="center"/>
        <w:ind w:right="-959"/>
        <w:spacing w:after="0"/>
        <w:rPr>
          <w:sz w:val="20"/>
          <w:szCs w:val="20"/>
          <w:color w:val="auto"/>
        </w:rPr>
      </w:pPr>
      <w:r>
        <w:rPr>
          <w:rFonts w:ascii="Arial" w:cs="Arial" w:eastAsia="Arial" w:hAnsi="Arial"/>
          <w:sz w:val="11"/>
          <w:szCs w:val="11"/>
          <w:color w:val="auto"/>
        </w:rPr>
        <w:t xml:space="preserve">reducing costs, clutter and paper waste. Enroll today via </w:t>
      </w:r>
      <w:r>
        <w:rPr>
          <w:rFonts w:ascii="Arial" w:cs="Arial" w:eastAsia="Arial" w:hAnsi="Arial"/>
          <w:sz w:val="11"/>
          <w:szCs w:val="11"/>
          <w:u w:val="single" w:color="auto"/>
          <w:color w:val="auto"/>
        </w:rPr>
        <w:t>www.astfinancial.com</w:t>
      </w:r>
      <w:r>
        <w:rPr>
          <w:rFonts w:ascii="Arial" w:cs="Arial" w:eastAsia="Arial" w:hAnsi="Arial"/>
          <w:sz w:val="11"/>
          <w:szCs w:val="11"/>
          <w:color w:val="auto"/>
        </w:rPr>
        <w:t xml:space="preserve"> to enjoy online access.</w:t>
      </w:r>
    </w:p>
    <w:p>
      <w:pPr>
        <w:spacing w:after="0" w:line="108" w:lineRule="exact"/>
        <w:rPr>
          <w:sz w:val="20"/>
          <w:szCs w:val="20"/>
          <w:color w:val="auto"/>
        </w:rPr>
      </w:pPr>
    </w:p>
    <w:p>
      <w:pPr>
        <w:ind w:left="1040"/>
        <w:spacing w:after="0"/>
        <w:rPr>
          <w:sz w:val="20"/>
          <w:szCs w:val="20"/>
          <w:color w:val="auto"/>
        </w:rPr>
      </w:pPr>
      <w:r>
        <w:rPr>
          <w:rFonts w:ascii="Arial" w:cs="Arial" w:eastAsia="Arial" w:hAnsi="Arial"/>
          <w:sz w:val="15"/>
          <w:szCs w:val="15"/>
          <w:u w:val="single" w:color="auto"/>
          <w:color w:val="auto"/>
        </w:rPr>
        <w:t>Important Notice Regarding Internet Availability of Proxy Materials for the Annual Meeting of Stockholders to be Held on August 12, 2020</w:t>
      </w:r>
      <w:r>
        <w:rPr>
          <w:rFonts w:ascii="Arial" w:cs="Arial" w:eastAsia="Arial" w:hAnsi="Arial"/>
          <w:sz w:val="15"/>
          <w:szCs w:val="15"/>
          <w:color w:val="auto"/>
        </w:rPr>
        <w:t>:</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 xml:space="preserve">The Proxy Statement and 2020 Annual Report to Stockholders are available at </w:t>
      </w:r>
      <w:r>
        <w:rPr>
          <w:rFonts w:ascii="Arial" w:cs="Arial" w:eastAsia="Arial" w:hAnsi="Arial"/>
          <w:sz w:val="14"/>
          <w:szCs w:val="14"/>
          <w:u w:val="single" w:color="auto"/>
          <w:color w:val="auto"/>
        </w:rPr>
        <w:t>https://investor.dxl.com/financial-information/annual-reports</w:t>
      </w:r>
    </w:p>
    <w:p>
      <w:pPr>
        <w:spacing w:after="0" w:line="177" w:lineRule="exact"/>
        <w:rPr>
          <w:sz w:val="20"/>
          <w:szCs w:val="20"/>
          <w:color w:val="auto"/>
        </w:rPr>
      </w:pPr>
    </w:p>
    <w:p>
      <w:pPr>
        <w:jc w:val="center"/>
        <w:ind w:right="-959"/>
        <w:spacing w:after="0"/>
        <w:rPr>
          <w:sz w:val="20"/>
          <w:szCs w:val="20"/>
          <w:color w:val="auto"/>
        </w:rPr>
      </w:pPr>
      <w:r>
        <w:rPr>
          <w:rFonts w:ascii="Arial" w:cs="Arial" w:eastAsia="Arial" w:hAnsi="Arial"/>
          <w:sz w:val="14"/>
          <w:szCs w:val="14"/>
          <w:color w:val="auto"/>
        </w:rPr>
        <w:t>PLEASE SIGN, DATE AND MAIL</w:t>
      </w:r>
    </w:p>
    <w:p>
      <w:pPr>
        <w:jc w:val="center"/>
        <w:ind w:right="-959"/>
        <w:spacing w:after="0" w:line="221" w:lineRule="auto"/>
        <w:rPr>
          <w:sz w:val="20"/>
          <w:szCs w:val="20"/>
          <w:color w:val="auto"/>
        </w:rPr>
      </w:pPr>
      <w:r>
        <w:rPr>
          <w:rFonts w:ascii="Arial" w:cs="Arial" w:eastAsia="Arial" w:hAnsi="Arial"/>
          <w:sz w:val="14"/>
          <w:szCs w:val="14"/>
          <w:color w:val="auto"/>
        </w:rPr>
        <w:t>YOUR PROXY CARD IN THE ENVELOPE</w:t>
      </w:r>
    </w:p>
    <w:p>
      <w:pPr>
        <w:jc w:val="center"/>
        <w:ind w:right="-959"/>
        <w:spacing w:after="0" w:line="229" w:lineRule="auto"/>
        <w:rPr>
          <w:sz w:val="20"/>
          <w:szCs w:val="20"/>
          <w:color w:val="auto"/>
        </w:rPr>
      </w:pPr>
      <w:r>
        <w:rPr>
          <w:rFonts w:ascii="Arial" w:cs="Arial" w:eastAsia="Arial" w:hAnsi="Arial"/>
          <w:sz w:val="14"/>
          <w:szCs w:val="14"/>
          <w:color w:val="auto"/>
        </w:rPr>
        <w:t>PROVIDED AS SOON AS POSSIBLE.</w:t>
      </w:r>
    </w:p>
    <w:p>
      <w:pPr>
        <w:ind w:left="4080"/>
        <w:spacing w:after="0"/>
        <w:rPr>
          <w:sz w:val="20"/>
          <w:szCs w:val="20"/>
          <w:color w:val="auto"/>
        </w:rPr>
      </w:pPr>
      <w:r>
        <w:rPr>
          <w:rFonts w:ascii="Arial" w:cs="Arial" w:eastAsia="Arial" w:hAnsi="Arial"/>
          <w:sz w:val="11"/>
          <w:szCs w:val="11"/>
          <w:color w:val="auto"/>
        </w:rPr>
        <w:t>Please detach along perforated line and mail in the envelope provided</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136130" cy="313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6130" cy="313055"/>
                    </a:xfrm>
                    <a:prstGeom prst="rect">
                      <a:avLst/>
                    </a:prstGeom>
                    <a:noFill/>
                  </pic:spPr>
                </pic:pic>
              </a:graphicData>
            </a:graphic>
          </wp:anchor>
        </w:drawing>
      </w:r>
    </w:p>
    <w:p>
      <w:pPr>
        <w:spacing w:after="0" w:line="228" w:lineRule="exact"/>
        <w:rPr>
          <w:sz w:val="20"/>
          <w:szCs w:val="20"/>
          <w:color w:val="auto"/>
        </w:rPr>
      </w:pPr>
    </w:p>
    <w:p>
      <w:pPr>
        <w:jc w:val="center"/>
        <w:ind w:right="-959"/>
        <w:spacing w:after="0"/>
        <w:rPr>
          <w:sz w:val="20"/>
          <w:szCs w:val="20"/>
          <w:color w:val="auto"/>
        </w:rPr>
      </w:pPr>
      <w:r>
        <w:rPr>
          <w:rFonts w:ascii="Arial" w:cs="Arial" w:eastAsia="Arial" w:hAnsi="Arial"/>
          <w:sz w:val="13"/>
          <w:szCs w:val="13"/>
          <w:b w:val="1"/>
          <w:bCs w:val="1"/>
          <w:color w:val="auto"/>
        </w:rPr>
        <w:t>THE BOARD OF DIRECTORS RECOMMENDS A VOTE “FOR” THE ELECTION OF DIRECTORS,</w:t>
      </w:r>
    </w:p>
    <w:p>
      <w:pPr>
        <w:jc w:val="center"/>
        <w:ind w:right="-959"/>
        <w:spacing w:after="0" w:line="230" w:lineRule="auto"/>
        <w:rPr>
          <w:sz w:val="20"/>
          <w:szCs w:val="20"/>
          <w:color w:val="auto"/>
        </w:rPr>
      </w:pPr>
      <w:r>
        <w:rPr>
          <w:rFonts w:ascii="Arial" w:cs="Arial" w:eastAsia="Arial" w:hAnsi="Arial"/>
          <w:sz w:val="13"/>
          <w:szCs w:val="13"/>
          <w:b w:val="1"/>
          <w:bCs w:val="1"/>
          <w:color w:val="auto"/>
        </w:rPr>
        <w:t>AND “FOR” PROPOSALS 2, 3, 4 and 5.</w:t>
      </w:r>
    </w:p>
    <w:p>
      <w:pPr>
        <w:spacing w:after="0" w:line="1" w:lineRule="exact"/>
        <w:rPr>
          <w:sz w:val="20"/>
          <w:szCs w:val="20"/>
          <w:color w:val="auto"/>
        </w:rPr>
      </w:pPr>
    </w:p>
    <w:p>
      <w:pPr>
        <w:ind w:left="96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32320" cy="51689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5168900"/>
                    </a:xfrm>
                    <a:prstGeom prst="rect">
                      <a:avLst/>
                    </a:prstGeom>
                    <a:noFill/>
                  </pic:spPr>
                </pic:pic>
              </a:graphicData>
            </a:graphic>
          </wp:anchor>
        </w:drawing>
      </w:r>
    </w:p>
    <w:p>
      <w:pPr>
        <w:spacing w:after="0" w:line="166" w:lineRule="exact"/>
        <w:rPr>
          <w:sz w:val="20"/>
          <w:szCs w:val="20"/>
          <w:color w:val="auto"/>
        </w:rPr>
      </w:pPr>
    </w:p>
    <w:p>
      <w:pPr>
        <w:ind w:left="1700" w:right="2620" w:hanging="1375"/>
        <w:spacing w:after="0" w:line="258" w:lineRule="auto"/>
        <w:tabs>
          <w:tab w:leader="none" w:pos="1700" w:val="left"/>
        </w:tabs>
        <w:numPr>
          <w:ilvl w:val="0"/>
          <w:numId w:val="90"/>
        </w:numPr>
        <w:rPr>
          <w:rFonts w:ascii="Arial" w:cs="Arial" w:eastAsia="Arial" w:hAnsi="Arial"/>
          <w:sz w:val="14"/>
          <w:szCs w:val="14"/>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EACH OF</w:t>
      </w:r>
      <w:r>
        <w:rPr>
          <w:rFonts w:ascii="Arial" w:cs="Arial" w:eastAsia="Arial" w:hAnsi="Arial"/>
          <w:sz w:val="14"/>
          <w:szCs w:val="14"/>
          <w:b w:val="1"/>
          <w:bCs w:val="1"/>
          <w:color w:val="auto"/>
        </w:rPr>
        <w:t xml:space="preserve"> </w:t>
      </w:r>
      <w:r>
        <w:rPr>
          <w:rFonts w:ascii="Arial" w:cs="Arial" w:eastAsia="Arial" w:hAnsi="Arial"/>
          <w:sz w:val="14"/>
          <w:szCs w:val="14"/>
          <w:color w:val="auto"/>
        </w:rPr>
        <w:t>THE NOMINEES NAMED BELOW.</w:t>
      </w:r>
    </w:p>
    <w:p>
      <w:pPr>
        <w:spacing w:after="0" w:line="72"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327"/>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Harvey S. Kanter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Jack Boyle</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Lionel F. Conacher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Willem Mesdag</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Mitchell S. Presser</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Ivy Ross</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3"/>
        </w:trPr>
        <w:tc>
          <w:tcPr>
            <w:tcW w:w="74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62"/>
        </w:trPr>
        <w:tc>
          <w:tcPr>
            <w:tcW w:w="740" w:type="dxa"/>
            <w:vAlign w:val="bottom"/>
          </w:tcPr>
          <w:p>
            <w:pPr>
              <w:jc w:val="right"/>
              <w:ind w:right="548"/>
              <w:spacing w:after="0"/>
              <w:rPr>
                <w:sz w:val="20"/>
                <w:szCs w:val="20"/>
                <w:color w:val="auto"/>
              </w:rPr>
            </w:pPr>
            <w:r>
              <w:rPr>
                <w:rFonts w:ascii="Arial" w:cs="Arial" w:eastAsia="Arial" w:hAnsi="Arial"/>
                <w:sz w:val="14"/>
                <w:szCs w:val="14"/>
                <w:color w:val="auto"/>
                <w:w w:val="85"/>
              </w:rPr>
              <w:t>2.</w:t>
            </w:r>
          </w:p>
        </w:tc>
        <w:tc>
          <w:tcPr>
            <w:tcW w:w="6940" w:type="dxa"/>
            <w:vAlign w:val="bottom"/>
          </w:tcPr>
          <w:p>
            <w:pPr>
              <w:ind w:left="640"/>
              <w:spacing w:after="0"/>
              <w:rPr>
                <w:sz w:val="20"/>
                <w:szCs w:val="20"/>
                <w:color w:val="auto"/>
              </w:rPr>
            </w:pPr>
            <w:r>
              <w:rPr>
                <w:rFonts w:ascii="Arial" w:cs="Arial" w:eastAsia="Arial" w:hAnsi="Arial"/>
                <w:sz w:val="14"/>
                <w:szCs w:val="14"/>
                <w:b w:val="1"/>
                <w:bCs w:val="1"/>
                <w:color w:val="auto"/>
              </w:rPr>
              <w:t>To approve</w:t>
            </w:r>
            <w:r>
              <w:rPr>
                <w:rFonts w:ascii="Arial" w:cs="Arial" w:eastAsia="Arial" w:hAnsi="Arial"/>
                <w:sz w:val="14"/>
                <w:szCs w:val="14"/>
                <w:color w:val="auto"/>
              </w:rPr>
              <w:t>,</w:t>
            </w:r>
            <w:r>
              <w:rPr>
                <w:rFonts w:ascii="Arial" w:cs="Arial" w:eastAsia="Arial" w:hAnsi="Arial"/>
                <w:sz w:val="14"/>
                <w:szCs w:val="14"/>
                <w:b w:val="1"/>
                <w:bCs w:val="1"/>
                <w:color w:val="auto"/>
              </w:rPr>
              <w:t xml:space="preserve"> on an advisory basis</w:t>
            </w:r>
            <w:r>
              <w:rPr>
                <w:rFonts w:ascii="Arial" w:cs="Arial" w:eastAsia="Arial" w:hAnsi="Arial"/>
                <w:sz w:val="14"/>
                <w:szCs w:val="14"/>
                <w:color w:val="auto"/>
              </w:rPr>
              <w:t>,</w:t>
            </w:r>
            <w:r>
              <w:rPr>
                <w:rFonts w:ascii="Arial" w:cs="Arial" w:eastAsia="Arial" w:hAnsi="Arial"/>
                <w:sz w:val="14"/>
                <w:szCs w:val="14"/>
                <w:b w:val="1"/>
                <w:bCs w:val="1"/>
                <w:color w:val="auto"/>
              </w:rPr>
              <w:t xml:space="preserve"> named executive officer compensation</w:t>
            </w:r>
            <w:r>
              <w:rPr>
                <w:rFonts w:ascii="Arial" w:cs="Arial" w:eastAsia="Arial" w:hAnsi="Arial"/>
                <w:sz w:val="14"/>
                <w:szCs w:val="14"/>
                <w:color w:val="auto"/>
              </w:rPr>
              <w:t>. THE BOARD OF</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DIRECTORS RECOMMENDS A VOTE “FOR” PROPOSAL 2.</w:t>
            </w: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740" w:type="dxa"/>
            <w:vAlign w:val="bottom"/>
          </w:tcPr>
          <w:p>
            <w:pPr>
              <w:jc w:val="right"/>
              <w:ind w:right="548"/>
              <w:spacing w:after="0"/>
              <w:rPr>
                <w:sz w:val="20"/>
                <w:szCs w:val="20"/>
                <w:color w:val="auto"/>
              </w:rPr>
            </w:pPr>
            <w:r>
              <w:rPr>
                <w:rFonts w:ascii="Arial" w:cs="Arial" w:eastAsia="Arial" w:hAnsi="Arial"/>
                <w:sz w:val="14"/>
                <w:szCs w:val="14"/>
                <w:color w:val="auto"/>
                <w:w w:val="85"/>
              </w:rPr>
              <w:t>3.</w:t>
            </w:r>
          </w:p>
        </w:tc>
        <w:tc>
          <w:tcPr>
            <w:tcW w:w="6940" w:type="dxa"/>
            <w:vAlign w:val="bottom"/>
          </w:tcPr>
          <w:p>
            <w:pPr>
              <w:ind w:left="640"/>
              <w:spacing w:after="0"/>
              <w:rPr>
                <w:sz w:val="20"/>
                <w:szCs w:val="20"/>
                <w:color w:val="auto"/>
              </w:rPr>
            </w:pPr>
            <w:r>
              <w:rPr>
                <w:rFonts w:ascii="Arial" w:cs="Arial" w:eastAsia="Arial" w:hAnsi="Arial"/>
                <w:sz w:val="14"/>
                <w:szCs w:val="14"/>
                <w:b w:val="1"/>
                <w:bCs w:val="1"/>
                <w:color w:val="auto"/>
                <w:w w:val="95"/>
              </w:rPr>
              <w:t>To approve an amendment to the Company’s Restated Certificate of Incorporation, as amended, to</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9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w w:val="93"/>
              </w:rPr>
              <w:t>effect a reverse stock split of the Company’s common stock at a ratio of not less than 1-for-2 and not</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69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w w:val="95"/>
              </w:rPr>
              <w:t>more than 1-for-15, such ratio, and the implementation and timing of such reverse stock split, to be</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6940" w:type="dxa"/>
            <w:vAlign w:val="bottom"/>
          </w:tcPr>
          <w:p>
            <w:pPr>
              <w:ind w:left="640"/>
              <w:spacing w:after="0" w:line="153" w:lineRule="exact"/>
              <w:rPr>
                <w:sz w:val="20"/>
                <w:szCs w:val="20"/>
                <w:color w:val="auto"/>
              </w:rPr>
            </w:pPr>
            <w:r>
              <w:rPr>
                <w:rFonts w:ascii="Arial" w:cs="Arial" w:eastAsia="Arial" w:hAnsi="Arial"/>
                <w:sz w:val="14"/>
                <w:szCs w:val="14"/>
                <w:b w:val="1"/>
                <w:bCs w:val="1"/>
                <w:color w:val="auto"/>
              </w:rPr>
              <w:t xml:space="preserve">determined in the sole discretion of the Company's Board of Directors. </w:t>
            </w:r>
            <w:r>
              <w:rPr>
                <w:rFonts w:ascii="Arial" w:cs="Arial" w:eastAsia="Arial" w:hAnsi="Arial"/>
                <w:sz w:val="14"/>
                <w:szCs w:val="14"/>
                <w:color w:val="auto"/>
              </w:rPr>
              <w:t>THE BOARD OF</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DIRECTORS RECOMMENDS A VOTE “FOR” PROPOSAL 3.</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06"/>
        </w:trPr>
        <w:tc>
          <w:tcPr>
            <w:tcW w:w="740" w:type="dxa"/>
            <w:vAlign w:val="bottom"/>
          </w:tcPr>
          <w:p>
            <w:pPr>
              <w:spacing w:after="0"/>
              <w:rPr>
                <w:sz w:val="9"/>
                <w:szCs w:val="9"/>
                <w:color w:val="auto"/>
              </w:rPr>
            </w:pPr>
          </w:p>
        </w:tc>
        <w:tc>
          <w:tcPr>
            <w:tcW w:w="69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40" w:type="dxa"/>
            <w:vAlign w:val="bottom"/>
          </w:tcPr>
          <w:p>
            <w:pPr>
              <w:jc w:val="right"/>
              <w:ind w:right="548"/>
              <w:spacing w:after="0"/>
              <w:rPr>
                <w:sz w:val="20"/>
                <w:szCs w:val="20"/>
                <w:color w:val="auto"/>
              </w:rPr>
            </w:pPr>
            <w:r>
              <w:rPr>
                <w:rFonts w:ascii="Arial" w:cs="Arial" w:eastAsia="Arial" w:hAnsi="Arial"/>
                <w:sz w:val="14"/>
                <w:szCs w:val="14"/>
                <w:color w:val="auto"/>
                <w:w w:val="85"/>
              </w:rPr>
              <w:t>4.</w:t>
            </w:r>
          </w:p>
        </w:tc>
        <w:tc>
          <w:tcPr>
            <w:tcW w:w="6940" w:type="dxa"/>
            <w:vAlign w:val="bottom"/>
          </w:tcPr>
          <w:p>
            <w:pPr>
              <w:ind w:left="640"/>
              <w:spacing w:after="0"/>
              <w:rPr>
                <w:sz w:val="20"/>
                <w:szCs w:val="20"/>
                <w:color w:val="auto"/>
              </w:rPr>
            </w:pPr>
            <w:r>
              <w:rPr>
                <w:rFonts w:ascii="Arial" w:cs="Arial" w:eastAsia="Arial" w:hAnsi="Arial"/>
                <w:sz w:val="14"/>
                <w:szCs w:val="14"/>
                <w:b w:val="1"/>
                <w:bCs w:val="1"/>
                <w:color w:val="auto"/>
                <w:w w:val="95"/>
              </w:rPr>
              <w:t>To approve amendments to the Company’s 2016 Incentive Compensation Plan to increase the total</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740" w:type="dxa"/>
            <w:vAlign w:val="bottom"/>
          </w:tcPr>
          <w:p>
            <w:pPr>
              <w:spacing w:after="0"/>
              <w:rPr>
                <w:sz w:val="12"/>
                <w:szCs w:val="12"/>
                <w:color w:val="auto"/>
              </w:rPr>
            </w:pPr>
          </w:p>
        </w:tc>
        <w:tc>
          <w:tcPr>
            <w:tcW w:w="6940" w:type="dxa"/>
            <w:vAlign w:val="bottom"/>
          </w:tcPr>
          <w:p>
            <w:pPr>
              <w:ind w:left="640"/>
              <w:spacing w:after="0" w:line="143" w:lineRule="exact"/>
              <w:rPr>
                <w:sz w:val="20"/>
                <w:szCs w:val="20"/>
                <w:color w:val="auto"/>
              </w:rPr>
            </w:pPr>
            <w:r>
              <w:rPr>
                <w:rFonts w:ascii="Arial" w:cs="Arial" w:eastAsia="Arial" w:hAnsi="Arial"/>
                <w:sz w:val="14"/>
                <w:szCs w:val="14"/>
                <w:b w:val="1"/>
                <w:bCs w:val="1"/>
                <w:color w:val="auto"/>
                <w:w w:val="93"/>
              </w:rPr>
              <w:t xml:space="preserve">number of shares of common stock authorized for issuance under the plan by 1,740,000 shares. </w:t>
            </w:r>
            <w:r>
              <w:rPr>
                <w:rFonts w:ascii="Arial" w:cs="Arial" w:eastAsia="Arial" w:hAnsi="Arial"/>
                <w:sz w:val="14"/>
                <w:szCs w:val="14"/>
                <w:color w:val="auto"/>
                <w:w w:val="93"/>
              </w:rPr>
              <w:t>THE</w:t>
            </w: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6940" w:type="dxa"/>
            <w:vAlign w:val="bottom"/>
          </w:tcPr>
          <w:p>
            <w:pPr>
              <w:ind w:left="640"/>
              <w:spacing w:after="0"/>
              <w:rPr>
                <w:sz w:val="20"/>
                <w:szCs w:val="20"/>
                <w:color w:val="auto"/>
              </w:rPr>
            </w:pPr>
            <w:r>
              <w:rPr>
                <w:rFonts w:ascii="Arial" w:cs="Arial" w:eastAsia="Arial" w:hAnsi="Arial"/>
                <w:sz w:val="14"/>
                <w:szCs w:val="14"/>
                <w:color w:val="auto"/>
              </w:rPr>
              <w:t>BOARD OF DIRECTORS RECOMMENDS A VOTE “FOR” PROPOSAL 4.</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8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740" w:type="dxa"/>
            <w:vAlign w:val="bottom"/>
          </w:tcPr>
          <w:p>
            <w:pPr>
              <w:jc w:val="right"/>
              <w:ind w:right="548"/>
              <w:spacing w:after="0"/>
              <w:rPr>
                <w:sz w:val="20"/>
                <w:szCs w:val="20"/>
                <w:color w:val="auto"/>
              </w:rPr>
            </w:pPr>
            <w:r>
              <w:rPr>
                <w:rFonts w:ascii="Arial" w:cs="Arial" w:eastAsia="Arial" w:hAnsi="Arial"/>
                <w:sz w:val="14"/>
                <w:szCs w:val="14"/>
                <w:color w:val="auto"/>
                <w:w w:val="85"/>
              </w:rPr>
              <w:t>5.</w:t>
            </w:r>
          </w:p>
        </w:tc>
        <w:tc>
          <w:tcPr>
            <w:tcW w:w="6940" w:type="dxa"/>
            <w:vAlign w:val="bottom"/>
          </w:tcPr>
          <w:p>
            <w:pPr>
              <w:ind w:left="640"/>
              <w:spacing w:after="0"/>
              <w:rPr>
                <w:sz w:val="20"/>
                <w:szCs w:val="20"/>
                <w:color w:val="auto"/>
              </w:rPr>
            </w:pPr>
            <w:r>
              <w:rPr>
                <w:rFonts w:ascii="Arial" w:cs="Arial" w:eastAsia="Arial" w:hAnsi="Arial"/>
                <w:sz w:val="14"/>
                <w:szCs w:val="14"/>
                <w:b w:val="1"/>
                <w:bCs w:val="1"/>
                <w:color w:val="auto"/>
              </w:rPr>
              <w:t>To ratify the appointment of KPMG LLP as the Company’s independent registered public</w:t>
            </w:r>
          </w:p>
        </w:tc>
        <w:tc>
          <w:tcPr>
            <w:tcW w:w="5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80" w:type="dxa"/>
            <w:vAlign w:val="bottom"/>
          </w:tcPr>
          <w:p>
            <w:pPr>
              <w:jc w:val="center"/>
              <w:ind w:left="10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694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 xml:space="preserve">accounting firm for fiscal year ending January 30, 2021. </w:t>
            </w:r>
            <w:r>
              <w:rPr>
                <w:rFonts w:ascii="Arial" w:cs="Arial" w:eastAsia="Arial" w:hAnsi="Arial"/>
                <w:sz w:val="14"/>
                <w:szCs w:val="14"/>
                <w:color w:val="auto"/>
              </w:rPr>
              <w:t>THE BOARD OF DIRECTORS</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700"/>
        <w:spacing w:after="0"/>
        <w:rPr>
          <w:sz w:val="20"/>
          <w:szCs w:val="20"/>
          <w:color w:val="auto"/>
        </w:rPr>
      </w:pPr>
      <w:r>
        <w:rPr>
          <w:rFonts w:ascii="Arial" w:cs="Arial" w:eastAsia="Arial" w:hAnsi="Arial"/>
          <w:sz w:val="14"/>
          <w:szCs w:val="14"/>
          <w:color w:val="auto"/>
        </w:rPr>
        <w:t>RECOMMENDS A VOTE “FOR” PROPOSAL 5.</w:t>
      </w:r>
    </w:p>
    <w:p>
      <w:pPr>
        <w:sectPr>
          <w:pgSz w:w="11900" w:h="16838" w:orient="portrait"/>
          <w:cols w:equalWidth="0" w:num="1">
            <w:col w:w="10240"/>
          </w:cols>
          <w:pgMar w:left="340" w:top="405" w:right="1319" w:bottom="1440" w:gutter="0" w:footer="0" w:header="0"/>
        </w:sectPr>
      </w:pPr>
    </w:p>
    <w:p>
      <w:pPr>
        <w:spacing w:after="0" w:line="97"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DIRECTOR NOMINEE AND “FOR” EACH OF THE OTHER PROPOSALS. RECEIPT IS HEREBY ACKNOWLEDGED OF THE NOTICE OF ANNUAL MEETING AND PROXY STATEMENT OF DESTINATION XL GROUP, INC. DATED July 2, 2020.</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7" w:lineRule="exact"/>
        <w:rPr>
          <w:sz w:val="20"/>
          <w:szCs w:val="20"/>
          <w:color w:val="auto"/>
        </w:rPr>
      </w:pPr>
    </w:p>
    <w:p>
      <w:pPr>
        <w:sectPr>
          <w:pgSz w:w="11900" w:h="16838" w:orient="portrait"/>
          <w:cols w:equalWidth="0" w:num="2">
            <w:col w:w="7840" w:space="360"/>
            <w:col w:w="2040"/>
          </w:cols>
          <w:pgMar w:left="340" w:top="405" w:right="1319" w:bottom="1440" w:gutter="0" w:footer="0" w:header="0"/>
          <w:type w:val="continuous"/>
        </w:sectPr>
      </w:pPr>
    </w:p>
    <w:p>
      <w:pPr>
        <w:ind w:right="8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0240"/>
          </w:cols>
          <w:pgMar w:left="340" w:top="405" w:right="1319" w:bottom="1440" w:gutter="0" w:footer="0" w:header="0"/>
          <w:type w:val="continuous"/>
        </w:sectPr>
      </w:pPr>
    </w:p>
    <w:p>
      <w:pPr>
        <w:spacing w:after="0" w:line="291" w:lineRule="exact"/>
        <w:rPr>
          <w:sz w:val="20"/>
          <w:szCs w:val="20"/>
          <w:color w:val="auto"/>
        </w:rPr>
      </w:pPr>
    </w:p>
    <w:p>
      <w:pPr>
        <w:ind w:left="260"/>
        <w:spacing w:after="0"/>
        <w:tabs>
          <w:tab w:leader="none" w:pos="312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tabs>
          <w:tab w:leader="none" w:pos="388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407035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4460" w:space="720"/>
            <w:col w:w="5060"/>
          </w:cols>
          <w:pgMar w:left="340" w:top="405" w:right="1319" w:bottom="1440" w:gutter="0" w:footer="0" w:header="0"/>
          <w:type w:val="continuous"/>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5215255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32320" cy="28117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555 Turnpike Street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Canton, Massachusetts 02021</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Annual Meeting Of Stockholders To Be Held On August 12, 2020</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undersigned stockholder of Destination XL Group, Inc. (the “Company”) hereby appoints Lionel F. Conacher and Harvey S. Kanter,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Wednesday, August 12, 2020, at 11:30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3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lvl w:ilvl="1">
      <w:lvlJc w:val="left"/>
      <w:lvlText w:val="%2)"/>
      <w:numFmt w:val="decimal"/>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1)"/>
      <w:numFmt w:val="decimal"/>
      <w:start w:val="1"/>
    </w:lvl>
  </w:abstractNum>
  <w:abstractNum w:abstractNumId="24">
    <w:nsid w:val="180115BE"/>
    <w:multiLevelType w:val="hybridMultilevel"/>
    <w:lvl w:ilvl="0">
      <w:lvlJc w:val="left"/>
      <w:lvlText w:val="(%1)"/>
      <w:numFmt w:val="decimal"/>
      <w:start w:val="1"/>
    </w:lvl>
    <w:lvl w:ilvl="1">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1)"/>
      <w:numFmt w:val="decimal"/>
      <w:start w:val="1"/>
    </w:lvl>
  </w:abstractNum>
  <w:abstractNum w:abstractNumId="28">
    <w:nsid w:val="15B5AF5C"/>
    <w:multiLevelType w:val="hybridMultilevel"/>
    <w:lvl w:ilvl="0">
      <w:lvlJc w:val="left"/>
      <w:lvlText w:val="(%1)"/>
      <w:numFmt w:val="decimal"/>
      <w:start w:val="3"/>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2"/>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1)"/>
      <w:numFmt w:val="lowerRoman"/>
      <w:start w:val="1"/>
    </w:lvl>
  </w:abstractNum>
  <w:abstractNum w:abstractNumId="34">
    <w:nsid w:val="7E0C57B1"/>
    <w:multiLevelType w:val="hybridMultilevel"/>
    <w:lvl w:ilvl="0">
      <w:lvlJc w:val="left"/>
      <w:lvlText w:val="(%1)"/>
      <w:numFmt w:val="lowerRoman"/>
      <w:start w:val="1"/>
    </w:lvl>
  </w:abstractNum>
  <w:abstractNum w:abstractNumId="35">
    <w:nsid w:val="77AE35EB"/>
    <w:multiLevelType w:val="hybridMultilevel"/>
    <w:lvl w:ilvl="0">
      <w:lvlJc w:val="left"/>
      <w:lvlText w:val="(%1)"/>
      <w:numFmt w:val="decimal"/>
      <w:start w:val="1"/>
    </w:lvl>
  </w:abstractNum>
  <w:abstractNum w:abstractNumId="36">
    <w:nsid w:val="579BE4F1"/>
    <w:multiLevelType w:val="hybridMultilevel"/>
    <w:lvl w:ilvl="0">
      <w:lvlJc w:val="left"/>
      <w:lvlText w:val="(%1)"/>
      <w:numFmt w:val="decimal"/>
      <w:start w:val="1"/>
    </w:lvl>
  </w:abstractNum>
  <w:abstractNum w:abstractNumId="37">
    <w:nsid w:val="310C50B3"/>
    <w:multiLevelType w:val="hybridMultilevel"/>
    <w:lvl w:ilvl="0">
      <w:lvlJc w:val="left"/>
      <w:lvlText w:val="(%1)"/>
      <w:numFmt w:val="decimal"/>
      <w:start w:val="3"/>
    </w:lvl>
  </w:abstractNum>
  <w:abstractNum w:abstractNumId="38">
    <w:nsid w:val="5FF87E05"/>
    <w:multiLevelType w:val="hybridMultilevel"/>
    <w:lvl w:ilvl="0">
      <w:lvlJc w:val="left"/>
      <w:lvlText w:val="(%1)"/>
      <w:numFmt w:val="decimal"/>
      <w:start w:val="1"/>
    </w:lvl>
  </w:abstractNum>
  <w:abstractNum w:abstractNumId="39">
    <w:nsid w:val="2F305DEF"/>
    <w:multiLevelType w:val="hybridMultilevel"/>
    <w:lvl w:ilvl="0">
      <w:lvlJc w:val="left"/>
      <w:lvlText w:val="(%1)"/>
      <w:numFmt w:val="decimal"/>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1)"/>
      <w:numFmt w:val="decimal"/>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3"/>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8"/>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decimal"/>
      <w:start w:val="3"/>
    </w:lvl>
  </w:abstractNum>
  <w:abstractNum w:abstractNumId="54">
    <w:nsid w:val="168E121F"/>
    <w:multiLevelType w:val="hybridMultilevel"/>
    <w:lvl w:ilvl="0">
      <w:lvlJc w:val="left"/>
      <w:lvlText w:val="1"/>
      <w:numFmt w:val="bullet"/>
      <w:start w:val="1"/>
    </w:lvl>
  </w:abstractNum>
  <w:abstractNum w:abstractNumId="55">
    <w:nsid w:val="1EBA5D2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6">
    <w:nsid w:val="661E3F1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9"/>
    </w:lvl>
  </w:abstractNum>
  <w:abstractNum w:abstractNumId="57">
    <w:nsid w:val="5DC79EA8"/>
    <w:multiLevelType w:val="hybridMultilevel"/>
    <w:lvl w:ilvl="0">
      <w:lvlJc w:val="left"/>
      <w:lvlText w:val="(%1)"/>
      <w:numFmt w:val="lowerLetter"/>
      <w:start w:val="10"/>
    </w:lvl>
  </w:abstractNum>
  <w:abstractNum w:abstractNumId="58">
    <w:nsid w:val="540A471C"/>
    <w:multiLevelType w:val="hybridMultilevel"/>
    <w:lvl w:ilvl="0">
      <w:lvlJc w:val="left"/>
      <w:lvlText w:val="(%1)"/>
      <w:numFmt w:val="lowerLetter"/>
      <w:start w:val="24"/>
    </w:lvl>
  </w:abstractNum>
  <w:abstractNum w:abstractNumId="59">
    <w:nsid w:val="7BD3EE7B"/>
    <w:multiLevelType w:val="hybridMultilevel"/>
    <w:lvl w:ilvl="0">
      <w:lvlJc w:val="left"/>
      <w:lvlText w:val="(%1)"/>
      <w:numFmt w:val="lowerLetter"/>
      <w:start w:val="27"/>
    </w:lvl>
  </w:abstractNum>
  <w:abstractNum w:abstractNumId="60">
    <w:nsid w:val="51D9C564"/>
    <w:multiLevelType w:val="hybridMultilevel"/>
    <w:lvl w:ilvl="0">
      <w:lvlJc w:val="left"/>
      <w:lvlText w:val="(%1)"/>
      <w:numFmt w:val="lowerLetter"/>
      <w:start w:val="34"/>
    </w:lvl>
  </w:abstractNum>
  <w:abstractNum w:abstractNumId="61">
    <w:nsid w:val="613EFDC5"/>
    <w:multiLevelType w:val="hybridMultilevel"/>
    <w:lvl w:ilvl="0">
      <w:lvlJc w:val="left"/>
      <w:lvlText w:val="%1"/>
      <w:numFmt w:val="decimal"/>
      <w:start w:val="1"/>
    </w:lvl>
    <w:lvl w:ilvl="1">
      <w:lvlJc w:val="left"/>
      <w:lvlText w:val="(%2)"/>
      <w:numFmt w:val="lowerLetter"/>
      <w:start w:val="49"/>
    </w:lvl>
  </w:abstractNum>
  <w:abstractNum w:abstractNumId="62">
    <w:nsid w:val="BF72B14"/>
    <w:multiLevelType w:val="hybridMultilevel"/>
    <w:lvl w:ilvl="0">
      <w:lvlJc w:val="left"/>
      <w:lvlText w:val="%1."/>
      <w:numFmt w:val="decimal"/>
      <w:start w:val="3"/>
    </w:lvl>
    <w:lvl w:ilvl="1">
      <w:lvlJc w:val="left"/>
      <w:lvlText w:val="(%2)"/>
      <w:numFmt w:val="lowerLetter"/>
      <w:start w:val="1"/>
    </w:lvl>
  </w:abstractNum>
  <w:abstractNum w:abstractNumId="63">
    <w:nsid w:val="11447B7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4">
    <w:nsid w:val="42963E5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5">
    <w:nsid w:val="A0382C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6">
    <w:nsid w:val="8F2B1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7">
    <w:nsid w:val="1A32234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8">
    <w:nsid w:val="3B0FD37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69">
    <w:nsid w:val="68EB2F63"/>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70">
    <w:nsid w:val="4962813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1">
    <w:nsid w:val="60B6DF70"/>
    <w:multiLevelType w:val="hybridMultilevel"/>
    <w:lvl w:ilvl="0">
      <w:lvlJc w:val="left"/>
      <w:lvlText w:val="%1"/>
      <w:numFmt w:val="decimal"/>
      <w:start w:val="1"/>
    </w:lvl>
    <w:lvl w:ilvl="1">
      <w:lvlJc w:val="left"/>
      <w:lvlText w:val="(%2)"/>
      <w:numFmt w:val="lowerLetter"/>
      <w:start w:val="6"/>
    </w:lvl>
  </w:abstractNum>
  <w:abstractNum w:abstractNumId="72">
    <w:nsid w:val="6A5EE64"/>
    <w:multiLevelType w:val="hybridMultilevel"/>
    <w:lvl w:ilvl="0">
      <w:lvlJc w:val="left"/>
      <w:lvlText w:val="%1."/>
      <w:numFmt w:val="decimal"/>
      <w:start w:val="8"/>
    </w:lvl>
    <w:lvl w:ilvl="1">
      <w:lvlJc w:val="left"/>
      <w:lvlText w:val="(%2)"/>
      <w:numFmt w:val="lowerLetter"/>
      <w:start w:val="1"/>
    </w:lvl>
  </w:abstractNum>
  <w:abstractNum w:abstractNumId="73">
    <w:nsid w:val="1433062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4">
    <w:nsid w:val="7FFFCA11"/>
    <w:multiLevelType w:val="hybridMultilevel"/>
    <w:lvl w:ilvl="0">
      <w:lvlJc w:val="left"/>
      <w:lvlText w:val="%1"/>
      <w:numFmt w:val="lowerLetter"/>
      <w:start w:val="1"/>
    </w:lvl>
    <w:lvl w:ilvl="1">
      <w:lvlJc w:val="left"/>
      <w:lvlText w:val="(%2)"/>
      <w:numFmt w:val="lowerLetter"/>
      <w:start w:val="61"/>
    </w:lvl>
  </w:abstractNum>
  <w:abstractNum w:abstractNumId="75">
    <w:nsid w:val="1A27709E"/>
    <w:multiLevelType w:val="hybridMultilevel"/>
    <w:lvl w:ilvl="0">
      <w:lvlJc w:val="left"/>
      <w:lvlText w:val="(%1)"/>
      <w:numFmt w:val="lowerLetter"/>
      <w:start w:val="6"/>
    </w:lvl>
    <w:lvl w:ilvl="1">
      <w:lvlJc w:val="left"/>
      <w:lvlText w:val="(%2)"/>
      <w:numFmt w:val="lowerLetter"/>
      <w:start w:val="9"/>
    </w:lvl>
  </w:abstractNum>
  <w:abstractNum w:abstractNumId="76">
    <w:nsid w:val="71EA110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abstractNum>
  <w:abstractNum w:abstractNumId="77">
    <w:nsid w:val="100F59DC"/>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lvl w:ilvl="3">
      <w:lvlJc w:val="left"/>
      <w:lvlText w:val="%4"/>
      <w:numFmt w:val="lowerLetter"/>
      <w:start w:val="1"/>
    </w:lvl>
  </w:abstractNum>
  <w:abstractNum w:abstractNumId="78">
    <w:nsid w:val="7FB7E0AA"/>
    <w:multiLevelType w:val="hybridMultilevel"/>
    <w:lvl w:ilvl="0">
      <w:lvlJc w:val="left"/>
      <w:lvlText w:val="(%1)"/>
      <w:numFmt w:val="decimal"/>
      <w:start w:val="9"/>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79">
    <w:nsid w:val="6EB5BD4"/>
    <w:multiLevelType w:val="hybridMultilevel"/>
    <w:lvl w:ilvl="0">
      <w:lvlJc w:val="left"/>
      <w:lvlText w:val="%1"/>
      <w:numFmt w:val="decimal"/>
      <w:start w:val="1"/>
    </w:lvl>
    <w:lvl w:ilvl="1">
      <w:lvlJc w:val="left"/>
      <w:lvlText w:val="(%2)"/>
      <w:numFmt w:val="lowerLetter"/>
      <w:start w:val="3"/>
    </w:lvl>
  </w:abstractNum>
  <w:abstractNum w:abstractNumId="80">
    <w:nsid w:val="6F6DD9AC"/>
    <w:multiLevelType w:val="hybridMultilevel"/>
    <w:lvl w:ilvl="0">
      <w:lvlJc w:val="left"/>
      <w:lvlText w:val="%1."/>
      <w:numFmt w:val="decimal"/>
      <w:start w:val="10"/>
    </w:lvl>
    <w:lvl w:ilvl="1">
      <w:lvlJc w:val="left"/>
      <w:lvlText w:val="(%2)"/>
      <w:numFmt w:val="lowerLetter"/>
      <w:start w:val="1"/>
    </w:lvl>
  </w:abstractNum>
  <w:abstractNum w:abstractNumId="81">
    <w:nsid w:val="94211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2">
    <w:nsid w:val="885E1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83">
    <w:nsid w:val="762721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4">
    <w:nsid w:val="4C04A8AF"/>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85">
    <w:nsid w:val="1716703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86">
    <w:nsid w:val="14E17E33"/>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87">
    <w:nsid w:val="3222E7CD"/>
    <w:multiLevelType w:val="hybridMultilevel"/>
    <w:lvl w:ilvl="0">
      <w:lvlJc w:val="left"/>
      <w:lvlText w:val="(%1)"/>
      <w:numFmt w:val="lowerLetter"/>
      <w:start w:val="6"/>
    </w:lvl>
  </w:abstractNum>
  <w:abstractNum w:abstractNumId="88">
    <w:nsid w:val="74DE0EE3"/>
    <w:multiLevelType w:val="hybridMultilevel"/>
    <w:lvl w:ilvl="0">
      <w:lvlJc w:val="left"/>
      <w:lvlText w:val="(%1)"/>
      <w:numFmt w:val="lowerLetter"/>
      <w:start w:val="12"/>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2020-06-17T14:34:29Z</dcterms:created>
  <dcterms:modified xsi:type="dcterms:W3CDTF">2020-06-17T14:34:29Z</dcterms:modified>
</cp:coreProperties>
</file>